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sz w:val="42"/>
        </w:rPr>
        <w:t>Computer Vision Brain Tumor Analysis</w:t>
      </w:r>
    </w:p>
    <w:p>
      <w:pPr>
        <w:spacing w:after="160"/>
        <w:jc w:val="center"/>
      </w:pPr>
      <w:r>
        <w:rPr>
          <w:i/>
          <w:sz w:val="22"/>
        </w:rPr>
        <w:t>Academic Computer Vision Project</w:t>
      </w:r>
    </w:p>
    <w:p>
      <w:pPr>
        <w:spacing w:after="160"/>
        <w:jc w:val="center"/>
      </w:pPr>
      <w:r>
        <w:rPr>
          <w:b/>
          <w:sz w:val="24"/>
        </w:rPr>
        <w:t>Vasileios Troupis</w:t>
      </w:r>
    </w:p>
    <w:p>
      <w:pPr>
        <w:pStyle w:val="Heading1"/>
        <w:spacing w:before="80" w:after="60"/>
      </w:pPr>
      <w:r>
        <w:t>1. Objective</w:t>
      </w:r>
    </w:p>
    <w:p>
      <w:pPr>
        <w:spacing w:after="100" w:line="252" w:lineRule="auto"/>
      </w:pPr>
      <w:r>
        <w:t>The objective of this academic project is to apply classical computer vision and image-processing techniques to a provided brain image and isolate three target tumor regions. The workflow includes grayscale conversion, thresholding, connected-component labeling, region-area measurement, morphological processing and boundary extraction. The project is intended as an educational image-processing exercise and not as a medical diagnostic system.</w:t>
      </w:r>
    </w:p>
    <w:p>
      <w:pPr>
        <w:pStyle w:val="Heading1"/>
        <w:spacing w:before="80" w:after="60"/>
      </w:pPr>
      <w:r>
        <w:t>2. Input Image and Preprocessing</w:t>
      </w:r>
    </w:p>
    <w:p>
      <w:pPr>
        <w:spacing w:after="40"/>
        <w:jc w:val="center"/>
      </w:pPr>
      <w:r>
        <w:drawing>
          <wp:inline xmlns:a="http://schemas.openxmlformats.org/drawingml/2006/main" xmlns:pic="http://schemas.openxmlformats.org/drawingml/2006/picture">
            <wp:extent cx="2331720" cy="2768917"/>
            <wp:docPr id="1" name="Picture 1"/>
            <wp:cNvGraphicFramePr>
              <a:graphicFrameLocks noChangeAspect="1"/>
            </wp:cNvGraphicFramePr>
            <a:graphic>
              <a:graphicData uri="http://schemas.openxmlformats.org/drawingml/2006/picture">
                <pic:pic>
                  <pic:nvPicPr>
                    <pic:cNvPr id="0" name="cell_10_1.png"/>
                    <pic:cNvPicPr/>
                  </pic:nvPicPr>
                  <pic:blipFill>
                    <a:blip r:embed="rId9"/>
                    <a:stretch>
                      <a:fillRect/>
                    </a:stretch>
                  </pic:blipFill>
                  <pic:spPr>
                    <a:xfrm>
                      <a:off x="0" y="0"/>
                      <a:ext cx="2331720" cy="2768917"/>
                    </a:xfrm>
                    <a:prstGeom prst="rect"/>
                  </pic:spPr>
                </pic:pic>
              </a:graphicData>
            </a:graphic>
          </wp:inline>
        </w:drawing>
      </w:r>
    </w:p>
    <w:p>
      <w:pPr>
        <w:spacing w:after="80"/>
        <w:jc w:val="center"/>
      </w:pPr>
      <w:r>
        <w:rPr>
          <w:i/>
          <w:sz w:val="17"/>
        </w:rPr>
        <w:t>Figure 1. Original brain image used as input.</w:t>
      </w:r>
    </w:p>
    <w:p>
      <w:pPr>
        <w:spacing w:after="100" w:line="252" w:lineRule="auto"/>
      </w:pPr>
      <w:r>
        <w:t>The RGB image is converted to grayscale so that subsequent processing can operate on a single intensity channel. Two thresholding approaches are then evaluated: manual thresholding and Otsu's automatic thresholding method.</w:t>
      </w:r>
    </w:p>
    <w:p>
      <w:pPr>
        <w:pStyle w:val="Heading1"/>
        <w:spacing w:before="80" w:after="60"/>
      </w:pPr>
      <w:r>
        <w:t>3. Initial Thresholding</w:t>
      </w:r>
    </w:p>
    <w:p>
      <w:pPr>
        <w:spacing w:after="40"/>
        <w:jc w:val="center"/>
      </w:pPr>
      <w:r>
        <w:drawing>
          <wp:inline xmlns:a="http://schemas.openxmlformats.org/drawingml/2006/main" xmlns:pic="http://schemas.openxmlformats.org/drawingml/2006/picture">
            <wp:extent cx="5486400" cy="2298101"/>
            <wp:docPr id="2" name="Picture 2"/>
            <wp:cNvGraphicFramePr>
              <a:graphicFrameLocks noChangeAspect="1"/>
            </wp:cNvGraphicFramePr>
            <a:graphic>
              <a:graphicData uri="http://schemas.openxmlformats.org/drawingml/2006/picture">
                <pic:pic>
                  <pic:nvPicPr>
                    <pic:cNvPr id="0" name="cell_17_1.png"/>
                    <pic:cNvPicPr/>
                  </pic:nvPicPr>
                  <pic:blipFill>
                    <a:blip r:embed="rId10"/>
                    <a:stretch>
                      <a:fillRect/>
                    </a:stretch>
                  </pic:blipFill>
                  <pic:spPr>
                    <a:xfrm>
                      <a:off x="0" y="0"/>
                      <a:ext cx="5486400" cy="2298101"/>
                    </a:xfrm>
                    <a:prstGeom prst="rect"/>
                  </pic:spPr>
                </pic:pic>
              </a:graphicData>
            </a:graphic>
          </wp:inline>
        </w:drawing>
      </w:r>
    </w:p>
    <w:p>
      <w:pPr>
        <w:spacing w:after="80"/>
        <w:jc w:val="center"/>
      </w:pPr>
      <w:r>
        <w:rPr>
          <w:i/>
          <w:sz w:val="17"/>
        </w:rPr>
        <w:t>Figure 2. First manual threshold test (50) compared with Otsu thresholding.</w:t>
      </w:r>
    </w:p>
    <w:p>
      <w:pPr>
        <w:spacing w:after="100" w:line="252" w:lineRule="auto"/>
      </w:pPr>
      <w:r>
        <w:t>A manual threshold value of 50 does not separate the regions of interest clearly enough, so a second manual threshold value is evaluated.</w:t>
      </w:r>
    </w:p>
    <w:p>
      <w:r>
        <w:br w:type="page"/>
      </w:r>
    </w:p>
    <w:p>
      <w:pPr>
        <w:pStyle w:val="Heading1"/>
        <w:spacing w:before="80" w:after="60"/>
      </w:pPr>
      <w:r>
        <w:t>4. Threshold Selection</w:t>
      </w:r>
    </w:p>
    <w:p>
      <w:pPr>
        <w:spacing w:after="40"/>
        <w:jc w:val="center"/>
      </w:pPr>
      <w:r>
        <w:drawing>
          <wp:inline xmlns:a="http://schemas.openxmlformats.org/drawingml/2006/main" xmlns:pic="http://schemas.openxmlformats.org/drawingml/2006/picture">
            <wp:extent cx="5577840" cy="2336402"/>
            <wp:docPr id="3" name="Picture 3"/>
            <wp:cNvGraphicFramePr>
              <a:graphicFrameLocks noChangeAspect="1"/>
            </wp:cNvGraphicFramePr>
            <a:graphic>
              <a:graphicData uri="http://schemas.openxmlformats.org/drawingml/2006/picture">
                <pic:pic>
                  <pic:nvPicPr>
                    <pic:cNvPr id="0" name="cell_20_1.png"/>
                    <pic:cNvPicPr/>
                  </pic:nvPicPr>
                  <pic:blipFill>
                    <a:blip r:embed="rId11"/>
                    <a:stretch>
                      <a:fillRect/>
                    </a:stretch>
                  </pic:blipFill>
                  <pic:spPr>
                    <a:xfrm>
                      <a:off x="0" y="0"/>
                      <a:ext cx="5577840" cy="2336402"/>
                    </a:xfrm>
                    <a:prstGeom prst="rect"/>
                  </pic:spPr>
                </pic:pic>
              </a:graphicData>
            </a:graphic>
          </wp:inline>
        </w:drawing>
      </w:r>
    </w:p>
    <w:p>
      <w:pPr>
        <w:spacing w:after="80"/>
        <w:jc w:val="center"/>
      </w:pPr>
      <w:r>
        <w:rPr>
          <w:i/>
          <w:sz w:val="17"/>
        </w:rPr>
        <w:t>Figure 3. Manual threshold 100 compared with Otsu thresholding.</w:t>
      </w:r>
    </w:p>
    <w:p>
      <w:pPr>
        <w:spacing w:after="100" w:line="252" w:lineRule="auto"/>
      </w:pPr>
      <w:r>
        <w:t>For this specific image, a manual threshold of 100 provides a clearer visual separation of the three target regions than the Otsu result, particularly for the smaller region on the right side of the image. The manually thresholded image is therefore used in the following processing steps.</w:t>
      </w:r>
    </w:p>
    <w:p>
      <w:pPr>
        <w:pStyle w:val="Heading1"/>
        <w:spacing w:before="80" w:after="60"/>
      </w:pPr>
      <w:r>
        <w:t>5. Connected-Component Labeling</w:t>
      </w:r>
    </w:p>
    <w:p>
      <w:pPr>
        <w:spacing w:after="100" w:line="252" w:lineRule="auto"/>
      </w:pPr>
      <w:r>
        <w:t>Connected-component labeling with connectivity = 1 assigns a unique label to each separate foreground region in the binary image. By inspecting the labeled components, the three labels corresponding to the target tumor regions can be selected and combined into a single binary mask.</w:t>
      </w:r>
    </w:p>
    <w:p>
      <w:pPr>
        <w:spacing w:after="40"/>
        <w:jc w:val="center"/>
      </w:pPr>
      <w:r>
        <w:drawing>
          <wp:inline xmlns:a="http://schemas.openxmlformats.org/drawingml/2006/main" xmlns:pic="http://schemas.openxmlformats.org/drawingml/2006/picture">
            <wp:extent cx="3977639" cy="4723445"/>
            <wp:docPr id="4" name="Picture 4"/>
            <wp:cNvGraphicFramePr>
              <a:graphicFrameLocks noChangeAspect="1"/>
            </wp:cNvGraphicFramePr>
            <a:graphic>
              <a:graphicData uri="http://schemas.openxmlformats.org/drawingml/2006/picture">
                <pic:pic>
                  <pic:nvPicPr>
                    <pic:cNvPr id="0" name="cell_25_0.png"/>
                    <pic:cNvPicPr/>
                  </pic:nvPicPr>
                  <pic:blipFill>
                    <a:blip r:embed="rId12"/>
                    <a:stretch>
                      <a:fillRect/>
                    </a:stretch>
                  </pic:blipFill>
                  <pic:spPr>
                    <a:xfrm>
                      <a:off x="0" y="0"/>
                      <a:ext cx="3977639" cy="4723445"/>
                    </a:xfrm>
                    <a:prstGeom prst="rect"/>
                  </pic:spPr>
                </pic:pic>
              </a:graphicData>
            </a:graphic>
          </wp:inline>
        </w:drawing>
      </w:r>
    </w:p>
    <w:p>
      <w:pPr>
        <w:spacing w:after="80"/>
        <w:jc w:val="center"/>
      </w:pPr>
      <w:r>
        <w:rPr>
          <w:i/>
          <w:sz w:val="17"/>
        </w:rPr>
        <w:t>Figure 4. Connected components and their assigned labels.</w:t>
      </w:r>
    </w:p>
    <w:p>
      <w:r>
        <w:br w:type="page"/>
      </w:r>
    </w:p>
    <w:p>
      <w:pPr>
        <w:pStyle w:val="Heading1"/>
        <w:spacing w:before="80" w:after="60"/>
      </w:pPr>
      <w:r>
        <w:t>6. Tumor Region Isolation and Area Measurement</w:t>
      </w:r>
    </w:p>
    <w:p>
      <w:pPr>
        <w:spacing w:after="100" w:line="252" w:lineRule="auto"/>
      </w:pPr>
      <w:r>
        <w:t>The three selected connected components are combined into a single binary mask. The components are then labeled again so that the area of each detected region can be calculated in pixels.</w:t>
      </w:r>
    </w:p>
    <w:tbl>
      <w:tblPr>
        <w:tblW w:type="auto" w:w="0"/>
        <w:jc w:val="center"/>
        <w:tblLayout w:type="fixed"/>
        <w:tblLook w:firstColumn="1" w:firstRow="1" w:lastColumn="0" w:lastRow="0" w:noHBand="0" w:noVBand="1" w:val="04A0"/>
      </w:tblPr>
      <w:tblGrid>
        <w:gridCol w:w="5188"/>
        <w:gridCol w:w="5188"/>
      </w:tblGrid>
      <w:tr>
        <w:tc>
          <w:tcPr>
            <w:tcW w:type="dxa" w:w="5188"/>
            <w:tcMar>
              <w:top w:w="80" w:type="dxa"/>
              <w:start w:w="80" w:type="dxa"/>
              <w:bottom w:w="80" w:type="dxa"/>
              <w:end w:w="80" w:type="dxa"/>
            </w:tcMar>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514600" cy="2767960"/>
                  <wp:docPr id="5" name="Picture 5"/>
                  <wp:cNvGraphicFramePr>
                    <a:graphicFrameLocks noChangeAspect="1"/>
                  </wp:cNvGraphicFramePr>
                  <a:graphic>
                    <a:graphicData uri="http://schemas.openxmlformats.org/drawingml/2006/picture">
                      <pic:pic>
                        <pic:nvPicPr>
                          <pic:cNvPr id="0" name="cell_28_1.png"/>
                          <pic:cNvPicPr/>
                        </pic:nvPicPr>
                        <pic:blipFill>
                          <a:blip r:embed="rId13"/>
                          <a:stretch>
                            <a:fillRect/>
                          </a:stretch>
                        </pic:blipFill>
                        <pic:spPr>
                          <a:xfrm>
                            <a:off x="0" y="0"/>
                            <a:ext cx="2514600" cy="2767960"/>
                          </a:xfrm>
                          <a:prstGeom prst="rect"/>
                        </pic:spPr>
                      </pic:pic>
                    </a:graphicData>
                  </a:graphic>
                </wp:inline>
              </w:drawing>
            </w:r>
          </w:p>
        </w:tc>
        <w:tc>
          <w:tcPr>
            <w:tcW w:type="dxa" w:w="5188"/>
            <w:tcMar>
              <w:top w:w="80" w:type="dxa"/>
              <w:start w:w="80" w:type="dxa"/>
              <w:bottom w:w="80" w:type="dxa"/>
              <w:end w:w="80" w:type="dxa"/>
            </w:tcMar>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514600" cy="3107530"/>
                  <wp:docPr id="6" name="Picture 6"/>
                  <wp:cNvGraphicFramePr>
                    <a:graphicFrameLocks noChangeAspect="1"/>
                  </wp:cNvGraphicFramePr>
                  <a:graphic>
                    <a:graphicData uri="http://schemas.openxmlformats.org/drawingml/2006/picture">
                      <pic:pic>
                        <pic:nvPicPr>
                          <pic:cNvPr id="0" name="cell_32_0.png"/>
                          <pic:cNvPicPr/>
                        </pic:nvPicPr>
                        <pic:blipFill>
                          <a:blip r:embed="rId14"/>
                          <a:stretch>
                            <a:fillRect/>
                          </a:stretch>
                        </pic:blipFill>
                        <pic:spPr>
                          <a:xfrm>
                            <a:off x="0" y="0"/>
                            <a:ext cx="2514600" cy="3107530"/>
                          </a:xfrm>
                          <a:prstGeom prst="rect"/>
                        </pic:spPr>
                      </pic:pic>
                    </a:graphicData>
                  </a:graphic>
                </wp:inline>
              </w:drawing>
            </w:r>
          </w:p>
        </w:tc>
      </w:tr>
      <w:tr>
        <w:tc>
          <w:tcPr>
            <w:tcW w:type="dxa" w:w="5188"/>
            <w:tcMar>
              <w:top w:w="80" w:type="dxa"/>
              <w:start w:w="80" w:type="dxa"/>
              <w:bottom w:w="80" w:type="dxa"/>
              <w:end w:w="80" w:type="dxa"/>
            </w:tcMar>
            <w:vAlign w:val="center"/>
            <w:tcBorders>
              <w:top w:val="nil"/>
              <w:left w:val="nil"/>
              <w:bottom w:val="nil"/>
              <w:right w:val="nil"/>
              <w:insideH w:val="nil"/>
              <w:insideV w:val="nil"/>
            </w:tcBorders>
          </w:tcPr>
          <w:p>
            <w:pPr>
              <w:jc w:val="center"/>
            </w:pPr>
            <w:r>
              <w:rPr>
                <w:i/>
                <w:sz w:val="16"/>
              </w:rPr>
              <w:t>Figure 5. Individual and combined tumor regions.</w:t>
            </w:r>
          </w:p>
        </w:tc>
        <w:tc>
          <w:tcPr>
            <w:tcW w:type="dxa" w:w="5188"/>
            <w:tcMar>
              <w:top w:w="80" w:type="dxa"/>
              <w:start w:w="80" w:type="dxa"/>
              <w:bottom w:w="80" w:type="dxa"/>
              <w:end w:w="80" w:type="dxa"/>
            </w:tcMar>
            <w:vAlign w:val="center"/>
            <w:tcBorders>
              <w:top w:val="nil"/>
              <w:left w:val="nil"/>
              <w:bottom w:val="nil"/>
              <w:right w:val="nil"/>
              <w:insideH w:val="nil"/>
              <w:insideV w:val="nil"/>
            </w:tcBorders>
          </w:tcPr>
          <w:p>
            <w:pPr>
              <w:jc w:val="center"/>
            </w:pPr>
            <w:r>
              <w:rPr>
                <w:i/>
                <w:sz w:val="16"/>
              </w:rPr>
              <w:t>Figure 6. Labeled regions and measured areas.</w:t>
            </w:r>
          </w:p>
        </w:tc>
      </w:tr>
    </w:tbl>
    <w:p>
      <w:pPr>
        <w:spacing w:after="20"/>
      </w:pPr>
    </w:p>
    <w:p>
      <w:pPr>
        <w:spacing w:after="100" w:line="252" w:lineRule="auto"/>
      </w:pPr>
      <w:r>
        <w:t>The measured region areas are 531, 592 and 1586 pixels respectively. The first two regions have similar areas, while the third region is substantially larger.</w:t>
      </w:r>
    </w:p>
    <w:p>
      <w:pPr>
        <w:pStyle w:val="Heading1"/>
        <w:spacing w:before="80" w:after="60"/>
      </w:pPr>
      <w:r>
        <w:t>7. Structuring Element and Boundary Extraction</w:t>
      </w:r>
    </w:p>
    <w:p>
      <w:pPr>
        <w:spacing w:after="100" w:line="252" w:lineRule="auto"/>
      </w:pPr>
      <w:r>
        <w:t>A diamond-shaped structuring element is used for morphological processing. Dilation expands the binary regions. Subtracting the original mask from the dilated mask gives an approximation of the outer boundary, while erosion is used when deriving the inner boundary.</w:t>
      </w:r>
    </w:p>
    <w:tbl>
      <w:tblPr>
        <w:tblW w:type="auto" w:w="0"/>
        <w:jc w:val="center"/>
        <w:tblLayout w:type="fixed"/>
        <w:tblLook w:firstColumn="1" w:firstRow="1" w:lastColumn="0" w:lastRow="0" w:noHBand="0" w:noVBand="1" w:val="04A0"/>
      </w:tblPr>
      <w:tblGrid>
        <w:gridCol w:w="5188"/>
        <w:gridCol w:w="5188"/>
      </w:tblGrid>
      <w:tr>
        <w:tc>
          <w:tcPr>
            <w:tcW w:type="dxa" w:w="5188"/>
            <w:tcMar>
              <w:top w:w="80" w:type="dxa"/>
              <w:start w:w="80" w:type="dxa"/>
              <w:bottom w:w="80" w:type="dxa"/>
              <w:end w:w="80" w:type="dxa"/>
            </w:tcMar>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331720" cy="2486024"/>
                  <wp:docPr id="7" name="Picture 7"/>
                  <wp:cNvGraphicFramePr>
                    <a:graphicFrameLocks noChangeAspect="1"/>
                  </wp:cNvGraphicFramePr>
                  <a:graphic>
                    <a:graphicData uri="http://schemas.openxmlformats.org/drawingml/2006/picture">
                      <pic:pic>
                        <pic:nvPicPr>
                          <pic:cNvPr id="0" name="cell_38_1.png"/>
                          <pic:cNvPicPr/>
                        </pic:nvPicPr>
                        <pic:blipFill>
                          <a:blip r:embed="rId15"/>
                          <a:stretch>
                            <a:fillRect/>
                          </a:stretch>
                        </pic:blipFill>
                        <pic:spPr>
                          <a:xfrm>
                            <a:off x="0" y="0"/>
                            <a:ext cx="2331720" cy="2486024"/>
                          </a:xfrm>
                          <a:prstGeom prst="rect"/>
                        </pic:spPr>
                      </pic:pic>
                    </a:graphicData>
                  </a:graphic>
                </wp:inline>
              </w:drawing>
            </w:r>
          </w:p>
        </w:tc>
        <w:tc>
          <w:tcPr>
            <w:tcW w:type="dxa" w:w="5188"/>
            <w:tcMar>
              <w:top w:w="80" w:type="dxa"/>
              <w:start w:w="80" w:type="dxa"/>
              <w:bottom w:w="80" w:type="dxa"/>
              <w:end w:w="80" w:type="dxa"/>
            </w:tcMar>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331720" cy="2886610"/>
                  <wp:docPr id="8" name="Picture 8"/>
                  <wp:cNvGraphicFramePr>
                    <a:graphicFrameLocks noChangeAspect="1"/>
                  </wp:cNvGraphicFramePr>
                  <a:graphic>
                    <a:graphicData uri="http://schemas.openxmlformats.org/drawingml/2006/picture">
                      <pic:pic>
                        <pic:nvPicPr>
                          <pic:cNvPr id="0" name="cell_42_1.png"/>
                          <pic:cNvPicPr/>
                        </pic:nvPicPr>
                        <pic:blipFill>
                          <a:blip r:embed="rId16"/>
                          <a:stretch>
                            <a:fillRect/>
                          </a:stretch>
                        </pic:blipFill>
                        <pic:spPr>
                          <a:xfrm>
                            <a:off x="0" y="0"/>
                            <a:ext cx="2331720" cy="2886610"/>
                          </a:xfrm>
                          <a:prstGeom prst="rect"/>
                        </pic:spPr>
                      </pic:pic>
                    </a:graphicData>
                  </a:graphic>
                </wp:inline>
              </w:drawing>
            </w:r>
          </w:p>
        </w:tc>
      </w:tr>
      <w:tr>
        <w:tc>
          <w:tcPr>
            <w:tcW w:type="dxa" w:w="5188"/>
            <w:tcMar>
              <w:top w:w="80" w:type="dxa"/>
              <w:start w:w="80" w:type="dxa"/>
              <w:bottom w:w="80" w:type="dxa"/>
              <w:end w:w="80" w:type="dxa"/>
            </w:tcMar>
            <w:vAlign w:val="center"/>
            <w:tcBorders>
              <w:top w:val="nil"/>
              <w:left w:val="nil"/>
              <w:bottom w:val="nil"/>
              <w:right w:val="nil"/>
              <w:insideH w:val="nil"/>
              <w:insideV w:val="nil"/>
            </w:tcBorders>
          </w:tcPr>
          <w:p>
            <w:pPr>
              <w:jc w:val="center"/>
            </w:pPr>
            <w:r>
              <w:rPr>
                <w:i/>
                <w:sz w:val="16"/>
              </w:rPr>
              <w:t>Figure 7a. Diamond structuring element.</w:t>
            </w:r>
          </w:p>
        </w:tc>
        <w:tc>
          <w:tcPr>
            <w:tcW w:type="dxa" w:w="5188"/>
            <w:tcMar>
              <w:top w:w="80" w:type="dxa"/>
              <w:start w:w="80" w:type="dxa"/>
              <w:bottom w:w="80" w:type="dxa"/>
              <w:end w:w="80" w:type="dxa"/>
            </w:tcMar>
            <w:vAlign w:val="center"/>
            <w:tcBorders>
              <w:top w:val="nil"/>
              <w:left w:val="nil"/>
              <w:bottom w:val="nil"/>
              <w:right w:val="nil"/>
              <w:insideH w:val="nil"/>
              <w:insideV w:val="nil"/>
            </w:tcBorders>
          </w:tcPr>
          <w:p>
            <w:pPr>
              <w:jc w:val="center"/>
            </w:pPr>
            <w:r>
              <w:rPr>
                <w:i/>
                <w:sz w:val="16"/>
              </w:rPr>
              <w:t>Figure 7b. Detected outer boundaries.</w:t>
            </w:r>
          </w:p>
        </w:tc>
      </w:tr>
    </w:tbl>
    <w:p>
      <w:pPr>
        <w:spacing w:after="20"/>
      </w:pPr>
    </w:p>
    <w:p>
      <w:r>
        <w:br w:type="page"/>
      </w:r>
    </w:p>
    <w:p>
      <w:pPr>
        <w:pStyle w:val="Heading1"/>
        <w:spacing w:before="80" w:after="60"/>
      </w:pPr>
      <w:r>
        <w:t>8. Morphological Operations</w:t>
      </w:r>
    </w:p>
    <w:p>
      <w:pPr>
        <w:spacing w:after="100" w:line="252" w:lineRule="auto"/>
      </w:pPr>
      <w:r>
        <w:t>The final stage compares dilation, erosion, opening and closing. Opening is erosion followed by dilation, whereas closing is dilation followed by erosion. The inner and outer boundaries are also extracted for visual comparison.</w:t>
      </w:r>
    </w:p>
    <w:p>
      <w:pPr>
        <w:spacing w:after="40"/>
        <w:jc w:val="center"/>
      </w:pPr>
      <w:r>
        <w:drawing>
          <wp:inline xmlns:a="http://schemas.openxmlformats.org/drawingml/2006/main" xmlns:pic="http://schemas.openxmlformats.org/drawingml/2006/picture">
            <wp:extent cx="5166360" cy="4785869"/>
            <wp:docPr id="9" name="Picture 9"/>
            <wp:cNvGraphicFramePr>
              <a:graphicFrameLocks noChangeAspect="1"/>
            </wp:cNvGraphicFramePr>
            <a:graphic>
              <a:graphicData uri="http://schemas.openxmlformats.org/drawingml/2006/picture">
                <pic:pic>
                  <pic:nvPicPr>
                    <pic:cNvPr id="0" name="cell_46_1.png"/>
                    <pic:cNvPicPr/>
                  </pic:nvPicPr>
                  <pic:blipFill>
                    <a:blip r:embed="rId17"/>
                    <a:stretch>
                      <a:fillRect/>
                    </a:stretch>
                  </pic:blipFill>
                  <pic:spPr>
                    <a:xfrm>
                      <a:off x="0" y="0"/>
                      <a:ext cx="5166360" cy="4785869"/>
                    </a:xfrm>
                    <a:prstGeom prst="rect"/>
                  </pic:spPr>
                </pic:pic>
              </a:graphicData>
            </a:graphic>
          </wp:inline>
        </w:drawing>
      </w:r>
    </w:p>
    <w:p>
      <w:pPr>
        <w:spacing w:after="80"/>
        <w:jc w:val="center"/>
      </w:pPr>
      <w:r>
        <w:rPr>
          <w:i/>
          <w:sz w:val="17"/>
        </w:rPr>
        <w:t>Figure 8. Dilation, erosion, opening, closing, outer outline and inner outline.</w:t>
      </w:r>
    </w:p>
    <w:p>
      <w:pPr>
        <w:pStyle w:val="Heading1"/>
        <w:spacing w:before="80" w:after="60"/>
      </w:pPr>
      <w:r>
        <w:t>9. Final Visualization and Conclusion</w:t>
      </w:r>
    </w:p>
    <w:p>
      <w:pPr>
        <w:spacing w:after="40"/>
        <w:jc w:val="center"/>
      </w:pPr>
      <w:r>
        <w:drawing>
          <wp:inline xmlns:a="http://schemas.openxmlformats.org/drawingml/2006/main" xmlns:pic="http://schemas.openxmlformats.org/drawingml/2006/picture">
            <wp:extent cx="4343400" cy="2639491"/>
            <wp:docPr id="10" name="Picture 10"/>
            <wp:cNvGraphicFramePr>
              <a:graphicFrameLocks noChangeAspect="1"/>
            </wp:cNvGraphicFramePr>
            <a:graphic>
              <a:graphicData uri="http://schemas.openxmlformats.org/drawingml/2006/picture">
                <pic:pic>
                  <pic:nvPicPr>
                    <pic:cNvPr id="0" name="cell_47_1.png"/>
                    <pic:cNvPicPr/>
                  </pic:nvPicPr>
                  <pic:blipFill>
                    <a:blip r:embed="rId18"/>
                    <a:stretch>
                      <a:fillRect/>
                    </a:stretch>
                  </pic:blipFill>
                  <pic:spPr>
                    <a:xfrm>
                      <a:off x="0" y="0"/>
                      <a:ext cx="4343400" cy="2639491"/>
                    </a:xfrm>
                    <a:prstGeom prst="rect"/>
                  </pic:spPr>
                </pic:pic>
              </a:graphicData>
            </a:graphic>
          </wp:inline>
        </w:drawing>
      </w:r>
    </w:p>
    <w:p>
      <w:pPr>
        <w:spacing w:after="80"/>
        <w:jc w:val="center"/>
      </w:pPr>
      <w:r>
        <w:rPr>
          <w:i/>
          <w:sz w:val="17"/>
        </w:rPr>
        <w:t>Figure 9. Original brain image and visualization of the three target tumor regions.</w:t>
      </w:r>
    </w:p>
    <w:p>
      <w:pPr>
        <w:spacing w:after="100" w:line="252" w:lineRule="auto"/>
      </w:pPr>
      <w:r>
        <w:t>The project demonstrates a classical image-processing pipeline for isolating predefined regions of interest from a brain image. Manual thresholding, connected-component analysis and morphological operations are combined to identify, measure and visualize the three target regions.</w:t>
      </w:r>
    </w:p>
    <w:p>
      <w:pPr>
        <w:spacing w:before="40"/>
      </w:pPr>
      <w:r>
        <w:rPr>
          <w:b/>
        </w:rPr>
        <w:t xml:space="preserve">Educational disclaimer: </w:t>
      </w:r>
      <w:r>
        <w:rPr>
          <w:sz w:val="17"/>
        </w:rPr>
        <w:t>This project is for educational and computer vision demonstration purposes only. It is not a medical diagnostic system and must not be used for clinical diagnosis or medical decision-making.</w:t>
      </w:r>
    </w:p>
    <w:sectPr w:rsidR="00FC693F" w:rsidRPr="0006063C" w:rsidSect="00034616">
      <w:pgSz w:w="11906" w:h="16838"/>
      <w:pgMar w:top="652" w:right="765" w:bottom="652"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