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4ABB2">
      <w:pPr>
        <w:pStyle w:val="10"/>
        <w:jc w:val="center"/>
      </w:pPr>
    </w:p>
    <w:p w14:paraId="1A6D6C85">
      <w:pPr>
        <w:pStyle w:val="10"/>
        <w:jc w:val="center"/>
      </w:pPr>
    </w:p>
    <w:p w14:paraId="60249D5F">
      <w:pPr>
        <w:suppressAutoHyphens/>
        <w:jc w:val="center"/>
        <w:rPr>
          <w:rFonts w:ascii="Times New Roman" w:hAnsi="Times New Roman"/>
          <w:b/>
          <w:szCs w:val="28"/>
        </w:rPr>
      </w:pPr>
      <w:r>
        <w:rPr>
          <w:rFonts w:ascii="Times New Roman" w:hAnsi="Times New Roman"/>
          <w:b/>
          <w:szCs w:val="28"/>
        </w:rPr>
        <w:t>МЕЖДУНАРОДНЫЙ УНИВЕРСИТЕТ АСТАНА</w:t>
      </w:r>
    </w:p>
    <w:p w14:paraId="0489BCCC">
      <w:pPr>
        <w:pStyle w:val="12"/>
        <w:suppressAutoHyphens/>
        <w:jc w:val="center"/>
        <w:rPr>
          <w:sz w:val="28"/>
          <w:szCs w:val="28"/>
        </w:rPr>
      </w:pPr>
    </w:p>
    <w:p w14:paraId="57CA542D">
      <w:pPr>
        <w:pStyle w:val="12"/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>Высшая школа информационных технологий и инженерии</w:t>
      </w:r>
    </w:p>
    <w:p w14:paraId="3DF257F1">
      <w:pPr>
        <w:pStyle w:val="12"/>
        <w:suppressAutoHyphens/>
        <w:jc w:val="center"/>
        <w:rPr>
          <w:sz w:val="28"/>
          <w:szCs w:val="28"/>
        </w:rPr>
      </w:pPr>
    </w:p>
    <w:p w14:paraId="42635A89">
      <w:pPr>
        <w:pStyle w:val="12"/>
        <w:suppressAutoHyphens/>
        <w:jc w:val="center"/>
        <w:rPr>
          <w:sz w:val="28"/>
          <w:szCs w:val="28"/>
        </w:rPr>
      </w:pPr>
    </w:p>
    <w:p w14:paraId="7AC14A1D">
      <w:pPr>
        <w:pStyle w:val="12"/>
        <w:suppressAutoHyphens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5FF45F4">
      <w:pPr>
        <w:pStyle w:val="12"/>
        <w:suppressAutoHyphens/>
        <w:ind w:firstLine="709"/>
        <w:jc w:val="center"/>
        <w:rPr>
          <w:rFonts w:hint="default"/>
          <w:b/>
          <w:sz w:val="28"/>
          <w:szCs w:val="28"/>
          <w:lang w:val="kk-KZ"/>
        </w:rPr>
      </w:pPr>
      <w:r>
        <w:rPr>
          <w:b/>
          <w:sz w:val="28"/>
          <w:szCs w:val="28"/>
          <w:lang w:val="ru-RU"/>
        </w:rPr>
        <w:t>п</w:t>
      </w:r>
      <w:r>
        <w:rPr>
          <w:b/>
          <w:sz w:val="28"/>
          <w:szCs w:val="28"/>
        </w:rPr>
        <w:t>о</w:t>
      </w:r>
      <w:r>
        <w:rPr>
          <w:rFonts w:hint="default"/>
          <w:b/>
          <w:sz w:val="28"/>
          <w:szCs w:val="28"/>
          <w:lang w:val="ru-RU"/>
        </w:rPr>
        <w:t xml:space="preserve"> </w:t>
      </w:r>
      <w:r>
        <w:rPr>
          <w:rFonts w:hint="default"/>
          <w:b/>
          <w:sz w:val="28"/>
          <w:szCs w:val="28"/>
          <w:lang w:val="kk-KZ"/>
        </w:rPr>
        <w:t>сессионному проекту</w:t>
      </w:r>
    </w:p>
    <w:p w14:paraId="5BBA1E57">
      <w:pPr>
        <w:pStyle w:val="12"/>
        <w:suppressAutoHyphens/>
        <w:jc w:val="left"/>
        <w:rPr>
          <w:rFonts w:hint="default"/>
          <w:b w:val="0"/>
          <w:bCs/>
          <w:sz w:val="24"/>
          <w:szCs w:val="24"/>
          <w:lang w:val="kk-KZ"/>
        </w:rPr>
      </w:pPr>
      <w:r>
        <w:rPr>
          <w:rFonts w:hint="default"/>
          <w:b w:val="0"/>
          <w:bCs/>
          <w:sz w:val="24"/>
          <w:szCs w:val="24"/>
          <w:lang w:val="kk-KZ"/>
        </w:rPr>
        <w:t>Дисциплина: Основы интеллектуального анализа данных и машинного обучения</w:t>
      </w:r>
    </w:p>
    <w:p w14:paraId="78E32E5C">
      <w:pPr>
        <w:pStyle w:val="12"/>
        <w:suppressAutoHyphens/>
        <w:jc w:val="left"/>
        <w:rPr>
          <w:rFonts w:hint="default"/>
          <w:b w:val="0"/>
          <w:bCs/>
          <w:sz w:val="24"/>
          <w:szCs w:val="24"/>
          <w:lang w:val="ru-RU"/>
        </w:rPr>
      </w:pPr>
      <w:r>
        <w:rPr>
          <w:rFonts w:hint="default"/>
          <w:b w:val="0"/>
          <w:bCs/>
          <w:sz w:val="24"/>
          <w:szCs w:val="24"/>
          <w:lang w:val="kk-KZ"/>
        </w:rPr>
        <w:t xml:space="preserve">Выполнили: студенты 3 курса специальности </w:t>
      </w:r>
      <w:r>
        <w:rPr>
          <w:rFonts w:hint="default"/>
          <w:b w:val="0"/>
          <w:bCs/>
          <w:sz w:val="24"/>
          <w:szCs w:val="24"/>
          <w:lang w:val="en-US"/>
        </w:rPr>
        <w:t xml:space="preserve">Data Science </w:t>
      </w:r>
      <w:r>
        <w:rPr>
          <w:rFonts w:hint="default"/>
          <w:b w:val="0"/>
          <w:bCs/>
          <w:sz w:val="24"/>
          <w:szCs w:val="24"/>
          <w:lang w:val="ru-RU"/>
        </w:rPr>
        <w:t>Испанов Ермек, Кульмагамбетов Бий</w:t>
      </w:r>
    </w:p>
    <w:p w14:paraId="4BE0FA94">
      <w:pPr>
        <w:pStyle w:val="10"/>
      </w:pPr>
    </w:p>
    <w:p w14:paraId="31AC701B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1. Введение и цель проекта</w:t>
      </w:r>
    </w:p>
    <w:p w14:paraId="2C5B04B2">
      <w:pPr>
        <w:pStyle w:val="11"/>
        <w:keepNext w:val="0"/>
        <w:keepLines w:val="0"/>
        <w:widowControl/>
        <w:suppressLineNumbers w:val="0"/>
      </w:pPr>
      <w:r>
        <w:t xml:space="preserve">В рамках сессионного проекта по дисциплине «Машинное обучение» была выполнена практическая работа по построению и анализу моделей машинного обучения на реальном банковском датасете. Целью проекта являлось не только получение качественных предсказаний, но и глубокое понимание принципов работы базовых алгоритмов машинного обучения за счёт их реализации </w:t>
      </w:r>
      <w:r>
        <w:rPr>
          <w:rStyle w:val="9"/>
          <w:b w:val="0"/>
          <w:bCs w:val="0"/>
        </w:rPr>
        <w:t>с нуля</w:t>
      </w:r>
      <w:r>
        <w:t>, без использования готовых моделей из библиотек.</w:t>
      </w:r>
    </w:p>
    <w:p w14:paraId="34C3C4A2">
      <w:pPr>
        <w:pStyle w:val="11"/>
        <w:keepNext w:val="0"/>
        <w:keepLines w:val="0"/>
        <w:widowControl/>
        <w:suppressLineNumbers w:val="0"/>
      </w:pPr>
      <w:r>
        <w:t>В проекте решались две основные задачи:</w:t>
      </w:r>
    </w:p>
    <w:p w14:paraId="0144E660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Задача регрессии</w:t>
      </w:r>
      <w:r>
        <w:t xml:space="preserve"> — предсказание числ</w:t>
      </w:r>
      <w:bookmarkStart w:id="0" w:name="_GoBack"/>
      <w:bookmarkEnd w:id="0"/>
      <w:r>
        <w:t xml:space="preserve">ового показателя </w:t>
      </w:r>
      <w:r>
        <w:rPr>
          <w:rStyle w:val="6"/>
          <w:rFonts w:hint="default" w:ascii="Times New Roman" w:hAnsi="Times New Roman" w:cs="Times New Roman"/>
          <w:i w:val="0"/>
          <w:iCs w:val="0"/>
        </w:rPr>
        <w:t>баланса клиента</w:t>
      </w:r>
      <w:r>
        <w:rPr>
          <w:rFonts w:hint="default" w:ascii="Times New Roman" w:hAnsi="Times New Roman" w:cs="Times New Roman"/>
        </w:rPr>
        <w:t xml:space="preserve"> (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balance</w:t>
      </w:r>
      <w:r>
        <w:rPr>
          <w:rFonts w:hint="default" w:ascii="Times New Roman" w:hAnsi="Times New Roman" w:cs="Times New Roman"/>
        </w:rPr>
        <w:t>).</w:t>
      </w:r>
    </w:p>
    <w:p w14:paraId="76137734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Задача классификации</w:t>
      </w:r>
      <w:r>
        <w:t xml:space="preserve"> — определение того, оформит ли клиент банковский депозит (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deposit</w:t>
      </w:r>
      <w:r>
        <w:t>).</w:t>
      </w:r>
    </w:p>
    <w:p w14:paraId="15A97480">
      <w:pPr>
        <w:pStyle w:val="11"/>
        <w:keepNext w:val="0"/>
        <w:keepLines w:val="0"/>
        <w:widowControl/>
        <w:suppressLineNumbers w:val="0"/>
      </w:pPr>
      <w:r>
        <w:t>Для решения задач были реализованы и проанализированы следующие модели:</w:t>
      </w:r>
    </w:p>
    <w:p w14:paraId="3F7FE8A8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линейная регрессия (реализация с нуля);</w:t>
      </w:r>
    </w:p>
    <w:p w14:paraId="3A233E9F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логистическая регрессия (реализация с нуля);</w:t>
      </w:r>
    </w:p>
    <w:p w14:paraId="4948E59C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модель Random Forest (с использованием библиотеки sklearn для сравнения качества).</w:t>
      </w:r>
    </w:p>
    <w:p w14:paraId="26594F6B">
      <w:pPr>
        <w:pStyle w:val="11"/>
        <w:keepNext w:val="0"/>
        <w:keepLines w:val="0"/>
        <w:widowControl/>
        <w:suppressLineNumbers w:val="0"/>
      </w:pPr>
      <w:r>
        <w:t>Отдельное внимание уделялось экспериментам с гиперпараметрами, анализу метрик качества и визуализации результатов.</w:t>
      </w:r>
    </w:p>
    <w:p w14:paraId="0624483D">
      <w:pPr>
        <w:pStyle w:val="10"/>
      </w:pPr>
    </w:p>
    <w:p w14:paraId="20790F2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8E43B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ACFEF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2. Описание и источник данных</w:t>
      </w:r>
    </w:p>
    <w:p w14:paraId="6BE2960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проекте использовался реальный открытый датасет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cs="Times New Roman"/>
          <w:b/>
          <w:bCs/>
          <w:sz w:val="24"/>
          <w:szCs w:val="24"/>
        </w:rPr>
        <w:t>Bank Marketing Dataset</w:t>
      </w:r>
      <w:r>
        <w:rPr>
          <w:rFonts w:hint="default" w:ascii="Times New Roman" w:hAnsi="Times New Roman" w:cs="Times New Roman"/>
          <w:sz w:val="24"/>
          <w:szCs w:val="24"/>
        </w:rPr>
        <w:t>, предоставленный на платформе Kaggle.</w:t>
      </w:r>
    </w:p>
    <w:p w14:paraId="463A202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Источник данных: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"https://www.kaggle.com/datasets/janiobachmann/bank-marketing-dataset"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https://www.kaggle.com/datasets/janiobachmann/bank-marketing-dataset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647004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Датасет содержит информацию о клиентах банка и результатах маркетинговых кампаний по привлечению вкладчиков.</w:t>
      </w:r>
    </w:p>
    <w:p w14:paraId="78E74E0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Основные характеристики датасета:</w:t>
      </w:r>
    </w:p>
    <w:p w14:paraId="0C54C47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Количество наблюдений: 45 211 строк</w:t>
      </w:r>
    </w:p>
    <w:p w14:paraId="0711151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Количество признаков: 17</w:t>
      </w:r>
    </w:p>
    <w:p w14:paraId="3F2C00F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Тип данных: структурированные табличные данные</w:t>
      </w:r>
    </w:p>
    <w:p w14:paraId="082E38C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Описание признаков (основные):</w:t>
      </w:r>
    </w:p>
    <w:p w14:paraId="14E93257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age</w:t>
      </w:r>
      <w:r>
        <w:rPr>
          <w:rFonts w:hint="default" w:ascii="Times New Roman" w:hAnsi="Times New Roman" w:cs="Times New Roman"/>
          <w:sz w:val="24"/>
          <w:szCs w:val="24"/>
        </w:rPr>
        <w:t xml:space="preserve"> — возраст клиента</w:t>
      </w:r>
    </w:p>
    <w:p w14:paraId="1A5013ED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job</w:t>
      </w:r>
      <w:r>
        <w:rPr>
          <w:rFonts w:hint="default" w:ascii="Times New Roman" w:hAnsi="Times New Roman" w:cs="Times New Roman"/>
          <w:sz w:val="24"/>
          <w:szCs w:val="24"/>
        </w:rPr>
        <w:t xml:space="preserve"> — тип занятости</w:t>
      </w:r>
    </w:p>
    <w:p w14:paraId="71A6E7D7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marital</w:t>
      </w:r>
      <w:r>
        <w:rPr>
          <w:rFonts w:hint="default" w:ascii="Times New Roman" w:hAnsi="Times New Roman" w:cs="Times New Roman"/>
          <w:sz w:val="24"/>
          <w:szCs w:val="24"/>
        </w:rPr>
        <w:t xml:space="preserve"> — семейное положение</w:t>
      </w:r>
    </w:p>
    <w:p w14:paraId="3BB12A43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education</w:t>
      </w:r>
      <w:r>
        <w:rPr>
          <w:rFonts w:hint="default" w:ascii="Times New Roman" w:hAnsi="Times New Roman" w:cs="Times New Roman"/>
          <w:sz w:val="24"/>
          <w:szCs w:val="24"/>
        </w:rPr>
        <w:t xml:space="preserve"> — уровень образования</w:t>
      </w:r>
    </w:p>
    <w:p w14:paraId="15596028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balance</w:t>
      </w:r>
      <w:r>
        <w:rPr>
          <w:rFonts w:hint="default" w:ascii="Times New Roman" w:hAnsi="Times New Roman" w:cs="Times New Roman"/>
          <w:sz w:val="24"/>
          <w:szCs w:val="24"/>
        </w:rPr>
        <w:t xml:space="preserve"> — баланс счёта клиента</w:t>
      </w:r>
    </w:p>
    <w:p w14:paraId="2DB5374A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housing</w:t>
      </w:r>
      <w:r>
        <w:rPr>
          <w:rFonts w:hint="default" w:ascii="Times New Roman" w:hAnsi="Times New Roman" w:cs="Times New Roman"/>
          <w:sz w:val="24"/>
          <w:szCs w:val="24"/>
        </w:rPr>
        <w:t xml:space="preserve"> — наличие ипотечного кредита</w:t>
      </w:r>
    </w:p>
    <w:p w14:paraId="5C19991C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loan</w:t>
      </w:r>
      <w:r>
        <w:rPr>
          <w:rFonts w:hint="default" w:ascii="Times New Roman" w:hAnsi="Times New Roman" w:cs="Times New Roman"/>
          <w:sz w:val="24"/>
          <w:szCs w:val="24"/>
        </w:rPr>
        <w:t xml:space="preserve"> — наличие потребительского кредита</w:t>
      </w:r>
    </w:p>
    <w:p w14:paraId="145F31D5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duration</w:t>
      </w:r>
      <w:r>
        <w:rPr>
          <w:rFonts w:hint="default" w:ascii="Times New Roman" w:hAnsi="Times New Roman" w:cs="Times New Roman"/>
          <w:sz w:val="24"/>
          <w:szCs w:val="24"/>
        </w:rPr>
        <w:t xml:space="preserve"> — длительность последнего контакта</w:t>
      </w:r>
    </w:p>
    <w:p w14:paraId="3809A728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campaign</w:t>
      </w:r>
      <w:r>
        <w:rPr>
          <w:rFonts w:hint="default" w:ascii="Times New Roman" w:hAnsi="Times New Roman" w:cs="Times New Roman"/>
          <w:sz w:val="24"/>
          <w:szCs w:val="24"/>
        </w:rPr>
        <w:t xml:space="preserve"> — количество контактов в рамках кампании</w:t>
      </w:r>
    </w:p>
    <w:p w14:paraId="1A1D5363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deposit</w:t>
      </w:r>
      <w:r>
        <w:rPr>
          <w:rFonts w:hint="default" w:ascii="Times New Roman" w:hAnsi="Times New Roman" w:cs="Times New Roman"/>
          <w:sz w:val="24"/>
          <w:szCs w:val="24"/>
        </w:rPr>
        <w:t xml:space="preserve"> — целевая переменная (оформил депозит или нет)</w:t>
      </w:r>
    </w:p>
    <w:p w14:paraId="02D8BA9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Для задачи регрессии использовалась переменная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balance</w:t>
      </w:r>
      <w:r>
        <w:rPr>
          <w:rFonts w:hint="default" w:ascii="Times New Roman" w:hAnsi="Times New Roman" w:cs="Times New Roman"/>
          <w:sz w:val="24"/>
          <w:szCs w:val="24"/>
        </w:rPr>
        <w:t xml:space="preserve">, а для задачи классификации —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deposit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8094E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3. Предобработка данных</w:t>
      </w:r>
    </w:p>
    <w:p w14:paraId="114785C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Перед построением моделей была выполнена стандартная предобработка данных:</w:t>
      </w:r>
    </w:p>
    <w:p w14:paraId="2F07133A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Обработка категориальных признаков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Категориальные переменные (job, marital, education и др.) были преобразованы в числовой формат с использованием кодирования.</w:t>
      </w:r>
    </w:p>
    <w:p w14:paraId="7EF50288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Выделение целевых переменных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Для регрессии: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y = balance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Для классификации: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y = deposit</w:t>
      </w:r>
    </w:p>
    <w:p w14:paraId="11780B6C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Масштабирование признаков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Числовые признаки были приведены к сопоставимым масштабам, что существенно ускоряет и стабилизирует работу градиентного спуска.</w:t>
      </w:r>
    </w:p>
    <w:p w14:paraId="47357440"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Добавление свободного члена (intercept)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Для линейной и логистической регрессии вручную был добавлен столбец единиц.</w:t>
      </w:r>
    </w:p>
    <w:p w14:paraId="1276BB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4. Линейная регрессия (реализация с нуля)</w:t>
      </w:r>
    </w:p>
    <w:p w14:paraId="552A544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Линейная регрессия использовалась для предсказания баланса клиента.</w:t>
      </w:r>
    </w:p>
    <w:p w14:paraId="5CA59A2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4.1 Математическая модель</w:t>
      </w:r>
    </w:p>
    <w:p w14:paraId="0FCBE7E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Модель линейной регрессии имеет вид:</w:t>
      </w:r>
    </w:p>
    <w:p w14:paraId="2F27960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 = wX + b</w:t>
      </w:r>
    </w:p>
    <w:p w14:paraId="1D52FFB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 качестве функции потерь использовалась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среднеквадратичная ошибка (MSE)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5735CD5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MSE = (1 / n) * Σ(y_true − y_pred)²</w:t>
      </w:r>
    </w:p>
    <w:p w14:paraId="5E2DFA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4.2 Обучение модели</w:t>
      </w:r>
    </w:p>
    <w:p w14:paraId="6B53D86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Обучение модели осуществлялось с помощью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batch gradient descent</w:t>
      </w:r>
      <w:r>
        <w:rPr>
          <w:rFonts w:hint="default" w:ascii="Times New Roman" w:hAnsi="Times New Roman" w:cs="Times New Roman"/>
          <w:sz w:val="24"/>
          <w:szCs w:val="24"/>
        </w:rPr>
        <w:t>, реализованного вручную с использованием библиотеки NumPy. На каждой эпохе вычислялись градиенты по весам и свободному члену, после чего параметры обновлялись.</w:t>
      </w:r>
    </w:p>
    <w:p w14:paraId="0F8EE6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4.3 Результаты</w:t>
      </w:r>
    </w:p>
    <w:p w14:paraId="2D6EF79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процессе обучения были построены:</w:t>
      </w:r>
    </w:p>
    <w:p w14:paraId="6033DF4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график функции потерь по эпохам;</w:t>
      </w:r>
    </w:p>
    <w:p w14:paraId="3EB8C27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3167380" cy="2265045"/>
            <wp:effectExtent l="0" t="0" r="2540" b="5715"/>
            <wp:docPr id="2" name="Изображение 2" descr="Снимок экрана 2025-11-06 215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5-11-06 2154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6B2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scatter plot реальных данных и линия регрессии;</w:t>
      </w:r>
    </w:p>
    <w:p w14:paraId="38012DF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3905250" cy="2674620"/>
            <wp:effectExtent l="0" t="0" r="11430" b="7620"/>
            <wp:docPr id="3" name="Изображение 3" descr="Снимок экрана 2025-11-06 215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5-11-06 2154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A1B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анализ влияния learning rate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на скорость сходимости.</w:t>
      </w:r>
    </w:p>
    <w:p w14:paraId="5900DAD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3497580" cy="2515870"/>
            <wp:effectExtent l="0" t="0" r="7620" b="13970"/>
            <wp:docPr id="4" name="Изображение 4" descr="Снимок экрана 2025-11-06 215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5-11-06 2154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487BBC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D7A41F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Модель успешно сошлась, что подтверждается монотонным уменьшением значения функции потерь.</w:t>
      </w:r>
    </w:p>
    <w:p w14:paraId="7B96C8A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5. Логистическая регрессия (реализация с нуля)</w:t>
      </w:r>
    </w:p>
    <w:p w14:paraId="687412E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Логистическая регрессия применялась для бинарной классификации клиентов по признаку оформления депозита.</w:t>
      </w:r>
    </w:p>
    <w:p w14:paraId="1C94DA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5.1 Математическая модель</w:t>
      </w:r>
    </w:p>
    <w:p w14:paraId="41BAD351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основе модели лежит сигмоидная функция:</w:t>
      </w:r>
    </w:p>
    <w:p w14:paraId="3C66BC1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σ(z) = 1 / (1 + e⁻ᶻ)</w:t>
      </w:r>
    </w:p>
    <w:p w14:paraId="11B909E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Функция потерь —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log loss</w:t>
      </w:r>
      <w:r>
        <w:rPr>
          <w:rFonts w:hint="default" w:ascii="Times New Roman" w:hAnsi="Times New Roman" w:cs="Times New Roman"/>
          <w:sz w:val="24"/>
          <w:szCs w:val="24"/>
        </w:rPr>
        <w:t>:</w:t>
      </w:r>
    </w:p>
    <w:p w14:paraId="0200A6B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 = −[y·log(p) + (1−y)·log(1−p)]</w:t>
      </w:r>
    </w:p>
    <w:p w14:paraId="139A12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5.2 Обучение модели</w:t>
      </w:r>
    </w:p>
    <w:p w14:paraId="50A13F8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Как и в линейной регрессии, обучение выполнялось методом градиентного спуска, реализованного с нуля. На каждой итерации вычислялись градиенты функции потерь и обновлялись веса модели.</w:t>
      </w:r>
    </w:p>
    <w:p w14:paraId="2E1EB4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5.3 Метрики качества</w:t>
      </w:r>
    </w:p>
    <w:p w14:paraId="484143C5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оценки классификации использовались:</w:t>
      </w:r>
    </w:p>
    <w:p w14:paraId="7ED8DAB1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Accuracy</w:t>
      </w:r>
    </w:p>
    <w:p w14:paraId="4CC22F2D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Precision</w:t>
      </w:r>
    </w:p>
    <w:p w14:paraId="6A45AC07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Recall</w:t>
      </w:r>
    </w:p>
    <w:p w14:paraId="726BA0C3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F1-score</w:t>
      </w:r>
    </w:p>
    <w:p w14:paraId="5A336A7A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ROC AUC</w:t>
      </w:r>
    </w:p>
    <w:p w14:paraId="04A3FC68">
      <w:pPr>
        <w:pStyle w:val="11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Confusion Matrix</w:t>
      </w:r>
    </w:p>
    <w:p w14:paraId="4EC18981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2886075" cy="1095375"/>
            <wp:effectExtent l="0" t="0" r="9525" b="1905"/>
            <wp:docPr id="5" name="Изображение 5" descr="Снимок экрана 2025-11-06 220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5-11-06 2208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BABC">
      <w:pPr>
        <w:pStyle w:val="11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3324225" cy="2846705"/>
            <wp:effectExtent l="0" t="0" r="13335" b="3175"/>
            <wp:docPr id="6" name="Изображение 6" descr="Снимок экрана 2025-11-06 21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5-11-06 2155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DBD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Были проведены эксперименты с разными значениями learning rate и количеством эпох, что позволило оценить устойчивость модели.</w:t>
      </w:r>
    </w:p>
    <w:p w14:paraId="619E3D7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3698240" cy="2643505"/>
            <wp:effectExtent l="0" t="0" r="5080" b="8255"/>
            <wp:docPr id="7" name="Изображение 7" descr="Снимок экрана 2025-11-06 215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5-11-06 21554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438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6. Random Forest и сравнение моделей</w:t>
      </w:r>
    </w:p>
    <w:p w14:paraId="3A4FD76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 качестве альтернативной модели классификации был использован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Random Forest</w:t>
      </w:r>
      <w:r>
        <w:rPr>
          <w:rFonts w:hint="default" w:ascii="Times New Roman" w:hAnsi="Times New Roman" w:cs="Times New Roman"/>
          <w:sz w:val="24"/>
          <w:szCs w:val="24"/>
        </w:rPr>
        <w:t xml:space="preserve"> из библиотеки sklearn.</w:t>
      </w:r>
    </w:p>
    <w:p w14:paraId="4A3125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6.1 Причина выбора модели</w:t>
      </w:r>
    </w:p>
    <w:p w14:paraId="42A8019B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Random Forest позволяет:</w:t>
      </w:r>
    </w:p>
    <w:p w14:paraId="5F66E70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учитывать нелинейные зависимости;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быть менее чувствительным к масштабу признаков;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</w:t>
      </w:r>
      <w:r>
        <w:rPr>
          <w:rFonts w:hint="default" w:ascii="Times New Roman" w:hAnsi="Times New Roman" w:cs="Times New Roman"/>
          <w:sz w:val="24"/>
          <w:szCs w:val="24"/>
        </w:rPr>
        <w:t>нижать переобучение за счёт ансамблирования.</w:t>
      </w:r>
    </w:p>
    <w:p w14:paraId="64A09D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6.2 Сравнение результатов</w:t>
      </w:r>
    </w:p>
    <w:p w14:paraId="52CE584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Результаты логистической регрессии и Random Forest были сравнены по всем основным метрикам. В большинстве случаев Random Forest показал более высокое качество классификации, что объясняется его способностью моделировать сложные зависимости между признаками.</w:t>
      </w:r>
    </w:p>
    <w:p w14:paraId="63E39FD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3985260" cy="1059815"/>
            <wp:effectExtent l="0" t="0" r="7620" b="6985"/>
            <wp:docPr id="9" name="Изображение 9" descr="Снимок экрана 2025-11-06 221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5-11-06 2211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E0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7. Эксперименты и визуализация</w:t>
      </w:r>
    </w:p>
    <w:p w14:paraId="368DAB9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рамках проекта были проведены эксперименты:</w:t>
      </w:r>
    </w:p>
    <w:p w14:paraId="0C3DFD6C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влияние learning rate на скорость и стабильность сходимости;</w:t>
      </w:r>
    </w:p>
    <w:p w14:paraId="796BC9F6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изменение количества эпох обучения;</w:t>
      </w:r>
    </w:p>
    <w:p w14:paraId="4C6B5B27"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анализ поведения функции потерь.</w:t>
      </w:r>
    </w:p>
    <w:p w14:paraId="0447118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Для удобства демонстрации был реализован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интерактивный интерфейс в Google Colab</w:t>
      </w:r>
      <w:r>
        <w:rPr>
          <w:rFonts w:hint="default" w:ascii="Times New Roman" w:hAnsi="Times New Roman" w:cs="Times New Roman"/>
          <w:sz w:val="24"/>
          <w:szCs w:val="24"/>
        </w:rPr>
        <w:t>, позволяющий выбирать модель и изменять параметры обучения в реальном времени.</w:t>
      </w:r>
    </w:p>
    <w:p w14:paraId="437A178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3039110" cy="1212850"/>
            <wp:effectExtent l="0" t="0" r="8890" b="6350"/>
            <wp:docPr id="10" name="Изображение 10" descr="Снимок экрана 2025-11-06 220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Снимок экрана 2025-11-06 2203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CA6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8. Выводы</w:t>
      </w:r>
    </w:p>
    <w:p w14:paraId="710605BD">
      <w:pPr>
        <w:pStyle w:val="11"/>
        <w:keepNext w:val="0"/>
        <w:keepLines w:val="0"/>
        <w:widowControl/>
        <w:suppressLineNumbers w:val="0"/>
      </w:pPr>
      <w:r>
        <w:t>В ходе выполнения проекта были реализованы и исследованы методы машинного обучения на основе реального банковского датасета. Линейная и логистическая регрессии были реализованы с нуля, что позволило подробно изучить работу градиентного спуска, влияние скорости обучения и количества эпох на сходимость моделей. Эксперименты показали, что корректный выбор гиперпараметров напрямую влияет на качество обучения и стабильность алгоритмов.</w:t>
      </w:r>
    </w:p>
    <w:p w14:paraId="77D9246A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t>Для задачи классификации была реализована логистическая регрессия и проведено сравнение с моделью Random Forest. Результаты показали, что логистическая регрессия является простой и интерпретируемой базовой моделью, однако Random Forest демонстрирует более высокое качество классификации за счёт способности учитывать сложные и нелинейные зависимости между признаками. В результате цели проекта были достигнуты, а полученные результаты подтвердили эффективность применения различных моделей машинного обучения для анализа банковских данных.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Semi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ascadia Mono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01E6A"/>
    <w:multiLevelType w:val="singleLevel"/>
    <w:tmpl w:val="A8C01E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77E5BC2"/>
    <w:multiLevelType w:val="singleLevel"/>
    <w:tmpl w:val="D77E5BC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78C271A"/>
    <w:multiLevelType w:val="singleLevel"/>
    <w:tmpl w:val="078C27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743937A"/>
    <w:multiLevelType w:val="singleLevel"/>
    <w:tmpl w:val="674393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F1FEE"/>
    <w:rsid w:val="39E4341C"/>
    <w:rsid w:val="3BEF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Arial" w:hAnsi="Arial" w:eastAsia="SimSun" w:cs="Times New Roman"/>
      <w:sz w:val="28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header"/>
    <w:basedOn w:val="1"/>
    <w:qFormat/>
    <w:uiPriority w:val="99"/>
    <w:pPr>
      <w:tabs>
        <w:tab w:val="center" w:pos="4677"/>
        <w:tab w:val="right" w:pos="9355"/>
      </w:tabs>
    </w:p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2">
    <w:name w:val="Приложение"/>
    <w:basedOn w:val="13"/>
    <w:uiPriority w:val="0"/>
    <w:pPr>
      <w:jc w:val="right"/>
      <w:outlineLvl w:val="1"/>
    </w:pPr>
  </w:style>
  <w:style w:type="paragraph" w:customStyle="1" w:styleId="13">
    <w:name w:val="Абзац"/>
    <w:basedOn w:val="1"/>
    <w:uiPriority w:val="0"/>
    <w:pPr>
      <w:spacing w:before="120"/>
      <w:jc w:val="both"/>
    </w:pPr>
    <w:rPr>
      <w:rFonts w:ascii="Times New Roman" w:hAnsi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2025-11-06T15:14:00Z</dcterms:created>
  <dc:creator>Анель</dc:creator>
  <cp:lastModifiedBy>Анель</cp:lastModifiedBy>
  <dcterms:modified xsi:type="dcterms:W3CDTF">2025-11-06T17:17:50Z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465E917ECE5D47E28EF8F59FCE3D8E02_11</vt:lpwstr>
  </property>
</Properties>
</file>