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8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Ten Lifestyle Group</w:t>
      </w:r>
    </w:p>
    <w:p>
      <w:pPr>
        <w:spacing w:after="120"/>
        <w:jc w:val="left"/>
      </w:pPr>
      <w:r>
        <w:rPr>
          <w:rFonts w:ascii="Times New Roman" w:hAnsi="Times New Roman" w:cs="Times New Roman"/>
          <w:sz w:val="22"/>
          <w:szCs w:val="22"/>
        </w:rPr>
        <w:t>Application: AI Engineer</w:t>
      </w:r>
    </w:p>
    <w:p>
      <w:pPr>
        <w:spacing w:after="120"/>
        <w:jc w:val="left"/>
      </w:pPr>
      <w:r>
        <w:rPr>
          <w:rFonts w:ascii="Times New Roman" w:hAnsi="Times New Roman" w:cs="Times New Roman"/>
          <w:sz w:val="22"/>
          <w:szCs w:val="22"/>
        </w:rPr>
        <w:t>Dear Ten hiring team,</w:t>
      </w:r>
    </w:p>
    <w:p>
      <w:pPr>
        <w:spacing w:after="120"/>
        <w:jc w:val="both"/>
      </w:pPr>
      <w:r>
        <w:rPr>
          <w:rFonts w:ascii="Times New Roman" w:hAnsi="Times New Roman" w:cs="Times New Roman"/>
          <w:sz w:val="22"/>
          <w:szCs w:val="22"/>
        </w:rPr>
        <w:t>I am applying for the AI Engineer role at Ten. Building AI systems, running them yourselves and choosing the right solution with cost and timelines in mind is how I worked for three years at HDFC Asset Management, building GenAI applications for a regulated financial services firm, deploying them on AWS and changing them after real users found what broke. Ten's AI work reaches millions of members, and that scale is the setting I want to work in.</w:t>
      </w:r>
    </w:p>
    <w:p>
      <w:pPr>
        <w:spacing w:after="120"/>
        <w:jc w:val="both"/>
      </w:pPr>
      <w:r>
        <w:rPr>
          <w:rFonts w:ascii="Times New Roman" w:hAnsi="Times New Roman" w:cs="Times New Roman"/>
          <w:sz w:val="22"/>
          <w:szCs w:val="22"/>
        </w:rPr>
        <w:t>At HDFC I designed and built department-specific GenAI applications end to end: a ReactJS frontend, Python FastAPI microservices in Docker, and RAG logic using LlamaIndex with Azure OpenAI GPT-3.5 and Llama-3, with a separate pgvector database for each of Compliance, Client Service and Investment (access was department-based, and at that early stage the models were not good at telling similar content apart across departments). The agents use tool-calling to run fund-comparison calculations on our PostgreSQL data and produce PDF reports. For the largest department I self-hosted Llama-3 on a GPU EC2 instance and kept Azure OpenAI for decision makers, a cost decision I could change later. The department RAG chatbot won Best Team Project 2025 internally.</w:t>
      </w:r>
    </w:p>
    <w:p>
      <w:pPr>
        <w:spacing w:after="120"/>
        <w:jc w:val="both"/>
      </w:pPr>
      <w:r>
        <w:rPr>
          <w:rFonts w:ascii="Times New Roman" w:hAnsi="Times New Roman" w:cs="Times New Roman"/>
          <w:sz w:val="22"/>
          <w:szCs w:val="22"/>
        </w:rPr>
        <w:t>I ran what I built: AWS deployment through a one-click Jenkins and GitLab pipeline for dev and prod, separate frontend and backend containers, role-based access through the company LDAP server, and an Nginx reverse proxy as one of the fixes that took the applications from repeatedly failing the security team's VAPT to passing it. My email-parsing pipeline handles over 300 daily emails and saves 60 analyst hours a month; when one rating agency began sending images, my Textract-based parser broke, so I moved parsing to Azure OpenAI, which fixed the failure and was more accurate.</w:t>
      </w:r>
    </w:p>
    <w:p>
      <w:pPr>
        <w:spacing w:after="120"/>
        <w:jc w:val="both"/>
      </w:pPr>
      <w:r>
        <w:rPr>
          <w:rFonts w:ascii="Times New Roman" w:hAnsi="Times New Roman" w:cs="Times New Roman"/>
          <w:sz w:val="22"/>
          <w:szCs w:val="22"/>
        </w:rPr>
        <w:t>I want to be direct about the gaps. I have used hand-written Python tool-calling and LlamaIndex, not LangGraph or CrewAI, and I have not built multi-agent systems. I have not written Terraform (I provisioned EC2 from CloudFormation templates prepared by the security team) or run Kubernetes, Prometheus, Grafana or Datadog, and my datastores have been PostgreSQL with pgvector and SQLite, not NoSQL. At HDFC I improved applications through user feedback, system-prompt guardrails, versioned prompts and Compliance review rather than formal evaluation datasets; building evaluation and automated testing into live AI systems is something I want to do properly.</w:t>
      </w:r>
    </w:p>
    <w:p>
      <w:pPr>
        <w:spacing w:after="120"/>
        <w:jc w:val="both"/>
      </w:pPr>
      <w:r>
        <w:rPr>
          <w:rFonts w:ascii="Times New Roman" w:hAnsi="Times New Roman" w:cs="Times New Roman"/>
          <w:sz w:val="22"/>
          <w:szCs w:val="22"/>
        </w:rPr>
        <w:t>In my Wingman project, rate limits shaped the design: evaluation uses 12 LLM calls instead of 108, calls are serialised and responses are cached by input hash, and LLM output is treated as untrusted, validated with Pydantic and repaired before use. At HDFC I worked directly with Client Service, Compliance and Investment and, in my final year, acted as de facto team lead for up to four interns. With my MSc team I co-built CellLineSelector with AstraZeneca, working on the preprocessing pipeline, scoring algorithm and RAG layer.</w:t>
      </w:r>
    </w:p>
    <w:p>
      <w:pPr>
        <w:spacing w:after="120"/>
        <w:jc w:val="both"/>
      </w:pPr>
      <w:r>
        <w:rPr>
          <w:rFonts w:ascii="Times New Roman" w:hAnsi="Times New Roman" w:cs="Times New Roman"/>
          <w:sz w:val="22"/>
          <w:szCs w:val="22"/>
        </w:rPr>
        <w:t>I am currently based in Bristol and would be glad to discuss the London hybrid arrangement.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