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AI Engineer with 3 years of in-house industry experience at HDFC Asset Management building and running production GenAI solutions end to end: department-specific RAG chatbots and knowledge-retrieval applications on Azure OpenAI and LlamaIndex with pgvector, tool-calling agents that automate analyst workflows, and the Python FastAPI services, data pipelines and ReactJS frontends around them, deployed on AWS with LDAP-based access control. Worked directly with Compliance, Client Service and Investment stakeholders in a regulated financial firm, with Compliance reviewing every application before release; acted as de facto team lead for up to 4 interns and was twice recognised internally with Best Team Project (2024, 2025). Recently completed an MSc in Data Science at the University of Bristol (result awaited), with a dissertation in partnership with AstraZeneca. Seeking an AI Engineer role delivering LLM, RAG and workflow-automation solutions with measurable business benefit.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LLM Applications, RAG &amp; Agentic Workflows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department-specific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chatbots and knowledge-retrieval applications used across Compliance, Client Service and Investment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with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embeddings for each department so access stayed siloed; built end to end with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microservices.</w:t>
      </w:r>
    </w:p>
    <w:p w14:paraId="640666D0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agentic 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workflows where AI agents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tools to run SQL-backed fund-comparison calculations and generate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PDF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comparison reports on user request; guardrailed responses through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versioned every prompt change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4A32B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WhatsApp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fund-comparison bot (via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Netcore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API) used daily by the Sales team (roughly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50 to 100 users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400 to 1,000 requests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working hours):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 tool 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picks the funds and comparison type; fixed failing parameter extraction by adding example inputs to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JSON tool definitions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2BBFEA32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Released each application to real users and iterated on what broke. Chose models by cost: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Llama-3 self-hosted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largest department (Client Service) and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makers, with the ability to switch models.</w:t>
      </w:r>
    </w:p>
    <w:p w14:paraId="62DAFDAB" w14:textId="0EECDEAE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Pipelines, Automation &amp; Integration</w:t>
      </w:r>
    </w:p>
    <w:p w14:paraId="06427FE3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email-processing automation that turns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them to tracked companies and sends analysts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images, which also improved accuracy.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integrated with legacy data from analysts' Excel files;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that improved analyst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recreated in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for wider access without Power BI licensing costs.</w:t>
      </w:r>
    </w:p>
    <w:p w14:paraId="4030D71F" w14:textId="23E009B1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Secure Deployment, Governance &amp; Team Delivery</w:t>
      </w:r>
    </w:p>
    <w:p w14:paraId="2CB987D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for the GenAI applications and analytics platforms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utilizing core services such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EC2, S3, 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(FastAPI, uvicorn), separate frontend and backend repositories and containers, and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for dev and prod.</w:t>
      </w:r>
    </w:p>
    <w:p w14:paraId="649C48AC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GenAI apps with a Python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server; 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(vulnerability assessment and penetration testing); coordinated with the security team on port whitelisting.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turn requirements into working tools that replace manual work,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reviewing every application before release; 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my final year; recognised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6147F301" w14:textId="77777777" w:rsidR="002023A2" w:rsidRPr="008D521C" w:rsidRDefault="0060268F" w:rsidP="00975BC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 (ReactJS, Python FastAPI, Kimi K2 and DeepSeek V4 Pro via NVIDIA NIM). LLM output treated as untrusted: JSON requested and validated with Pydantic, malformed output repaired, partial results salvaged, bad results never cached, vision calls retried once. A 40 RPM limit shaped the design: 12 calls instead of 108, calls serialised with a semaphore, results streamed to the UI over server-sent events and cached by input hash. GitHub: </w:t>
      </w:r>
      <w:hyperlink r:id="rId10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2435BE3" w14:textId="1D3F1572" w:rsidR="00F106A0" w:rsidRPr="00FB495E" w:rsidRDefault="00BD0E2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co-built; I designed the RAG-based AI assistant and worked on the scoring algorithm and data preprocessing for a tool, built as FastAPI microservices with a React and TypeScript frontend, that ranks cancer cell lines by target inclusion and exclusion genes and shows the evidence behind each pick; validated and refined with feedback from AstraZeneca scientists.) GitHub: </w:t>
      </w:r>
      <w:hyperlink r:id="rId11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2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5A9CCFF7" w14:textId="77777777" w:rsidR="00F106A0" w:rsidRPr="00FB495E" w:rsidRDefault="00BD0E2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VisionCaptioner (Team project; multi-phase study comparing CNN, ResNet and ViT encoders with LSTM and attention decoders for generating natural-language image descriptions on synthetic datasets, benchmarked against pre-trained vision-language models.) GitHub: </w:t>
      </w:r>
      <w:hyperlink r:id="rId13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</w:p>
    <w:p w14:paraId="2C952654" w14:textId="18CD7B16" w:rsidR="00E7322B" w:rsidRDefault="00E7322B" w:rsidP="005268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Jupyter, Anaconda, AWS (EC2, S3, ECR, Lambda, SageMaker), Azure OpenAI, LlamaIndex, Docker, Jenkins, GitLab, Git, Nginx, Linux,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Pydantic), SQL, R (dplyr, tidyverse, ggplot2), TypeScript (React frontend, CellLineSelector),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556B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68A3"/>
    <w:rsid w:val="00527B7F"/>
    <w:rsid w:val="005431D5"/>
    <w:rsid w:val="00571725"/>
    <w:rsid w:val="00571CE2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66E56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17C48"/>
    <w:rsid w:val="00943151"/>
    <w:rsid w:val="00953F31"/>
    <w:rsid w:val="00965C8C"/>
    <w:rsid w:val="00975BC2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8260E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23FCD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://celllineselector-frontend-408937187029.s3-website.eu-west-2.amazonaws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s://github.com/Arishtanemi4/az-team25.gi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wingman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1230</Words>
  <Characters>7014</Characters>
  <Application>Microsoft Office Word</Application>
  <DocSecurity>0</DocSecurity>
  <Lines>58</Lines>
  <Paragraphs>16</Paragraphs>
  <ScaleCrop>false</ScaleCrop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8</cp:revision>
  <cp:lastPrinted>2026-09-22T13:01:00Z</cp:lastPrinted>
  <dcterms:created xsi:type="dcterms:W3CDTF">2026-09-23T06:43:00Z</dcterms:created>
  <dcterms:modified xsi:type="dcterms:W3CDTF">2026-10-28T20:36:00Z</dcterms:modified>
</cp:coreProperties>
</file>