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AI Engineer with 3 years of industry experience at HDFC Asset Management building agentic AI systems and RAG applications end to end: Azure OpenAI tool-calling agents, LlamaIndex RAG over PostgreSQL with pgvector, and FastAPI services with a ReactJS frontend, deployed on AWS in Docker through CI/CD. First engineer on the GenAI systems alongside my manager, taking them to real users; a WhatsApp fund-comparison agent is used daily by roughly 50 to 100 Sales team members. De facto team lead for up to 4 interns; Best Team Project twice. MSc in Data Science at the University of Bristol (awaiting result) with an AstraZeneca dissertation. Seeking an AI Engineer role building a proprietary agentic AI platform from the ground up.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Agentic AI &amp; RAG Applications in Production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Compliance, Client Service and Investment, initially as the first engineer on the team alongside my manager;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per department kept access siloed.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agentic WhatsApp fund-comparison bot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(via the Netcore API) used daily by the Sales team (roughly 50 to 100 users, 400 to 1,000 requests in working hours):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tool 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picks the comparison type and funds and calls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over SQL data, returning fund indicators and a chart PDF. Parameter extraction broke first; fixed with example inputs in the JSON tool definitions.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Took applications from prototype to real users, iterating on what broke;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Compliance review each release; allocated models by cost, self-hosting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team.</w:t>
      </w:r>
    </w:p>
    <w:p w14:paraId="15D7CB34" w14:textId="5302EDD5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Pipelines &amp; Automation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agencies, fuzzy-matches them to the companies analysts track (dropping the rest) and sends a daily summary of previous and changed ratings,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saving 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an agency began sending images, which also improved accuracy.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the investment team's credit report analysis, moving analysts from Excel and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>; recreated them in the ReactJS frontend so the wider organisation could use the data without Power BI licensing costs.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Investment, Compliance and Client Service stakeholders;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331B0816" w14:textId="766F511D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MLOps, Deployment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 including a GPU instance, S3, ECR and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445740B7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Ran both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real-time and batch workloads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user-facing services on FastAPI microservices, and a daily rating-email pipeline run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scheduled by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 at 9 AM.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CellLineSelector (Team project, co-built.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RAG-based AI assistant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that narrates ranked results and answers methodology questions;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and ranking algorithm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across six evidence layers;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 preprocessing pipeline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(14 clean, joined tables from 17 raw inputs, with integrity checks). Returns a ranked shortlist of cancer cell lines with the evidence behind each pick,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108 LLM personas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across 12 archetypes and a vision model that scores uploaded photos (ReactJS, Python FastAPI, NVIDIA NIM with the model selectable per request).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validated with Pydantic, repaired and cached by input hash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; rate limits shaped the design (12 calls instead of 108, results streamed).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Multi-architecture deep learning study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comparing CNN, ResNet and ViT encoders trained from scratch with LSTM/attention decoders on three synthetic datasets across five seeds, evaluated with SBERT cosine similarity, BLEU and ROUGE-L and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2C952654" w14:textId="1B1F132C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 for AI-assisted coding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0327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874EF"/>
    <w:rsid w:val="005944F6"/>
    <w:rsid w:val="005B14E6"/>
    <w:rsid w:val="005C3C61"/>
    <w:rsid w:val="005D2DFB"/>
    <w:rsid w:val="005D47DF"/>
    <w:rsid w:val="005D6812"/>
    <w:rsid w:val="005E1EA3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B236E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2026-10-28T20:39:00Z</dcterms:modified>
</cp:coreProperties>
</file>