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</w:t>
      </w:r>
      <w:r>
        <w:rPr>
          <w:rFonts w:ascii="Times New Roman" w:hAnsi="Times New Roman" w:cs="Times New Roman"/>
          <w:b/>
          <w:sz w:val="22"/>
          <w:szCs w:val="22"/>
        </w:rPr>
        <w:t xml:space="preserve">3 years</w:t>
      </w:r>
      <w:r>
        <w:rPr>
          <w:rFonts w:ascii="Times New Roman" w:hAnsi="Times New Roman" w:cs="Times New Roman"/>
          <w:sz w:val="22"/>
          <w:szCs w:val="22"/>
        </w:rPr>
        <w:t xml:space="preserve"> of industry experience building and operating </w:t>
      </w:r>
      <w:r>
        <w:rPr>
          <w:rFonts w:ascii="Times New Roman" w:hAnsi="Times New Roman" w:cs="Times New Roman"/>
          <w:b/>
          <w:sz w:val="22"/>
          <w:szCs w:val="22"/>
        </w:rPr>
        <w:t xml:space="preserve">production RAG and tool-calling agent systems</w:t>
      </w:r>
      <w:r>
        <w:rPr>
          <w:rFonts w:ascii="Times New Roman" w:hAnsi="Times New Roman" w:cs="Times New Roman"/>
          <w:sz w:val="22"/>
          <w:szCs w:val="22"/>
        </w:rPr>
        <w:t xml:space="preserve"> at an asset manager (</w:t>
      </w:r>
      <w:r>
        <w:rPr>
          <w:rFonts w:ascii="Times New Roman" w:hAnsi="Times New Roman" w:cs="Times New Roman"/>
          <w:b/>
          <w:sz w:val="22"/>
          <w:szCs w:val="22"/>
        </w:rPr>
        <w:t xml:space="preserve">HDFC Asset Management</w:t>
      </w:r>
      <w:r>
        <w:rPr>
          <w:rFonts w:ascii="Times New Roman" w:hAnsi="Times New Roman" w:cs="Times New Roman"/>
          <w:sz w:val="22"/>
          <w:szCs w:val="22"/>
        </w:rPr>
        <w:t xml:space="preserve">), where agents called Python functions to run fund-comparison calculations for a mutual fund house, behaviour was guardrailed through </w:t>
      </w:r>
      <w:r>
        <w:rPr>
          <w:rFonts w:ascii="Times New Roman" w:hAnsi="Times New Roman" w:cs="Times New Roman"/>
          <w:b/>
          <w:sz w:val="22"/>
          <w:szCs w:val="22"/>
        </w:rPr>
        <w:t xml:space="preserve">system prompts versioned in Git</w:t>
      </w:r>
      <w:r>
        <w:rPr>
          <w:rFonts w:ascii="Times New Roman" w:hAnsi="Times New Roman" w:cs="Times New Roman"/>
          <w:sz w:val="22"/>
          <w:szCs w:val="22"/>
        </w:rPr>
        <w:t xml:space="preserve"> and every release was reviewed by </w:t>
      </w:r>
      <w:r>
        <w:rPr>
          <w:rFonts w:ascii="Times New Roman" w:hAnsi="Times New Roman" w:cs="Times New Roman"/>
          <w:b/>
          <w:sz w:val="22"/>
          <w:szCs w:val="22"/>
        </w:rPr>
        <w:t xml:space="preserve">Compliance</w:t>
      </w:r>
      <w:r>
        <w:rPr>
          <w:rFonts w:ascii="Times New Roman" w:hAnsi="Times New Roman" w:cs="Times New Roman"/>
          <w:sz w:val="22"/>
          <w:szCs w:val="22"/>
        </w:rPr>
        <w:t xml:space="preserve">. Weighed </w:t>
      </w:r>
      <w:r>
        <w:rPr>
          <w:rFonts w:ascii="Times New Roman" w:hAnsi="Times New Roman" w:cs="Times New Roman"/>
          <w:b/>
          <w:sz w:val="22"/>
          <w:szCs w:val="22"/>
        </w:rPr>
        <w:t xml:space="preserve">cost against quality</w:t>
      </w:r>
      <w:r>
        <w:rPr>
          <w:rFonts w:ascii="Times New Roman" w:hAnsi="Times New Roman" w:cs="Times New Roman"/>
          <w:sz w:val="22"/>
          <w:szCs w:val="22"/>
        </w:rPr>
        <w:t xml:space="preserve"> between self-hosted </w:t>
      </w:r>
      <w:r>
        <w:rPr>
          <w:rFonts w:ascii="Times New Roman" w:hAnsi="Times New Roman" w:cs="Times New Roman"/>
          <w:b/>
          <w:sz w:val="22"/>
          <w:szCs w:val="22"/>
        </w:rPr>
        <w:t xml:space="preserve">Llama-3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, and ran an MSc </w:t>
      </w:r>
      <w:r>
        <w:rPr>
          <w:rFonts w:ascii="Times New Roman" w:hAnsi="Times New Roman" w:cs="Times New Roman"/>
          <w:b/>
          <w:sz w:val="22"/>
          <w:szCs w:val="22"/>
        </w:rPr>
        <w:t xml:space="preserve">benchmark study</w:t>
      </w:r>
      <w:r>
        <w:rPr>
          <w:rFonts w:ascii="Times New Roman" w:hAnsi="Times New Roman" w:cs="Times New Roman"/>
          <w:sz w:val="22"/>
          <w:szCs w:val="22"/>
        </w:rPr>
        <w:t xml:space="preserve"> of deep learning architectures (five seeds, pre-trained VLMs as baselines). </w:t>
      </w:r>
      <w:r>
        <w:rPr>
          <w:rFonts w:ascii="Times New Roman" w:hAnsi="Times New Roman" w:cs="Times New Roman"/>
          <w:b/>
          <w:sz w:val="22"/>
          <w:szCs w:val="22"/>
        </w:rPr>
        <w:t xml:space="preserve">MSc in Data Science</w:t>
      </w:r>
      <w:r>
        <w:rPr>
          <w:rFonts w:ascii="Times New Roman" w:hAnsi="Times New Roman" w:cs="Times New Roman"/>
          <w:sz w:val="22"/>
          <w:szCs w:val="22"/>
        </w:rPr>
        <w:t xml:space="preserve"> at the University of Bristol (awaiting result), with an </w:t>
      </w:r>
      <w:r>
        <w:rPr>
          <w:rFonts w:ascii="Times New Roman" w:hAnsi="Times New Roman" w:cs="Times New Roman"/>
          <w:b/>
          <w:sz w:val="22"/>
          <w:szCs w:val="22"/>
        </w:rPr>
        <w:t xml:space="preserve">AstraZeneca</w:t>
      </w:r>
      <w:r>
        <w:rPr>
          <w:rFonts w:ascii="Times New Roman" w:hAnsi="Times New Roman" w:cs="Times New Roman"/>
          <w:sz w:val="22"/>
          <w:szCs w:val="22"/>
        </w:rPr>
        <w:t xml:space="preserve"> dissertation whose ranking was refined on scientist feedback. Seeking an </w:t>
      </w:r>
      <w:r>
        <w:rPr>
          <w:rFonts w:ascii="Times New Roman" w:hAnsi="Times New Roman" w:cs="Times New Roman"/>
          <w:b/>
          <w:sz w:val="22"/>
          <w:szCs w:val="22"/>
        </w:rPr>
        <w:t xml:space="preserve">AI Engineer</w:t>
      </w:r>
      <w:r>
        <w:rPr>
          <w:rFonts w:ascii="Times New Roman" w:hAnsi="Times New Roman" w:cs="Times New Roman"/>
          <w:sz w:val="22"/>
          <w:szCs w:val="22"/>
        </w:rPr>
        <w:t xml:space="preserve"> role building and evaluating </w:t>
      </w:r>
      <w:r>
        <w:rPr>
          <w:rFonts w:ascii="Times New Roman" w:hAnsi="Times New Roman" w:cs="Times New Roman"/>
          <w:b/>
          <w:sz w:val="22"/>
          <w:szCs w:val="22"/>
        </w:rPr>
        <w:t xml:space="preserve">RAG and agentic systems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RAG &amp; Agentic Systems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Compliance, Client Service and Investment,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per department so access stayed siloed and similar content from different departments was not confused.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PDF comparison reports on request, on top of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platform queried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(no fine-tuning),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versioned every prompt change in 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so changes stayed traceable,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Made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cost-versus-quality call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model tooling: self-hosted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(Client Service) and used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keeping the ability to switch models.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 &amp;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infrastructure for internal analytics platforms and GenAI applications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the FastAPI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CI/CD pipeline.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saving 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scheduled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EventBridge and Lambda, and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alongside engineers and interns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 using per-gene scores across six evidence layers, calibrated across lineages and grouped into confidence tiers;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Ranking validated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CNN, ResNet and ViT encoders trained from scratch with symbolic, SBERT-retrieval and LSTM/attention decoders for generating image descriptions on three synthetic datasets,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evaluated across five seeds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with SBERT cosine similarity, BLEU and ROUGE-L and benchmarked against BLIP/SigLIP and commercial VLMs, noting that the protocols differ so the comparison is not like-for-like.)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cost and rate limits shaped the design (12 LLM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