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Software engineer with 3 years of in-house industry experience at HDFC Asset Management building and running production GenAI applications end to end: RAG pipelines over PostgreSQL with pgvector, tool-calling agents, and FastAPI services with a ReactJS frontend integrated with internal data, LDAP and AWS, deployed in Docker through CI/CD. Owned use cases from design through release and iteration with Compliance, Client Service and Investment stakeholders; acted as de facto team lead for up to 4 interns and was twice recognised internally with Best Team Project (2024, 2025). Recently completed an MSc in Data Science at the University of Bristol, with a dissertation in partnership with AstraZeneca. Seeking an AI Engineer role building agents, retrieval systems and integrations in an in-house digital team.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RAG, Agents &amp; LLM Integration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pipelines and knowledge retrieval for internal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using department-based retrieval: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access stayed siloed and similar content from different departments was not confused; built end to end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as a scheduled job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via EventBridge and Lambda.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Owned each application from design through release and post-release iteration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Client Service and Investment staff: released to real users and iterated on what broke; guardrailed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 before release. Allocated models by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Integration, Data &amp; API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Excel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recreated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organisation could use the data without Power BI licensing costs.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across data jobs, backend APIs and RAG pipelines.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Secure Deployment, Governance &amp; Stakeholder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(FastAPI, uvicorn),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975B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DeepSeek V4 Pro via NVIDIA NIM). LLM output treated as untrusted: JSON validated with Pydantic, malformed output repaired, bad results never cached, vision calls retried once. A 40 RPM limit shaped the design: 12 calls instead of 108, calls serialised with a semaphore, results streamed to the UI over server-sent events and cached by input hash.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designed the RAG-based AI assistant and worked on the scoring algorithm and data preprocessing for a tool, built as FastAPI microservices with a React and TypeScript frontend, that ranks cancer cell lines by target inclusion and exclusion genes; validated and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18CD7B16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SQL, R (dplyr, tidyverse, ggplot2), TypeScript (React frontend, CellLineSelector),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66E56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75BC2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2026-10-20T17:28:00Z</dcterms:modified>
</cp:coreProperties>
</file>