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Solutions Engineer with 3 years of in-house industry experience at HDFC Asset Management turning business problems into working GenAI applications, from discovery and prototype through release and iteration: RAG pipelines over PostgreSQL with pgvector, tool-calling agents, and FastAPI services with a ReactJS frontend, deployed in Docker on AWS through CI/CD. Worked directly with Compliance, Client Service and Investment stakeholders to scope what was feasible, weigh cost against quality and demonstrate working tools; acted as de facto team lead for up to 4 interns and was twice recognised internally with Best Team Project (2024, 2025). Recently finished an MSc in Data Science at the University of Bristol (result awaited), with a dissertation in partnership with AstraZeneca. Seeking an AI Solutions Engineer role shaping and prototyping AI solutions across a business.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Solution Discovery, Prototyping &amp; Stakeholder Delivery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manual, requirement-led problems into working tools, taking each idea from prototype to release: demonstrated working versions,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released them to real users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iterated on what broke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 before release.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capability, cost and quality when choosing models: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 and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Excel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recreated them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so the wider organisation could use the data without Power BI licensing costs. Handed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Apriori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market-basket insights on customer buying patterns to the marketing team.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RAG, Agents &amp; LLM Integration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pipelines and knowledge retrieval for internal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used across Compliance, Client Service and Investment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), using department-based retrieval: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access stayed siloed and similar content from different departments was not confused; built end to end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workflows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request; guardrailed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accuracy.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Backend, Data, Cloud &amp; Production Handover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(FastAPI, uvicorn),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6147F301" w14:textId="77777777" w:rsidR="002023A2" w:rsidRPr="008D521C" w:rsidRDefault="0060268F" w:rsidP="00975BC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(ReactJS, Python FastAPI, Kimi K2 and DeepSeek V4 Pro via NVIDIA NIM). LLM output treated as untrusted: JSON validated with Pydantic, malformed output repaired, bad results never cached, vision calls retried once. A 40 RPM limit shaped the design: 12 calls instead of 108, calls serialised with a semaphore, results streamed to the UI over server-sent events and cached by input hash. GitHub: </w:t>
      </w:r>
      <w:hyperlink r:id="rId10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co-built; I designed the RAG-based AI assistant and worked on the scoring algorithm and data preprocessing for a tool, built as FastAPI microservices with a React and TypeScript frontend, that ranks cancer cell lines by target inclusion and exclusion genes; validated and refined with feedback from AstraZeneca scientists.) GitHub: </w:t>
      </w:r>
      <w:hyperlink r:id="rId11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2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2C952654" w14:textId="18CD7B16" w:rsidR="00E7322B" w:rsidRDefault="00E7322B" w:rsidP="005268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SQL, R (dplyr, tidyverse, ggplot2), TypeScript (React frontend, CellLineSelector),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68A3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66E56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75BC2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8260E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://celllineselector-frontend-408937187029.s3-website.eu-west-2.amazonaws.com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s://github.com/Arishtanemi4/az-team25.gi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wingman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2026-10-20T17:28:00Z</dcterms:modified>
</cp:coreProperties>
</file>