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jc w:val="left"/>
      </w:pPr>
      <w:r>
        <w:rPr>
          <w:rFonts w:ascii="Times New Roman" w:hAnsi="Times New Roman" w:cs="Times New Roman"/>
          <w:sz w:val="22"/>
          <w:szCs w:val="22"/>
        </w:rPr>
        <w:t>Subject: Applied AI Engineer, Member of Technical Staff (London) application – Kaustubh Sonawane</w:t>
      </w:r>
    </w:p>
    <w:p>
      <w:pPr>
        <w:spacing w:after="120"/>
        <w:jc w:val="left"/>
      </w:pPr>
      <w:r>
        <w:rPr>
          <w:rFonts w:ascii="Times New Roman" w:hAnsi="Times New Roman" w:cs="Times New Roman"/>
          <w:sz w:val="22"/>
          <w:szCs w:val="22"/>
        </w:rPr>
        <w:t>Dear Hiring Team,</w:t>
      </w:r>
    </w:p>
    <w:p>
      <w:pPr>
        <w:spacing w:after="120"/>
        <w:jc w:val="both"/>
      </w:pPr>
      <w:r>
        <w:rPr>
          <w:rFonts w:ascii="Times New Roman" w:hAnsi="Times New Roman" w:cs="Times New Roman"/>
          <w:sz w:val="22"/>
          <w:szCs w:val="22"/>
        </w:rPr>
        <w:t>I am applying for the Applied AI Engineer role on Callosum's Member of Technical Staff team in London and have attached my CV. I am based in Bristol and eligible for the Graduate Visa, which gives two years of full working rights. I am happy to work in person from your London office.</w:t>
      </w:r>
    </w:p>
    <w:p>
      <w:pPr>
        <w:spacing w:after="120"/>
        <w:jc w:val="both"/>
      </w:pPr>
      <w:r>
        <w:rPr>
          <w:rFonts w:ascii="Times New Roman" w:hAnsi="Times New Roman" w:cs="Times New Roman"/>
          <w:sz w:val="22"/>
          <w:szCs w:val="22"/>
        </w:rPr>
        <w:t>For three years at HDFC Asset Management my job was to sit with the people who had the problem, build the system with them and keep it working once they used it. I started as one of two people on the first GenAI systems (my manager and me) and designed them end to end: retrieval pipelines using LlamaIndex and Azure OpenAI over a separate pgvector database for each department, agents that call Python functions as tools, and a ReactJS and FastAPI application around them. I served the largest department from a self-hosted Llama-3 on a GPU EC2 instance and the others from Azure OpenAI, a cost decision I could reverse by switching models. I released to real users, changed the applications based on what broke, took them through deployment on AWS and the security team's VAPT, which they failed repeatedly before they passed, and had Compliance review each one before release. In my final year I was de facto team lead for up to 4 interns, and the work was recognised internally with Best Team Project in 2024 and 2025.</w:t>
      </w:r>
    </w:p>
    <w:p>
      <w:pPr>
        <w:spacing w:after="120"/>
        <w:jc w:val="both"/>
      </w:pPr>
      <w:r>
        <w:rPr>
          <w:rFonts w:ascii="Times New Roman" w:hAnsi="Times New Roman" w:cs="Times New Roman"/>
          <w:sz w:val="22"/>
          <w:szCs w:val="22"/>
        </w:rPr>
        <w:t>I want to be direct about where I am thinner. My customers were internal business teams at an asset manager, not external engineering teams, and I have about three years of experience in total. My evaluation work was informal (user feedback, prompt versions in Git and Compliance review, not evaluation harnesses or benchmarks against success criteria), and my experience of LLM serving is one self-hosted Llama-3 instance rather than a serving stack tuned for throughput. I have not worked on novel accelerators. Evaluation and serving are the parts of this role I would most want to grow into, and they are the parts I am drawn to.</w:t>
      </w:r>
    </w:p>
    <w:p>
      <w:pPr>
        <w:spacing w:after="120"/>
        <w:jc w:val="both"/>
      </w:pPr>
      <w:r>
        <w:rPr>
          <w:rFonts w:ascii="Times New Roman" w:hAnsi="Times New Roman" w:cs="Times New Roman"/>
          <w:sz w:val="22"/>
          <w:szCs w:val="22"/>
        </w:rPr>
        <w:t>Relevant work: Wingman, a FastAPI and React app where a rate limit shaped the design (12 model calls instead of 108, serialised calls, streamed results), with the model selectable per request (github.com/Arishtanemi4/wingman); VisionCaptioner, a team study comparing image-captioning architectures and benchmarking them against pre-trained and commercial VLMs (github.com/Arishtanemi4/ata-team30); and CellLineSelector, co-built for my MSc dissertation with feedback from AstraZeneca scientists, where I designed the RAG assistant (github.com/Arishtanemi4/az-team25). Your idea that each workload should get the model and hardware it actually needs is a larger version of the choice I made between Llama-3 and Azure OpenAI at HDFC, and I would be glad to talk it through.</w:t>
      </w:r>
    </w:p>
    <w:p>
      <w:pPr>
        <w:spacing w:after="0"/>
        <w:jc w:val="left"/>
      </w:pPr>
      <w:r>
        <w:rPr>
          <w:rFonts w:ascii="Times New Roman" w:hAnsi="Times New Roman" w:cs="Times New Roman"/>
          <w:sz w:val="22"/>
          <w:szCs w:val="22"/>
        </w:rPr>
        <w:t>Kind regards,</w:t>
      </w:r>
    </w:p>
    <w:p>
      <w:pPr>
        <w:spacing w:after="0"/>
        <w:jc w:val="left"/>
      </w:pPr>
      <w:r>
        <w:rPr>
          <w:rFonts w:ascii="Times New Roman" w:hAnsi="Times New Roman" w:cs="Times New Roman"/>
          <w:sz w:val="22"/>
          <w:szCs w:val="22"/>
        </w:rPr>
        <w:t>Kaustubh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