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20"/>
        <w:jc w:val="left"/>
      </w:pPr>
      <w:r>
        <w:rPr>
          <w:rFonts w:ascii="Times New Roman" w:hAnsi="Times New Roman" w:cs="Times New Roman"/>
          <w:sz w:val="22"/>
          <w:szCs w:val="22"/>
        </w:rPr>
        <w:t>Subject: Senior AI Engineer (London) application – Kaustubh Sonawane</w:t>
      </w:r>
    </w:p>
    <w:p>
      <w:pPr>
        <w:spacing w:after="120"/>
        <w:jc w:val="left"/>
      </w:pPr>
      <w:r>
        <w:rPr>
          <w:rFonts w:ascii="Times New Roman" w:hAnsi="Times New Roman" w:cs="Times New Roman"/>
          <w:sz w:val="22"/>
          <w:szCs w:val="22"/>
        </w:rPr>
        <w:t>Dear Hiring Team,</w:t>
      </w:r>
    </w:p>
    <w:p>
      <w:pPr>
        <w:spacing w:after="120"/>
        <w:jc w:val="both"/>
      </w:pPr>
      <w:r>
        <w:rPr>
          <w:rFonts w:ascii="Times New Roman" w:hAnsi="Times New Roman" w:cs="Times New Roman"/>
          <w:sz w:val="22"/>
          <w:szCs w:val="22"/>
        </w:rPr>
        <w:t>I am applying for the Senior AI Engineer role in Capsa's engineering team and have attached my CV. I am based in Bristol and eligible for the Graduate Visa, which gives two years of full working rights. I am happy to talk through the four days a week in the London office.</w:t>
      </w:r>
    </w:p>
    <w:p>
      <w:pPr>
        <w:spacing w:after="120"/>
        <w:jc w:val="both"/>
      </w:pPr>
      <w:r>
        <w:rPr>
          <w:rFonts w:ascii="Times New Roman" w:hAnsi="Times New Roman" w:cs="Times New Roman"/>
          <w:sz w:val="22"/>
          <w:szCs w:val="22"/>
        </w:rPr>
        <w:t>For three years at HDFC Asset Management I built GenAI products for investment, compliance and client-service teams, owning them from requirements to production. I started as one of two people on the first GenAI systems (my manager and me) and designed them end to end: a ReactJS frontend, Python FastAPI microservices, RAG with LlamaIndex and Azure OpenAI over a separate pgvector database for each department so that access stayed siloed, and agents that call Python functions as tools to run fund-comparison calculations and produce PDF reports on request. I also built a pipeline that turns more than 300 unstructured rating-agency emails a day into structured data, and moved it from AWS Textract to Azure OpenAI when one agency began sending its emails as images. I released to real users, changed the applications based on what broke, and had Compliance review each one before release, then took them through deployment on AWS and the security team's VAPT, which they failed repeatedly before they passed. In my final year I was de facto team lead for up to 4 interns, and the work was recognised internally with Best Team Project in 2024 and 2025.</w:t>
      </w:r>
    </w:p>
    <w:p>
      <w:pPr>
        <w:spacing w:after="120"/>
        <w:jc w:val="both"/>
      </w:pPr>
      <w:r>
        <w:rPr>
          <w:rFonts w:ascii="Times New Roman" w:hAnsi="Times New Roman" w:cs="Times New Roman"/>
          <w:sz w:val="22"/>
          <w:szCs w:val="22"/>
        </w:rPr>
        <w:t>I want to be direct about where I am thinner. I have about three years of experience against your five or more, and my users were internal teams at an asset manager rather than at a venture-backed startup or a top tech firm. My retrieval ran on pgvector, not OpenSearch, and I have not used RabbitMQ. My evaluation work was informal (user feedback and Compliance review, not evaluation datasets), my agents were hand-built tool calling rather than a custom graph execution framework, and I have not built citation, resumable code-execution or Word, Excel and PowerPoint authoring tooling. Those are the areas I would expect to grow fastest in on this team.</w:t>
      </w:r>
    </w:p>
    <w:p>
      <w:pPr>
        <w:spacing w:after="120"/>
        <w:jc w:val="both"/>
      </w:pPr>
      <w:r>
        <w:rPr>
          <w:rFonts w:ascii="Times New Roman" w:hAnsi="Times New Roman" w:cs="Times New Roman"/>
          <w:sz w:val="22"/>
          <w:szCs w:val="22"/>
        </w:rPr>
        <w:t>Relevant work: Wingman, a FastAPI and React app that streams results to the UI, treats LLM output as untrusted (validated, repaired and cached) and was shaped by rate limits (github.com/Arishtanemi4/wingman); CellLineSelector, co-built for my MSc dissertation with feedback from AstraZeneca scientists, where I designed the RAG assistant and every recommendation comes with the evidence behind it (github.com/Arishtanemi4/az-team25); and my portfolio (kaustubh-sonawane-portfolio.vercel.app). What draws me to this role is that professionals have to trust the output with large decisions: at HDFC the guardrails and the Compliance review were what let the assistants go live at all, and I would like to own that same loop, from the harness to the evidence, at a company growing as fast as Capsa. I would be glad to talk it through.</w:t>
      </w:r>
    </w:p>
    <w:p>
      <w:pPr>
        <w:spacing w:after="0"/>
        <w:jc w:val="left"/>
      </w:pPr>
      <w:r>
        <w:rPr>
          <w:rFonts w:ascii="Times New Roman" w:hAnsi="Times New Roman" w:cs="Times New Roman"/>
          <w:sz w:val="22"/>
          <w:szCs w:val="22"/>
        </w:rPr>
        <w:t>Kind regards,</w:t>
      </w:r>
    </w:p>
    <w:p>
      <w:pPr>
        <w:spacing w:after="0"/>
        <w:jc w:val="left"/>
      </w:pPr>
      <w:r>
        <w:rPr>
          <w:rFonts w:ascii="Times New Roman" w:hAnsi="Times New Roman" w:cs="Times New Roman"/>
          <w:sz w:val="22"/>
          <w:szCs w:val="22"/>
        </w:rPr>
        <w:t>Kaustubh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