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Python-focused AI Engineer with 3 years of industry experience building and shipping production </w:t>
      </w:r>
      <w:proofErr w:type="spellStart"/>
      <w:r>
        <w:rPr>
          <w:rFonts w:ascii="Times New Roman" w:hAnsi="Times New Roman" w:cs="Times New Roman"/>
          <w:sz w:val="22"/>
          <w:szCs w:val="22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applications in a regulated financial services setting: FastAPI microservices in Docker on AWS, RAG pipelines over PostgreSQL with pgvector, tool-calling agents, and a Jenkins and GitLab CI/CD pipeline with LDAP authentication. Worked directly with Compliance, Client Service and Investment stakeholders to turn requirements into working tools; acted as de facto team lead for up to 4 interns and was twice recognised internally with Best Team Project (2024, 2025). Recently completed an MSc in Data Science at the University of Bristol, with a dissertation in partnership with AstraZeneca. Seeking an AI Engineer role building client-facing LLM/</w:t>
      </w:r>
      <w:proofErr w:type="spellStart"/>
      <w:r>
        <w:rPr>
          <w:rFonts w:ascii="Times New Roman" w:hAnsi="Times New Roman" w:cs="Times New Roman"/>
          <w:sz w:val="22"/>
          <w:szCs w:val="22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solutions on the Python and data engineering side.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Backend, Microservices &amp; Secure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the backend of internal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)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served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separate instance; designed the infrastructure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separate frontend and backend repositories and containers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Production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GenAI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 RAG, Agents &amp; LLM Integration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pipelines and knowledge retrieval for internal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used across Compliance, Client Service and Investment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using department-based retrieval: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department, so access stayed siloed and similar content from different departments was not confused.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workflows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Textract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accuracy; run as a scheduled job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via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EventBridge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Lambda.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Refined domain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Client Service and Investment staff by releasing to real users and iterating on what broke;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guardrailed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application before release. Allocated models by cost: open-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source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 and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Engineering &amp; Client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(equity); integrated it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Excel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then recreated the dashboards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organisation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could use the data without Power BI licensing costs.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across data jobs, backend APIs and RAG pipelines.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recognised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co-built; I designed the RAG-based AI assistant and worked on the scoring algorithm and data preprocessing for a tool, built as FastAPI microservices with a React and TypeScript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E05A985" w14:textId="77777777" w:rsidR="0052779E" w:rsidRPr="0052779E" w:rsidRDefault="0060268F" w:rsidP="0052779E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steered by prompts;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</w:p>
    <w:p w14:paraId="3D28CCDC" w14:textId="5C90E748" w:rsidR="00F347C8" w:rsidRPr="0052779E" w:rsidRDefault="0027294D" w:rsidP="0052779E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2779E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2779E"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 w:rsidRPr="0052779E"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 w:rsidRPr="0052779E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52779E"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 decoders for generating image descriptions, benchmarked against BLIP/</w:t>
      </w:r>
      <w:proofErr w:type="spellStart"/>
      <w:r w:rsidRPr="0052779E"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52779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5268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</w:t>
      </w:r>
      <w:proofErr w:type="spellStart"/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68A3"/>
    <w:rsid w:val="0052779E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C431B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8260E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2026-10-15T15:27:00Z</dcterms:modified>
</cp:coreProperties>
</file>