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5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CATCHES</w:t>
      </w:r>
    </w:p>
    <w:p>
      <w:pPr>
        <w:spacing w:after="120"/>
        <w:jc w:val="left"/>
      </w:pPr>
      <w:r>
        <w:rPr>
          <w:rFonts w:ascii="Times New Roman" w:hAnsi="Times New Roman" w:cs="Times New Roman"/>
          <w:b/>
          <w:bCs/>
          <w:sz w:val="22"/>
          <w:szCs w:val="22"/>
        </w:rPr>
        <w:t>Application for AI Engineer</w:t>
      </w:r>
    </w:p>
    <w:p>
      <w:pPr>
        <w:spacing w:after="120"/>
        <w:jc w:val="left"/>
      </w:pPr>
      <w:r>
        <w:rPr>
          <w:rFonts w:ascii="Times New Roman" w:hAnsi="Times New Roman" w:cs="Times New Roman"/>
          <w:sz w:val="22"/>
          <w:szCs w:val="22"/>
        </w:rPr>
        <w:t>Dear CATCHES hiring team,</w:t>
      </w:r>
    </w:p>
    <w:p>
      <w:pPr>
        <w:spacing w:after="120"/>
        <w:jc w:val="both"/>
      </w:pPr>
      <w:r>
        <w:rPr>
          <w:rFonts w:ascii="Times New Roman" w:hAnsi="Times New Roman" w:cs="Times New Roman"/>
          <w:sz w:val="22"/>
          <w:szCs w:val="22"/>
        </w:rPr>
        <w:t>I am applying for the AI Engineer role at CATCHES. Building a consumer-facing agentic experience on proprietary data, working directly with the founders and taking capabilities from prototype to production, is the work I want to be doing. My experience is in shipping LLM products to real users and owning them across the whole stack.</w:t>
      </w:r>
    </w:p>
    <w:p>
      <w:pPr>
        <w:spacing w:after="120"/>
        <w:jc w:val="both"/>
      </w:pPr>
      <w:r>
        <w:rPr>
          <w:rFonts w:ascii="Times New Roman" w:hAnsi="Times New Roman" w:cs="Times New Roman"/>
          <w:sz w:val="22"/>
          <w:szCs w:val="22"/>
        </w:rPr>
        <w:t>At HDFC Asset Management I designed and built department-specific GenAI applications end to end: a ReactJS frontend, FastAPI microservices and RAG with LlamaIndex, Azure OpenAI GPT-3.5 and Llama-3, with a separate pgvector database per department to keep each team's documents siloed. AI agents called Python functions as tools to run SQL-backed fund comparisons and generate PDF reports on request. I allocated models by cost, with self-hosted Llama-3 on a GPU EC2 instance for the largest department and Azure OpenAI for decision makers. The applications reached real users, I versioned every prompt change in Git, and the Compliance department reviewed each release. I also built an automation that parses over 300 rating-agency emails a day into structured data, saving 60 analyst hours a month.</w:t>
      </w:r>
    </w:p>
    <w:p>
      <w:pPr>
        <w:spacing w:after="120"/>
        <w:jc w:val="both"/>
      </w:pPr>
      <w:r>
        <w:rPr>
          <w:rFonts w:ascii="Times New Roman" w:hAnsi="Times New Roman" w:cs="Times New Roman"/>
          <w:sz w:val="22"/>
          <w:szCs w:val="22"/>
        </w:rPr>
        <w:t>More recently I built Wingman, an LLM web app with 108 personas across 12 archetypes. Rate limits and unreliable model output shaped the design: responses are validated with Pydantic, repaired, retried and cached by input hash, calls are serialised, results stream to the UI, and an evaluation uses 12 calls instead of 108. It is a small project, but it is where I practised the harness concerns in your job description.</w:t>
      </w:r>
    </w:p>
    <w:p>
      <w:pPr>
        <w:spacing w:after="120"/>
        <w:jc w:val="both"/>
      </w:pPr>
      <w:r>
        <w:rPr>
          <w:rFonts w:ascii="Times New Roman" w:hAnsi="Times New Roman" w:cs="Times New Roman"/>
          <w:sz w:val="22"/>
          <w:szCs w:val="22"/>
        </w:rPr>
        <w:t>I should be honest about where I still have room to grow. At HDFC I did not use formal eval datasets or tracing tooling; I diagnosed failures through user feedback and Compliance review, and early models struggled to separate similar content across departments, which is why I siloed retrieval. CATCHES' focus on evals, observability and long-running agents is something I want to build properly, and I bring the habit of fixing what breaks in real use.</w:t>
      </w:r>
    </w:p>
    <w:p>
      <w:pPr>
        <w:spacing w:after="120"/>
        <w:jc w:val="both"/>
      </w:pPr>
      <w:r>
        <w:rPr>
          <w:rFonts w:ascii="Times New Roman" w:hAnsi="Times New Roman" w:cs="Times New Roman"/>
          <w:sz w:val="22"/>
          <w:szCs w:val="22"/>
        </w:rPr>
        <w:t>My MSc dissertation with AstraZeneca applied the same habits to biomedical data. With my team I co-built CellLineSelector, a tool that ranks cancer cell lines for researchers; I worked on the data preprocessing pipeline, the scoring algorithm and the RAG layer behind the assistant that explains the results, and refined it with feedback from AstraZeneca scientists.</w:t>
      </w:r>
    </w:p>
    <w:p>
      <w:pPr>
        <w:spacing w:after="120"/>
        <w:jc w:val="both"/>
      </w:pPr>
      <w:r>
        <w:rPr>
          <w:rFonts w:ascii="Times New Roman" w:hAnsi="Times New Roman" w:cs="Times New Roman"/>
          <w:sz w:val="22"/>
          <w:szCs w:val="22"/>
        </w:rPr>
        <w:t>I am currently based in Bristol. I hold a Student Visa and am eligible for a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