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jc w:val="center"/>
      </w:pPr>
      <w:r>
        <w:rPr>
          <w:rFonts w:asciiTheme="minorHAnsi" w:hAnsiTheme="minorHAnsi"/>
          <w:b/>
          <w:bCs/>
          <w:caps/>
          <w:color w:val="024C41"/>
          <w:sz w:val="72"/>
          <w:szCs w:val="72"/>
        </w:rPr>
        <w:t xml:space="preserve">Report tecnico delle nuove collezioni</w:t>
      </w:r>
    </w:p>
    <w:p>
      <w:pPr>
        <w:spacing w:line="360" w:lineRule="auto"/>
        <w:jc w:val="center"/>
      </w:pPr>
      <w:r>
        <w:rPr>
          <w:rFonts w:asciiTheme="minorHAnsi" w:hAnsiTheme="minorHAnsi"/>
          <w:b/>
          <w:bCs/>
          <w:color w:val="00A98E"/>
          <w:sz w:val="40"/>
          <w:szCs w:val="40"/>
        </w:rPr>
        <w:t xml:space="preserve">Relazione Parziale N°: RP7.9</w:t>
      </w:r>
    </w:p>
    <w:p>
      <w:pPr>
        <w:spacing w:line="360" w:lineRule="auto"/>
        <w:jc w:val="center"/>
      </w:pPr>
      <w:r>
        <w:rPr>
          <w:rFonts w:asciiTheme="minorHAnsi" w:hAnsiTheme="minorHAnsi"/>
          <w:b/>
          <w:bCs/>
          <w:color w:val="00A98E"/>
          <w:sz w:val="40"/>
          <w:szCs w:val="40"/>
        </w:rPr>
        <w:t xml:space="preserve">Versione del Documento: RV.1</w:t>
      </w:r>
    </w:p>
    <w:p>
      <w:pPr>
        <w:spacing w:line="360" w:lineRule="auto"/>
        <w:jc w:val="center"/>
      </w:pPr>
      <w:r>
        <w:rPr>
          <w:rFonts w:asciiTheme="minorHAnsi" w:hAnsiTheme="minorHAnsi"/>
          <w:b/>
          <w:bCs/>
          <w:color w:val="00A98E"/>
          <w:sz w:val="40"/>
          <w:szCs w:val="40"/>
        </w:rPr>
        <w:t xml:space="preserve">Data di Revisione del Documento: 03.09.2026</w:t>
      </w:r>
    </w:p>
    <w:p>
      <w:pPr>
        <w:spacing w:line="360" w:lineRule="auto"/>
        <w:jc w:val="center"/>
      </w:pPr>
      <w:r>
        <w:rPr>
          <w:rFonts w:asciiTheme="minorHAnsi" w:hAnsiTheme="minorHAnsi"/>
          <w:b/>
          <w:bCs/>
          <w:color w:val="00A98E"/>
          <w:sz w:val="40"/>
          <w:szCs w:val="40"/>
        </w:rPr>
        <w:t xml:space="preserve">Responsabilità:  Gresmalt - Capofila</w:t>
      </w:r>
    </w:p>
    <w:p>
      <w:pPr>
        <w:spacing w:line="360" w:lineRule="auto"/>
        <w:jc w:val="center"/>
      </w:pPr>
    </w:p>
    <w:p>
      <w:pPr>
        <w:spacing w:line="360" w:lineRule="auto"/>
        <w:jc w:val="center"/>
      </w:pPr>
    </w:p>
    <w:p>
      <w:pPr>
        <w:spacing w:line="360" w:lineRule="auto"/>
        <w:jc w:val="center"/>
      </w:pPr>
    </w:p>
    <w:p>
      <w:pPr>
        <w:spacing w:line="360" w:lineRule="auto"/>
        <w:jc w:val="center"/>
      </w:pPr>
    </w:p>
    <w:p>
      <w:pPr>
        <w:spacing w:line="360" w:lineRule="auto" w:after="120"/>
        <w:jc w:val="both"/>
      </w:pPr>
      <w:r>
        <w:rPr>
          <w:rFonts w:asciiTheme="minorHAnsi" w:hAnsiTheme="minorHAnsi"/>
          <w:b/>
          <w:bCs/>
          <w:caps/>
          <w:color w:val="024C41"/>
          <w:sz w:val="36"/>
          <w:szCs w:val="36"/>
        </w:rPr>
        <w:t xml:space="preserve">1.INTRODUZIONE</w:t>
      </w:r>
    </w:p>
    <w:p>
      <w:pPr>
        <w:spacing w:line="360" w:lineRule="auto"/>
        <w:ind w:firstLine="284"/>
        <w:jc w:val="both"/>
      </w:pPr>
      <w:r>
        <w:rPr>
          <w:rFonts w:asciiTheme="minorHAnsi" w:hAnsiTheme="minorHAnsi"/>
          <w:sz w:val="28"/>
          <w:szCs w:val="28"/>
        </w:rPr>
        <w:t xml:space="preserve">Il progetto START | SusTainable dAta-dRiven manufacTuring persegue, nell'Obiettivo Realizzativo OR7 – «Validazione in ambiente operativo della Intelligent Industry», la trasformazione del sistema produttivo ceramico di Gresmalt in una Intelligent Factory data-driven. All'interno di OR7, il filone dedicato alle collezioni ceramiche si sviluppa attraverso una catena di attività progressive e cumulative, in cui ciascuna fase eredita e mette alla prova gli output della precedente: OR6.9 ha prodotto e collaudato in ambiente virtuale il Protocollo di Product Design Thinking (versione alpha), utilizzato per ideare due configurazioni di collezione a partire dall'analisi data-driven di vendite, trend di mercato e cluster di prodotto; OR7.7 ha collaudato il medesimo protocollo su collezioni reali, portandolo alla versione beta e realizzando in laboratorio 24 prototipi fisici (due collezioni, quattro colori, tre formati ciascuna), denominate LIMEN e LEVITA. La presente attività (OR7.9) rappresenta l'anello conclusivo di questa catena: mentre le fasi precedenti hanno operato su scala virtuale e di laboratorio, con volumi e costi contenuti, OR7.9 comporta l'impiego di risorse produttive, di materiale e di consulenza su scala industriale, ed è pertanto la prima attività del filone in cui l'esito tecnico si traduce direttamente in un impegno economico rilevante per il progetto.</w:t>
      </w:r>
    </w:p>
    <w:p>
      <w:pPr>
        <w:spacing w:line="360" w:lineRule="auto"/>
        <w:ind w:firstLine="284"/>
        <w:jc w:val="both"/>
      </w:pPr>
      <w:r>
        <w:rPr>
          <w:rFonts w:asciiTheme="minorHAnsi" w:hAnsiTheme="minorHAnsi"/>
          <w:sz w:val="28"/>
          <w:szCs w:val="28"/>
        </w:rPr>
        <w:t xml:space="preserve">La baseline di partenza della presente attività è costituita dagli esiti del collaudo alpha documentato in RP7.7 e nei relativi Annessi 2 e 3: la collezione LIMEN è risultata pienamente conforme su tutti i 12 prototipi testati (planarità, classe di scivolosità R10B/R11, resistenza a flessione, assorbimento d'acqua), con esito «GO» e trasferimento a industrializzazione da deliberare; la collezione LEVITA ha invece mostrato una non conformità di assorbimento d'acqua sulle tonalità chiare (beige, white) nel formato 60×60 cm, riconducibile ai parametri di pressatura e cottura del formato e non alla formulazione dell'impasto, con esito «GO condizionato» subordinato al completamento della verifica tecnica su tale combinazione. Questa baseline è determinante per la presente attività per due ragioni: da un lato definisce con precisione il perimetro tecnico da industrializzare, evitando di destinare risorse a varianti non ancora validate; dall'altro individua in modo puntuale l'unico punto di rischio residuo (LEVITA, formato 60×60) su cui concentrare l'azione correttiva prima di impegnare volumi produttivi significativi, riducendo così il rischio di scarto industriale e il relativo costo.</w:t>
      </w:r>
    </w:p>
    <w:p>
      <w:pPr>
        <w:spacing w:line="360" w:lineRule="auto"/>
        <w:ind w:firstLine="284"/>
        <w:jc w:val="both"/>
      </w:pPr>
      <w:r>
        <w:rPr>
          <w:rFonts w:asciiTheme="minorHAnsi" w:hAnsiTheme="minorHAnsi"/>
          <w:sz w:val="28"/>
          <w:szCs w:val="28"/>
        </w:rPr>
        <w:t xml:space="preserve">Obiettivo della presente attività (OR7.9) è industrializzare e testare in ambiente preindustriale, su volumi rappresentativi della scala produttiva reale, le collezioni LIMEN e LEVITA selezionate in esito a OR7.7, secondo quanto previsto dal Piano di Sviluppo (Allegato 4): industrializzazione di non meno di 6.000 m² di piastrelle per ciascun formato (non meno di 3 per collezione) e per ciascun colore (non meno di 4), per un volume complessivo non inferiore a 120.000 m² di «piastrelle intelligenti». Tutti i lotti industrializzati sono stati caratterizzati sia dal punto di vista tecnologico, in coordinamento con OR2.1 e OR7.4 (Product Technological Sustainability Assessment), sia dal punto di vista della sostenibilità di processo, in coordinamento con OR7.3 (EEA+), e sottoposti a verifica di conformità da parte di un laboratorio esterno accreditato, a garanzia della trasparenza del processo di validazione.</w:t>
      </w:r>
    </w:p>
    <w:p>
      <w:pPr>
        <w:spacing w:line="360" w:lineRule="auto"/>
        <w:ind w:firstLine="284"/>
        <w:jc w:val="both"/>
      </w:pPr>
      <w:r>
        <w:rPr>
          <w:rFonts w:asciiTheme="minorHAnsi" w:hAnsiTheme="minorHAnsi"/>
          <w:sz w:val="28"/>
          <w:szCs w:val="28"/>
        </w:rPr>
        <w:t xml:space="preserve">Il Piano di Sviluppo colloca esplicitamente in questa attività una quota rilevante delle risorse economiche stanziate su OR7: dei 300.000 euro complessivamente destinati ai materiali di OR7 (materie prime, engobbi/smalti/inchiostri/additivi, materiali di installazione) e dei 60.000 euro destinati alle consulenze esterne, una parte significativa è motivata esplicitamente dai «test in ambiente preindustriale»; a ciò si aggiunge un impiego intensivo di personale operaio, richiamato nel Piano di Sviluppo come «ampiamente coinvolto anche nelle attività di test preindustriale». Proprio in ragione di questo impegno di risorse, la presente relazione non si limita a documentare la conformità tecnica dei prototipi industrializzati, ma argomenta esplicitamente, capitolo per capitolo, le motivazioni alla base di ciascuna scelta metodologica e ne discute l'efficienza economica al §3.6 e al §4.3, in modo da rendere conto in modo tracciabile del rapporto tra risorse impiegate e risultati conseguiti.</w:t>
      </w:r>
    </w:p>
    <w:p>
      <w:pPr>
        <w:spacing w:line="360" w:lineRule="auto" w:after="120"/>
        <w:jc w:val="both"/>
      </w:pPr>
      <w:r>
        <w:rPr>
          <w:rFonts w:asciiTheme="minorHAnsi" w:hAnsiTheme="minorHAnsi"/>
          <w:b/>
          <w:bCs/>
          <w:caps/>
          <w:color w:val="024C41"/>
          <w:sz w:val="36"/>
          <w:szCs w:val="36"/>
        </w:rPr>
        <w:t xml:space="preserve">2. METODOLOGIA</w:t>
      </w:r>
    </w:p>
    <w:p>
      <w:pPr>
        <w:spacing w:line="360" w:lineRule="auto" w:after="80"/>
        <w:jc w:val="both"/>
      </w:pPr>
      <w:r>
        <w:rPr>
          <w:rFonts w:asciiTheme="minorHAnsi" w:hAnsiTheme="minorHAnsi"/>
          <w:b/>
          <w:bCs/>
          <w:color w:val="024C41"/>
          <w:sz w:val="30"/>
          <w:szCs w:val="30"/>
        </w:rPr>
        <w:t xml:space="preserve">2.1 Selezione delle tipologie e pianificazione dell'industrializzazione</w:t>
      </w:r>
    </w:p>
    <w:p>
      <w:pPr>
        <w:spacing w:line="360" w:lineRule="auto"/>
        <w:ind w:firstLine="284"/>
        <w:jc w:val="both"/>
      </w:pPr>
      <w:r>
        <w:rPr>
          <w:rFonts w:asciiTheme="minorHAnsi" w:hAnsiTheme="minorHAnsi"/>
          <w:sz w:val="28"/>
          <w:szCs w:val="28"/>
        </w:rPr>
        <w:t xml:space="preserve">Le due tipologie di collezione individuate in OR7.7 sono state assunte come oggetto del test preindustriale senza ulteriori varianti di concept, in coerenza con l'esito del collaudo alpha. Questa scelta non è puramente conservativa: introdurre in questa fase nuove varianti estetiche o tecniche avrebbe significato diluire su un numero maggiore di riferimenti i volumi minimi di industrializzazione richiesti dal Piano di Sviluppo (6.000 m² per formato), con l'effetto di ridurre la significatività statistica dei lotti di prova a parità di budget disponibile, oppure di richiedere un incremento proporzionale delle risorse impiegate non previsto in sede di pianificazione economica. Per LIMEN sono stati pertanto confermati i tre formati di collaudo (60×120, 60×60, 30×60 cm) e le quattro colorazioni validate, senza necessità di azioni correttive preliminari, in quanto tutti i 12 prototipi alpha risultavano già pienamente conformi.</w:t>
      </w:r>
    </w:p>
    <w:p>
      <w:pPr>
        <w:spacing w:line="360" w:lineRule="auto"/>
        <w:ind w:firstLine="284"/>
        <w:jc w:val="both"/>
      </w:pPr>
      <w:r>
        <w:rPr>
          <w:rFonts w:asciiTheme="minorHAnsi" w:hAnsiTheme="minorHAnsi"/>
          <w:sz w:val="28"/>
          <w:szCs w:val="28"/>
        </w:rPr>
        <w:t xml:space="preserve">Per LEVITA, l'avvio dell'industrializzazione sul formato 60×60 nelle tonalità beige e white è stato condizionato al completamento di un'analisi di causa sulla non conformità di assorbimento d'acqua rilevata in fase alpha. L'analisi ha escluso la formulazione dell'impasto quale causa, poiché le stesse tonalità nel formato 60×120 rientravano nei limiti di norma: la variabile discriminante è risultata essere lo spessore effettivo del "biscotto" dopo pressatura nel formato 60×60, inferiore a quello dei formati maggiori a parità di ciclo, con conseguente minore gresificazione in cottura. Su questa base è stata definita un'azione correttiva mirata e circoscritta, anziché una revisione generale del processo: incremento della pressione specifica di formatura sulla sola pressa dedicata al formato 60×60 e allungamento della curva di cottura nella fase di gresificazione per le sole tonalità chiare. Concentrare l'intervento sulla combinazione critica, invece di rivedere l'intero ciclo produttivo di LEVITA, ha consentito di contenere sia i tempi di messa a punto sia il consumo di materiale nei lotti di prova correttiva, preservando il budget di materiali per la successiva industrializzazione su volumi pieni.</w:t>
      </w:r>
    </w:p>
    <w:p>
      <w:pPr>
        <w:spacing w:line="360" w:lineRule="auto" w:after="80"/>
        <w:jc w:val="both"/>
      </w:pPr>
      <w:r>
        <w:rPr>
          <w:rFonts w:asciiTheme="minorHAnsi" w:hAnsiTheme="minorHAnsi"/>
          <w:b/>
          <w:bCs/>
          <w:color w:val="024C41"/>
          <w:sz w:val="30"/>
          <w:szCs w:val="30"/>
        </w:rPr>
        <w:t xml:space="preserve">2.2 Piano di produzione su scala preindustriale</w:t>
      </w:r>
    </w:p>
    <w:p>
      <w:pPr>
        <w:spacing w:line="360" w:lineRule="auto"/>
        <w:ind w:firstLine="284"/>
        <w:jc w:val="both"/>
      </w:pPr>
      <w:r>
        <w:rPr>
          <w:rFonts w:asciiTheme="minorHAnsi" w:hAnsiTheme="minorHAnsi"/>
          <w:sz w:val="28"/>
          <w:szCs w:val="28"/>
        </w:rPr>
        <w:t xml:space="preserve">L'industrializzazione è stata condotta sulle linee produttive degli stabilimenti Gresmalt di Sassuolo e Casalgrande, già adeguate nell'ambito di OR7.6 (pressatura/essiccazione, smaltatura/decorazione, cottura/stoccaggio, rifinitura/scelta/imballaggio), impiegando i medesimi sistemi di monitoraggio e raccolta dati collaudati in OR7.1 (piattaforma edge-to-cloud) e OR7.2 (Intelligent Factory). La scelta di questi due stabilimenti, anziché di un impianto pilota dedicato, è motivata da due considerazioni: evitare l'investimento aggiuntivo che l'allestimento di una linea sperimentale separata avrebbe comportato, sfruttando invece l'ingegnerizzazione già finanziata in OR7.6; e garantire che le condizioni di prova (portata delle presse, dinamica dei forni, logistica di linea) siano quelle reali di produzione, così che i risultati tecnici ottenuti siano direttamente rappresentativi della futura produzione commerciale, senza necessità di un ulteriore passaggio di scala.</w:t>
      </w:r>
    </w:p>
    <w:p>
      <w:pPr>
        <w:spacing w:line="360" w:lineRule="auto"/>
        <w:ind w:firstLine="284"/>
        <w:jc w:val="both"/>
      </w:pPr>
      <w:r>
        <w:rPr>
          <w:rFonts w:asciiTheme="minorHAnsi" w:hAnsiTheme="minorHAnsi"/>
          <w:sz w:val="28"/>
          <w:szCs w:val="28"/>
        </w:rPr>
        <w:t xml:space="preserve">Per ciascuna collezione sono stati pianificati lotti produttivi dedicati per formato, distribuiti sulle quattro colorazioni, dimensionati per superare la soglia minima di 6.000 m² per formato indicata dal Piano di Sviluppo di un margine non inferiore al 5%. Tale margine non è arbitrario: è dimensionato per assorbire lo scarto fisiologico di produzione atteso nelle fasi di pressatura, smaltatura e cottura (stimato in linea con gli standard di reparto in essere) senza scendere sotto la soglia minima contrattuale, e per rendere disponibile un numero di campioni sufficiente sia alle prove interne di laboratorio sia al prelievo destinato alla verifica di terza parte descritta al §2.4, senza dover pianificare un secondo lotto integrativo, con evidente beneficio in termini di tempi e costi di set-up.</w:t>
      </w:r>
    </w:p>
    <w:p>
      <w:pPr>
        <w:spacing w:line="360" w:lineRule="auto" w:after="80"/>
        <w:jc w:val="both"/>
      </w:pPr>
      <w:r>
        <w:rPr>
          <w:rFonts w:asciiTheme="minorHAnsi" w:hAnsiTheme="minorHAnsi"/>
          <w:b/>
          <w:bCs/>
          <w:color w:val="024C41"/>
          <w:sz w:val="30"/>
          <w:szCs w:val="30"/>
        </w:rPr>
        <w:t xml:space="preserve">2.3 Piano di caratterizzazione tecnologica e di sostenibilità</w:t>
      </w:r>
    </w:p>
    <w:p>
      <w:pPr>
        <w:spacing w:line="360" w:lineRule="auto"/>
        <w:ind w:firstLine="284"/>
        <w:jc w:val="both"/>
      </w:pPr>
      <w:r>
        <w:rPr>
          <w:rFonts w:asciiTheme="minorHAnsi" w:hAnsiTheme="minorHAnsi"/>
          <w:sz w:val="28"/>
          <w:szCs w:val="28"/>
        </w:rPr>
        <w:t xml:space="preserve">Su campioni prelevati da ciascun lotto (un campione ogni 1.000 m² prodotti circa, con un minimo di tre prelievi per combinazione formato/colore) sono state eseguite le prove previste dalla norma di prodotto UNI EN 14411 secondo i metodi ISO 10545: ritiro lineare dopo cottura (parte 2), assorbimento d'acqua (parte 3), sforzo di rottura e resistenza a flessione (parte 4), coefficiente di dilatazione termica lineare (parte 8), resistenza all'attacco chimico (parte 13) e resistenza alle macchie (parte 14), a fronte delle soglie di conformità definite nel Piano di Sviluppo. La frequenza di campionamento è stata calibrata per intercettare tempestivamente eventuali derive di processo lungo il lotto, evitando sia il rischio di scoprire una non conformità solo a fine lotto (con il relativo scarto di produzione già sostenuto), sia un onere di prove di laboratorio sproporzionato rispetto al valore informativo aggiuntivo di campionamenti più fitti.</w:t>
      </w:r>
    </w:p>
    <w:p>
      <w:pPr>
        <w:spacing w:line="360" w:lineRule="auto"/>
        <w:ind w:firstLine="284"/>
        <w:jc w:val="both"/>
      </w:pPr>
      <w:r>
        <w:rPr>
          <w:rFonts w:asciiTheme="minorHAnsi" w:hAnsiTheme="minorHAnsi"/>
          <w:sz w:val="28"/>
          <w:szCs w:val="28"/>
        </w:rPr>
        <w:t xml:space="preserve">In parallelo, i medesimi lotti sono stati impiegati per il calcolo dell'indice di sostenibilità di processo EEA+ (OR7.3, Extended Exergy Accounting) e dell'indice di sostenibilità tecnologica di prodotto P-TSI (OR7.4, Product Technological Sustainability Assessment). L'integrazione di questi due indici, ulteriore rispetto alla sola caratterizzazione normativa, risponde a un'esigenza specifica del progetto: la sola conformità alle norme ISO 10545 attesta l'idoneità del prodotto alla commercializzazione, ma non fornisce alcuna evidenza del miglioramento di efficienza energetica e di processo che il progetto START si propone di dimostrare. Calcolare EEA+ e P-TSI sugli stessi lotti industrializzati, anziché su prove di laboratorio separate, consente inoltre di non duplicare i costi di campionamento e di ottenere una lettura tecnologica ed energetica riferita esattamente alle medesime condizioni di produzione validate dal punto di vista normativo.</w:t>
      </w:r>
    </w:p>
    <w:p>
      <w:pPr>
        <w:spacing w:line="360" w:lineRule="auto" w:after="80"/>
        <w:jc w:val="both"/>
      </w:pPr>
      <w:r>
        <w:rPr>
          <w:rFonts w:asciiTheme="minorHAnsi" w:hAnsiTheme="minorHAnsi"/>
          <w:b/>
          <w:bCs/>
          <w:color w:val="024C41"/>
          <w:sz w:val="30"/>
          <w:szCs w:val="30"/>
        </w:rPr>
        <w:t xml:space="preserve">2.4 Verifica di conformità di terza parte</w:t>
      </w:r>
    </w:p>
    <w:p>
      <w:pPr>
        <w:spacing w:line="360" w:lineRule="auto"/>
        <w:ind w:firstLine="284"/>
        <w:jc w:val="both"/>
      </w:pPr>
      <w:r>
        <w:rPr>
          <w:rFonts w:asciiTheme="minorHAnsi" w:hAnsiTheme="minorHAnsi"/>
          <w:sz w:val="28"/>
          <w:szCs w:val="28"/>
        </w:rPr>
        <w:t xml:space="preserve">Coerentemente con quanto indicato nel Piano di Sviluppo in merito alla necessità di garantire trasparenza nella validazione dei risultati, campioni rappresentativi di ciascuna combinazione formato/colore sono stati sottoposti a verifica da parte di un laboratorio esterno accreditato ACCREDIA (Centro Ceramico, Bologna), che ha rilasciato rapporto di prova a conferma dei risultati ottenuti internamente dal Laboratorio R&amp;amp;S Gresmalt. Il ricorso a una verifica esterna, pur comportando un costo aggiuntivo quantificato al §2.5, è stato ritenuto necessario per due ordini di motivi: da un lato mitigare il rischio reputazionale e contrattuale di una validazione di conformità autoprodotta su un risultato di progetto rendicontato al Ministero; dall'altro fornire a valle, in fase di eventuale delibera di industrializzazione definitiva (§4.4), un riferimento documentale probante e indipendente, evitando la necessità di ulteriori verifiche in una fase successiva del ciclo di vita del prodotto.</w:t>
      </w:r>
    </w:p>
    <w:p>
      <w:pPr>
        <w:spacing w:line="360" w:lineRule="auto" w:after="80"/>
        <w:jc w:val="both"/>
      </w:pPr>
      <w:r>
        <w:rPr>
          <w:rFonts w:asciiTheme="minorHAnsi" w:hAnsiTheme="minorHAnsi"/>
          <w:b/>
          <w:bCs/>
          <w:color w:val="024C41"/>
          <w:sz w:val="30"/>
          <w:szCs w:val="30"/>
        </w:rPr>
        <w:t xml:space="preserve">2.5 Dimensionamento economico dell'attività</w:t>
      </w:r>
    </w:p>
    <w:p>
      <w:pPr>
        <w:spacing w:line="360" w:lineRule="auto"/>
        <w:ind w:firstLine="284"/>
        <w:jc w:val="both"/>
      </w:pPr>
      <w:r>
        <w:rPr>
          <w:rFonts w:asciiTheme="minorHAnsi" w:hAnsiTheme="minorHAnsi"/>
          <w:sz w:val="28"/>
          <w:szCs w:val="28"/>
        </w:rPr>
        <w:t xml:space="preserve">Il Piano di Sviluppo non ripartisce il budget di OR7 per singola attività, ma lo espone in forma aggregata su tre voci — materiali (300.000 euro), consulenze (60.000 euro) e personale (42.520 ore uomo) — specificando che una parte di ciascuna voce è motivata dai test in ambiente preindustriale. Ai fini della presente relazione si è pertanto proceduto a una stima interna della quota parte assorbita da OR7.9, calcolata in proporzione al volume industrializzato rispetto al totale delle attività di OR7 che impiegano materiale fisico (7.6, 7.7, 7.8, 7.9) e alle ore di personale operaio effettivamente impegnate sulle linee durante il periodo di prova, riportata in Tabella 1.</w:t>
      </w:r>
    </w:p>
    <w:tbl>
      <w:tblPr>
        <w:tblW w:w="12000" w:type="dxa"/>
        <w:tblBorders>
          <w:top w:val="single" w:sz="4" w:space="0" w:color="024C41"/>
          <w:left w:val="single" w:sz="4" w:space="0" w:color="024C41"/>
          <w:bottom w:val="single" w:sz="4" w:space="0" w:color="024C41"/>
          <w:right w:val="single" w:sz="4" w:space="0" w:color="024C41"/>
          <w:insideH w:val="single" w:sz="4" w:space="0" w:color="A6C9C3"/>
          <w:insideV w:val="single" w:sz="4" w:space="0" w:color="A6C9C3"/>
        </w:tblBorders>
        <w:tblLook w:val="04A0"/>
      </w:tblPr>
      <w:tblGrid>
        <w:gridCol w:w="3600"/>
        <w:gridCol w:w="1900"/>
        <w:gridCol w:w="1900"/>
        <w:gridCol w:w="1400"/>
        <w:gridCol w:w="3200"/>
      </w:tblGrid>
      <w:tr>
        <w:tc>
          <w:tcPr>
            <w:tcW w:w="3600" w:type="dxa"/>
            <w:shd w:val="clear" w:color="auto" w:fill="024C41"/>
            <w:vAlign w:val="center"/>
          </w:tcPr>
          <w:p>
            <w:pPr>
              <w:spacing w:after="0" w:line="240" w:lineRule="auto"/>
              <w:jc w:val="center"/>
            </w:pPr>
            <w:r>
              <w:rPr>
                <w:rFonts w:asciiTheme="minorHAnsi" w:hAnsiTheme="minorHAnsi"/>
                <w:b/>
                <w:bCs/>
                <w:color w:val="FFFFFF"/>
                <w:sz w:val="22"/>
                <w:szCs w:val="22"/>
              </w:rPr>
              <w:t xml:space="preserve">Voce di costo</w:t>
            </w:r>
          </w:p>
        </w:tc>
        <w:tc>
          <w:tcPr>
            <w:tcW w:w="1900" w:type="dxa"/>
            <w:shd w:val="clear" w:color="auto" w:fill="024C41"/>
            <w:vAlign w:val="center"/>
          </w:tcPr>
          <w:p>
            <w:pPr>
              <w:spacing w:after="0" w:line="240" w:lineRule="auto"/>
              <w:jc w:val="center"/>
            </w:pPr>
            <w:r>
              <w:rPr>
                <w:rFonts w:asciiTheme="minorHAnsi" w:hAnsiTheme="minorHAnsi"/>
                <w:b/>
                <w:bCs/>
                <w:color w:val="FFFFFF"/>
                <w:sz w:val="22"/>
                <w:szCs w:val="22"/>
              </w:rPr>
              <w:t xml:space="preserve">Budget aggregato OR7</w:t>
            </w:r>
          </w:p>
        </w:tc>
        <w:tc>
          <w:tcPr>
            <w:tcW w:w="1900" w:type="dxa"/>
            <w:shd w:val="clear" w:color="auto" w:fill="024C41"/>
            <w:vAlign w:val="center"/>
          </w:tcPr>
          <w:p>
            <w:pPr>
              <w:spacing w:after="0" w:line="240" w:lineRule="auto"/>
              <w:jc w:val="center"/>
            </w:pPr>
            <w:r>
              <w:rPr>
                <w:rFonts w:asciiTheme="minorHAnsi" w:hAnsiTheme="minorHAnsi"/>
                <w:b/>
                <w:bCs/>
                <w:color w:val="FFFFFF"/>
                <w:sz w:val="22"/>
                <w:szCs w:val="22"/>
              </w:rPr>
              <w:t xml:space="preserve">Quota stimata OR7.9</w:t>
            </w:r>
          </w:p>
        </w:tc>
        <w:tc>
          <w:tcPr>
            <w:tcW w:w="1400" w:type="dxa"/>
            <w:shd w:val="clear" w:color="auto" w:fill="024C41"/>
            <w:vAlign w:val="center"/>
          </w:tcPr>
          <w:p>
            <w:pPr>
              <w:spacing w:after="0" w:line="240" w:lineRule="auto"/>
              <w:jc w:val="center"/>
            </w:pPr>
            <w:r>
              <w:rPr>
                <w:rFonts w:asciiTheme="minorHAnsi" w:hAnsiTheme="minorHAnsi"/>
                <w:b/>
                <w:bCs/>
                <w:color w:val="FFFFFF"/>
                <w:sz w:val="22"/>
                <w:szCs w:val="22"/>
              </w:rPr>
              <w:t xml:space="preserve">% su budget OR7</w:t>
            </w:r>
          </w:p>
        </w:tc>
        <w:tc>
          <w:tcPr>
            <w:tcW w:w="3200" w:type="dxa"/>
            <w:shd w:val="clear" w:color="auto" w:fill="024C41"/>
            <w:vAlign w:val="center"/>
          </w:tcPr>
          <w:p>
            <w:pPr>
              <w:spacing w:after="0" w:line="240" w:lineRule="auto"/>
              <w:jc w:val="center"/>
            </w:pPr>
            <w:r>
              <w:rPr>
                <w:rFonts w:asciiTheme="minorHAnsi" w:hAnsiTheme="minorHAnsi"/>
                <w:b/>
                <w:bCs/>
                <w:color w:val="FFFFFF"/>
                <w:sz w:val="22"/>
                <w:szCs w:val="22"/>
              </w:rPr>
              <w:t xml:space="preserve">Criterio di allocazione</w:t>
            </w:r>
          </w:p>
        </w:tc>
      </w:tr>
      <w:tr>
        <w:tc>
          <w:tcPr>
            <w:tcW w:w="3600" w:type="dxa"/>
            <w:vAlign w:val="center"/>
          </w:tcPr>
          <w:p>
            <w:pPr>
              <w:spacing w:after="0" w:line="240" w:lineRule="auto"/>
              <w:jc w:val="left"/>
            </w:pPr>
            <w:r>
              <w:rPr>
                <w:rFonts w:asciiTheme="minorHAnsi" w:hAnsiTheme="minorHAnsi"/>
                <w:sz w:val="22"/>
                <w:szCs w:val="22"/>
              </w:rPr>
              <w:t xml:space="preserve">Materiali (materie prime, smalti, engobbi)</w:t>
            </w:r>
          </w:p>
        </w:tc>
        <w:tc>
          <w:tcPr>
            <w:tcW w:w="1900" w:type="dxa"/>
            <w:vAlign w:val="center"/>
          </w:tcPr>
          <w:p>
            <w:pPr>
              <w:spacing w:after="0" w:line="240" w:lineRule="auto"/>
              <w:jc w:val="center"/>
            </w:pPr>
            <w:r>
              <w:rPr>
                <w:rFonts w:asciiTheme="minorHAnsi" w:hAnsiTheme="minorHAnsi"/>
                <w:sz w:val="22"/>
                <w:szCs w:val="22"/>
              </w:rPr>
              <w:t xml:space="preserve">300.000 €</w:t>
            </w:r>
          </w:p>
        </w:tc>
        <w:tc>
          <w:tcPr>
            <w:tcW w:w="1900" w:type="dxa"/>
            <w:vAlign w:val="center"/>
          </w:tcPr>
          <w:p>
            <w:pPr>
              <w:spacing w:after="0" w:line="240" w:lineRule="auto"/>
              <w:jc w:val="center"/>
            </w:pPr>
            <w:r>
              <w:rPr>
                <w:rFonts w:asciiTheme="minorHAnsi" w:hAnsiTheme="minorHAnsi"/>
                <w:sz w:val="22"/>
                <w:szCs w:val="22"/>
              </w:rPr>
              <w:t xml:space="preserve">186.400 €</w:t>
            </w:r>
          </w:p>
        </w:tc>
        <w:tc>
          <w:tcPr>
            <w:tcW w:w="1400" w:type="dxa"/>
            <w:vAlign w:val="center"/>
          </w:tcPr>
          <w:p>
            <w:pPr>
              <w:spacing w:after="0" w:line="240" w:lineRule="auto"/>
              <w:jc w:val="center"/>
            </w:pPr>
            <w:r>
              <w:rPr>
                <w:rFonts w:asciiTheme="minorHAnsi" w:hAnsiTheme="minorHAnsi"/>
                <w:sz w:val="22"/>
                <w:szCs w:val="22"/>
              </w:rPr>
              <w:t xml:space="preserve">62%</w:t>
            </w:r>
          </w:p>
        </w:tc>
        <w:tc>
          <w:tcPr>
            <w:tcW w:w="3200" w:type="dxa"/>
            <w:vAlign w:val="center"/>
          </w:tcPr>
          <w:p>
            <w:pPr>
              <w:spacing w:after="0" w:line="240" w:lineRule="auto"/>
              <w:jc w:val="left"/>
            </w:pPr>
            <w:r>
              <w:rPr>
                <w:rFonts w:asciiTheme="minorHAnsi" w:hAnsiTheme="minorHAnsi"/>
                <w:sz w:val="22"/>
                <w:szCs w:val="22"/>
              </w:rPr>
              <w:t xml:space="preserve">Proporzionale a m² industrializzati</w:t>
            </w:r>
          </w:p>
        </w:tc>
      </w:tr>
      <w:tr>
        <w:tc>
          <w:tcPr>
            <w:tcW w:w="3600" w:type="dxa"/>
            <w:vAlign w:val="center"/>
          </w:tcPr>
          <w:p>
            <w:pPr>
              <w:spacing w:after="0" w:line="240" w:lineRule="auto"/>
              <w:jc w:val="left"/>
            </w:pPr>
            <w:r>
              <w:rPr>
                <w:rFonts w:asciiTheme="minorHAnsi" w:hAnsiTheme="minorHAnsi"/>
                <w:sz w:val="22"/>
                <w:szCs w:val="22"/>
              </w:rPr>
              <w:t xml:space="preserve">Consulenze esterne (laboratorio, processo)</w:t>
            </w:r>
          </w:p>
        </w:tc>
        <w:tc>
          <w:tcPr>
            <w:tcW w:w="1900" w:type="dxa"/>
            <w:vAlign w:val="center"/>
          </w:tcPr>
          <w:p>
            <w:pPr>
              <w:spacing w:after="0" w:line="240" w:lineRule="auto"/>
              <w:jc w:val="center"/>
            </w:pPr>
            <w:r>
              <w:rPr>
                <w:rFonts w:asciiTheme="minorHAnsi" w:hAnsiTheme="minorHAnsi"/>
                <w:sz w:val="22"/>
                <w:szCs w:val="22"/>
              </w:rPr>
              <w:t xml:space="preserve">60.000 €</w:t>
            </w:r>
          </w:p>
        </w:tc>
        <w:tc>
          <w:tcPr>
            <w:tcW w:w="1900" w:type="dxa"/>
            <w:vAlign w:val="center"/>
          </w:tcPr>
          <w:p>
            <w:pPr>
              <w:spacing w:after="0" w:line="240" w:lineRule="auto"/>
              <w:jc w:val="center"/>
            </w:pPr>
            <w:r>
              <w:rPr>
                <w:rFonts w:asciiTheme="minorHAnsi" w:hAnsiTheme="minorHAnsi"/>
                <w:sz w:val="22"/>
                <w:szCs w:val="22"/>
              </w:rPr>
              <w:t xml:space="preserve">38.500 €</w:t>
            </w:r>
          </w:p>
        </w:tc>
        <w:tc>
          <w:tcPr>
            <w:tcW w:w="1400" w:type="dxa"/>
            <w:vAlign w:val="center"/>
          </w:tcPr>
          <w:p>
            <w:pPr>
              <w:spacing w:after="0" w:line="240" w:lineRule="auto"/>
              <w:jc w:val="center"/>
            </w:pPr>
            <w:r>
              <w:rPr>
                <w:rFonts w:asciiTheme="minorHAnsi" w:hAnsiTheme="minorHAnsi"/>
                <w:sz w:val="22"/>
                <w:szCs w:val="22"/>
              </w:rPr>
              <w:t xml:space="preserve">64%</w:t>
            </w:r>
          </w:p>
        </w:tc>
        <w:tc>
          <w:tcPr>
            <w:tcW w:w="3200" w:type="dxa"/>
            <w:vAlign w:val="center"/>
          </w:tcPr>
          <w:p>
            <w:pPr>
              <w:spacing w:after="0" w:line="240" w:lineRule="auto"/>
              <w:jc w:val="left"/>
            </w:pPr>
            <w:r>
              <w:rPr>
                <w:rFonts w:asciiTheme="minorHAnsi" w:hAnsiTheme="minorHAnsi"/>
                <w:sz w:val="22"/>
                <w:szCs w:val="22"/>
              </w:rPr>
              <w:t xml:space="preserve">Prove di caratterizzazione e certificazione terza parte</w:t>
            </w:r>
          </w:p>
        </w:tc>
      </w:tr>
      <w:tr>
        <w:tc>
          <w:tcPr>
            <w:tcW w:w="3600" w:type="dxa"/>
            <w:vAlign w:val="center"/>
          </w:tcPr>
          <w:p>
            <w:pPr>
              <w:spacing w:after="0" w:line="240" w:lineRule="auto"/>
              <w:jc w:val="left"/>
            </w:pPr>
            <w:r>
              <w:rPr>
                <w:rFonts w:asciiTheme="minorHAnsi" w:hAnsiTheme="minorHAnsi"/>
                <w:sz w:val="22"/>
                <w:szCs w:val="22"/>
              </w:rPr>
              <w:t xml:space="preserve">Personale (ore uomo operai/tecnici)</w:t>
            </w:r>
          </w:p>
        </w:tc>
        <w:tc>
          <w:tcPr>
            <w:tcW w:w="1900" w:type="dxa"/>
            <w:vAlign w:val="center"/>
          </w:tcPr>
          <w:p>
            <w:pPr>
              <w:spacing w:after="0" w:line="240" w:lineRule="auto"/>
              <w:jc w:val="center"/>
            </w:pPr>
            <w:r>
              <w:rPr>
                <w:rFonts w:asciiTheme="minorHAnsi" w:hAnsiTheme="minorHAnsi"/>
                <w:sz w:val="22"/>
                <w:szCs w:val="22"/>
              </w:rPr>
              <w:t xml:space="preserve">42.520 h</w:t>
            </w:r>
          </w:p>
        </w:tc>
        <w:tc>
          <w:tcPr>
            <w:tcW w:w="1900" w:type="dxa"/>
            <w:vAlign w:val="center"/>
          </w:tcPr>
          <w:p>
            <w:pPr>
              <w:spacing w:after="0" w:line="240" w:lineRule="auto"/>
              <w:jc w:val="center"/>
            </w:pPr>
            <w:r>
              <w:rPr>
                <w:rFonts w:asciiTheme="minorHAnsi" w:hAnsiTheme="minorHAnsi"/>
                <w:sz w:val="22"/>
                <w:szCs w:val="22"/>
              </w:rPr>
              <w:t xml:space="preserve">6.380 h</w:t>
            </w:r>
          </w:p>
        </w:tc>
        <w:tc>
          <w:tcPr>
            <w:tcW w:w="1400" w:type="dxa"/>
            <w:vAlign w:val="center"/>
          </w:tcPr>
          <w:p>
            <w:pPr>
              <w:spacing w:after="0" w:line="240" w:lineRule="auto"/>
              <w:jc w:val="center"/>
            </w:pPr>
            <w:r>
              <w:rPr>
                <w:rFonts w:asciiTheme="minorHAnsi" w:hAnsiTheme="minorHAnsi"/>
                <w:sz w:val="22"/>
                <w:szCs w:val="22"/>
              </w:rPr>
              <w:t xml:space="preserve">15%</w:t>
            </w:r>
          </w:p>
        </w:tc>
        <w:tc>
          <w:tcPr>
            <w:tcW w:w="3200" w:type="dxa"/>
            <w:vAlign w:val="center"/>
          </w:tcPr>
          <w:p>
            <w:pPr>
              <w:spacing w:after="0" w:line="240" w:lineRule="auto"/>
              <w:jc w:val="left"/>
            </w:pPr>
            <w:r>
              <w:rPr>
                <w:rFonts w:asciiTheme="minorHAnsi" w:hAnsiTheme="minorHAnsi"/>
                <w:sz w:val="22"/>
                <w:szCs w:val="22"/>
              </w:rPr>
              <w:t xml:space="preserve">Ore di linea rendicontate sui lotti di prova</w:t>
            </w:r>
          </w:p>
        </w:tc>
      </w:tr>
    </w:tbl>
    <w:p>
      <w:pPr>
        <w:spacing w:line="360" w:lineRule="auto" w:after="200"/>
        <w:jc w:val="both"/>
      </w:pPr>
    </w:p>
    <w:p>
      <w:pPr>
        <w:spacing w:line="360" w:lineRule="auto" w:after="200"/>
        <w:jc w:val="center"/>
      </w:pPr>
      <w:r>
        <w:rPr>
          <w:rFonts w:asciiTheme="minorHAnsi" w:hAnsiTheme="minorHAnsi"/>
          <w:i/>
          <w:iCs/>
          <w:sz w:val="22"/>
          <w:szCs w:val="22"/>
        </w:rPr>
        <w:t xml:space="preserve">Tabella 1 – Stima interna della quota parte di risorse OR7 impiegate in OR7.9</w:t>
      </w:r>
    </w:p>
    <w:p>
      <w:pPr>
        <w:spacing w:line="360" w:lineRule="auto"/>
        <w:ind w:firstLine="284"/>
        <w:jc w:val="both"/>
      </w:pPr>
      <w:r>
        <w:rPr>
          <w:rFonts w:asciiTheme="minorHAnsi" w:hAnsiTheme="minorHAnsi"/>
          <w:sz w:val="28"/>
          <w:szCs w:val="28"/>
        </w:rPr>
        <w:t xml:space="preserve">La quota di materiali risulta proporzionalmente superiore a quella di personale poiché l'attività, a differenza del collaudo di laboratorio di OR7.7, comporta l'impiego di materie prime e smalti su scala di lotto industriale; la quota di consulenze riflette prevalentemente il costo della verifica di terza parte descritta al §2.4 e delle prove di caratterizzazione non eseguibili internamente. L'efficienza di questo impiego di risorse, rapportata ai volumi e ai risultati ottenuti, è discussa al §3.6.</w:t>
      </w:r>
    </w:p>
    <w:p>
      <w:pPr>
        <w:spacing w:line="360" w:lineRule="auto" w:after="120"/>
        <w:jc w:val="both"/>
      </w:pPr>
      <w:r>
        <w:rPr>
          <w:rFonts w:asciiTheme="minorHAnsi" w:hAnsiTheme="minorHAnsi"/>
          <w:b/>
          <w:bCs/>
          <w:caps/>
          <w:color w:val="024C41"/>
          <w:sz w:val="36"/>
          <w:szCs w:val="36"/>
        </w:rPr>
        <w:t xml:space="preserve">3.RISULTATI</w:t>
      </w:r>
    </w:p>
    <w:p>
      <w:pPr>
        <w:spacing w:line="360" w:lineRule="auto" w:after="80"/>
        <w:jc w:val="both"/>
      </w:pPr>
      <w:r>
        <w:rPr>
          <w:rFonts w:asciiTheme="minorHAnsi" w:hAnsiTheme="minorHAnsi"/>
          <w:b/>
          <w:bCs/>
          <w:color w:val="024C41"/>
          <w:sz w:val="30"/>
          <w:szCs w:val="30"/>
        </w:rPr>
        <w:t xml:space="preserve">3.1 Volumi industrializzati</w:t>
      </w:r>
    </w:p>
    <w:p>
      <w:pPr>
        <w:spacing w:line="360" w:lineRule="auto"/>
        <w:ind w:firstLine="284"/>
        <w:jc w:val="both"/>
      </w:pPr>
      <w:r>
        <w:rPr>
          <w:rFonts w:asciiTheme="minorHAnsi" w:hAnsiTheme="minorHAnsi"/>
          <w:sz w:val="28"/>
          <w:szCs w:val="28"/>
        </w:rPr>
        <w:t xml:space="preserve">La Tabella 2 riporta i volumi complessivamente industrializzati per collezione e formato nel periodo di riferimento. Il volume complessivo raggiunto è pari a 121.630 m², a fronte della soglia minima di progetto di 120.000 m², con ciascun formato attestato al di sopra della soglia minima di 6.000 m² indicata dal Piano di Sviluppo.</w:t>
      </w:r>
    </w:p>
    <w:tbl>
      <w:tblPr>
        <w:tblW w:w="10000" w:type="dxa"/>
        <w:tblBorders>
          <w:top w:val="single" w:sz="4" w:space="0" w:color="024C41"/>
          <w:left w:val="single" w:sz="4" w:space="0" w:color="024C41"/>
          <w:bottom w:val="single" w:sz="4" w:space="0" w:color="024C41"/>
          <w:right w:val="single" w:sz="4" w:space="0" w:color="024C41"/>
          <w:insideH w:val="single" w:sz="4" w:space="0" w:color="A6C9C3"/>
          <w:insideV w:val="single" w:sz="4" w:space="0" w:color="A6C9C3"/>
        </w:tblBorders>
        <w:tblLook w:val="04A0"/>
      </w:tblPr>
      <w:tblGrid>
        <w:gridCol w:w="1600"/>
        <w:gridCol w:w="1400"/>
        <w:gridCol w:w="1900"/>
        <w:gridCol w:w="1600"/>
        <w:gridCol w:w="1900"/>
        <w:gridCol w:w="1600"/>
      </w:tblGrid>
      <w:tr>
        <w:tc>
          <w:tcPr>
            <w:tcW w:w="1600" w:type="dxa"/>
            <w:shd w:val="clear" w:color="auto" w:fill="024C41"/>
            <w:vAlign w:val="center"/>
          </w:tcPr>
          <w:p>
            <w:pPr>
              <w:spacing w:after="0" w:line="240" w:lineRule="auto"/>
              <w:jc w:val="center"/>
            </w:pPr>
            <w:r>
              <w:rPr>
                <w:rFonts w:asciiTheme="minorHAnsi" w:hAnsiTheme="minorHAnsi"/>
                <w:b/>
                <w:bCs/>
                <w:color w:val="FFFFFF"/>
                <w:sz w:val="22"/>
                <w:szCs w:val="22"/>
              </w:rPr>
              <w:t xml:space="preserve">Collezione</w:t>
            </w:r>
          </w:p>
        </w:tc>
        <w:tc>
          <w:tcPr>
            <w:tcW w:w="1400" w:type="dxa"/>
            <w:shd w:val="clear" w:color="auto" w:fill="024C41"/>
            <w:vAlign w:val="center"/>
          </w:tcPr>
          <w:p>
            <w:pPr>
              <w:spacing w:after="0" w:line="240" w:lineRule="auto"/>
              <w:jc w:val="center"/>
            </w:pPr>
            <w:r>
              <w:rPr>
                <w:rFonts w:asciiTheme="minorHAnsi" w:hAnsiTheme="minorHAnsi"/>
                <w:b/>
                <w:bCs/>
                <w:color w:val="FFFFFF"/>
                <w:sz w:val="22"/>
                <w:szCs w:val="22"/>
              </w:rPr>
              <w:t xml:space="preserve">Formato</w:t>
            </w:r>
          </w:p>
        </w:tc>
        <w:tc>
          <w:tcPr>
            <w:tcW w:w="1900" w:type="dxa"/>
            <w:shd w:val="clear" w:color="auto" w:fill="024C41"/>
            <w:vAlign w:val="center"/>
          </w:tcPr>
          <w:p>
            <w:pPr>
              <w:spacing w:after="0" w:line="240" w:lineRule="auto"/>
              <w:jc w:val="center"/>
            </w:pPr>
            <w:r>
              <w:rPr>
                <w:rFonts w:asciiTheme="minorHAnsi" w:hAnsiTheme="minorHAnsi"/>
                <w:b/>
                <w:bCs/>
                <w:color w:val="FFFFFF"/>
                <w:sz w:val="22"/>
                <w:szCs w:val="22"/>
              </w:rPr>
              <w:t xml:space="preserve">Colori industrializzati</w:t>
            </w:r>
          </w:p>
        </w:tc>
        <w:tc>
          <w:tcPr>
            <w:tcW w:w="1600" w:type="dxa"/>
            <w:shd w:val="clear" w:color="auto" w:fill="024C41"/>
            <w:vAlign w:val="center"/>
          </w:tcPr>
          <w:p>
            <w:pPr>
              <w:spacing w:after="0" w:line="240" w:lineRule="auto"/>
              <w:jc w:val="center"/>
            </w:pPr>
            <w:r>
              <w:rPr>
                <w:rFonts w:asciiTheme="minorHAnsi" w:hAnsiTheme="minorHAnsi"/>
                <w:b/>
                <w:bCs/>
                <w:color w:val="FFFFFF"/>
                <w:sz w:val="22"/>
                <w:szCs w:val="22"/>
              </w:rPr>
              <w:t xml:space="preserve">m² prodotti</w:t>
            </w:r>
          </w:p>
        </w:tc>
        <w:tc>
          <w:tcPr>
            <w:tcW w:w="1900" w:type="dxa"/>
            <w:shd w:val="clear" w:color="auto" w:fill="024C41"/>
            <w:vAlign w:val="center"/>
          </w:tcPr>
          <w:p>
            <w:pPr>
              <w:spacing w:after="0" w:line="240" w:lineRule="auto"/>
              <w:jc w:val="center"/>
            </w:pPr>
            <w:r>
              <w:rPr>
                <w:rFonts w:asciiTheme="minorHAnsi" w:hAnsiTheme="minorHAnsi"/>
                <w:b/>
                <w:bCs/>
                <w:color w:val="FFFFFF"/>
                <w:sz w:val="22"/>
                <w:szCs w:val="22"/>
              </w:rPr>
              <w:t xml:space="preserve">Soglia minima (m²)</w:t>
            </w:r>
          </w:p>
        </w:tc>
        <w:tc>
          <w:tcPr>
            <w:tcW w:w="1600" w:type="dxa"/>
            <w:shd w:val="clear" w:color="auto" w:fill="024C41"/>
            <w:vAlign w:val="center"/>
          </w:tcPr>
          <w:p>
            <w:pPr>
              <w:spacing w:after="0" w:line="240" w:lineRule="auto"/>
              <w:jc w:val="center"/>
            </w:pPr>
            <w:r>
              <w:rPr>
                <w:rFonts w:asciiTheme="minorHAnsi" w:hAnsiTheme="minorHAnsi"/>
                <w:b/>
                <w:bCs/>
                <w:color w:val="FFFFFF"/>
                <w:sz w:val="22"/>
                <w:szCs w:val="22"/>
              </w:rPr>
              <w:t xml:space="preserve">Esito</w:t>
            </w:r>
          </w:p>
        </w:tc>
      </w:tr>
      <w:tr>
        <w:tc>
          <w:tcPr>
            <w:tcW w:w="1600" w:type="dxa"/>
            <w:vAlign w:val="center"/>
          </w:tcPr>
          <w:p>
            <w:pPr>
              <w:spacing w:after="0" w:line="240" w:lineRule="auto"/>
              <w:jc w:val="center"/>
            </w:pPr>
            <w:r>
              <w:rPr>
                <w:rFonts w:asciiTheme="minorHAnsi" w:hAnsiTheme="minorHAnsi"/>
                <w:sz w:val="22"/>
                <w:szCs w:val="22"/>
              </w:rPr>
              <w:t xml:space="preserve">LIMEN</w:t>
            </w:r>
          </w:p>
        </w:tc>
        <w:tc>
          <w:tcPr>
            <w:tcW w:w="1400" w:type="dxa"/>
            <w:vAlign w:val="center"/>
          </w:tcPr>
          <w:p>
            <w:pPr>
              <w:spacing w:after="0" w:line="240" w:lineRule="auto"/>
              <w:jc w:val="center"/>
            </w:pPr>
            <w:r>
              <w:rPr>
                <w:rFonts w:asciiTheme="minorHAnsi" w:hAnsiTheme="minorHAnsi"/>
                <w:sz w:val="22"/>
                <w:szCs w:val="22"/>
              </w:rPr>
              <w:t xml:space="preserve">60×120</w:t>
            </w:r>
          </w:p>
        </w:tc>
        <w:tc>
          <w:tcPr>
            <w:tcW w:w="1900" w:type="dxa"/>
            <w:vAlign w:val="center"/>
          </w:tcPr>
          <w:p>
            <w:pPr>
              <w:spacing w:after="0" w:line="240" w:lineRule="auto"/>
              <w:jc w:val="center"/>
            </w:pPr>
            <w:r>
              <w:rPr>
                <w:rFonts w:asciiTheme="minorHAnsi" w:hAnsiTheme="minorHAnsi"/>
                <w:sz w:val="22"/>
                <w:szCs w:val="22"/>
              </w:rPr>
              <w:t xml:space="preserve">4</w:t>
            </w:r>
          </w:p>
        </w:tc>
        <w:tc>
          <w:tcPr>
            <w:tcW w:w="1600" w:type="dxa"/>
            <w:vAlign w:val="center"/>
          </w:tcPr>
          <w:p>
            <w:pPr>
              <w:spacing w:after="0" w:line="240" w:lineRule="auto"/>
              <w:jc w:val="center"/>
            </w:pPr>
            <w:r>
              <w:rPr>
                <w:rFonts w:asciiTheme="minorHAnsi" w:hAnsiTheme="minorHAnsi"/>
                <w:sz w:val="22"/>
                <w:szCs w:val="22"/>
              </w:rPr>
              <w:t xml:space="preserve">22.410</w:t>
            </w:r>
          </w:p>
        </w:tc>
        <w:tc>
          <w:tcPr>
            <w:tcW w:w="1900" w:type="dxa"/>
            <w:vAlign w:val="center"/>
          </w:tcPr>
          <w:p>
            <w:pPr>
              <w:spacing w:after="0" w:line="240" w:lineRule="auto"/>
              <w:jc w:val="center"/>
            </w:pPr>
            <w:r>
              <w:rPr>
                <w:rFonts w:asciiTheme="minorHAnsi" w:hAnsiTheme="minorHAnsi"/>
                <w:sz w:val="22"/>
                <w:szCs w:val="22"/>
              </w:rPr>
              <w:t xml:space="preserve">6.000</w:t>
            </w:r>
          </w:p>
        </w:tc>
        <w:tc>
          <w:tcPr>
            <w:tcW w:w="1600" w:type="dxa"/>
            <w:vAlign w:val="center"/>
          </w:tcPr>
          <w:p>
            <w:pPr>
              <w:spacing w:after="0" w:line="240" w:lineRule="auto"/>
              <w:jc w:val="center"/>
            </w:pPr>
            <w:r>
              <w:rPr>
                <w:rFonts w:asciiTheme="minorHAnsi" w:hAnsiTheme="minorHAnsi"/>
                <w:sz w:val="22"/>
                <w:szCs w:val="22"/>
              </w:rPr>
              <w:t xml:space="preserve">Conforme</w:t>
            </w:r>
          </w:p>
        </w:tc>
      </w:tr>
      <w:tr>
        <w:tc>
          <w:tcPr>
            <w:tcW w:w="1600" w:type="dxa"/>
            <w:vAlign w:val="center"/>
          </w:tcPr>
          <w:p>
            <w:pPr>
              <w:spacing w:after="0" w:line="240" w:lineRule="auto"/>
              <w:jc w:val="center"/>
            </w:pPr>
            <w:r>
              <w:rPr>
                <w:rFonts w:asciiTheme="minorHAnsi" w:hAnsiTheme="minorHAnsi"/>
                <w:sz w:val="22"/>
                <w:szCs w:val="22"/>
              </w:rPr>
              <w:t xml:space="preserve">LIMEN</w:t>
            </w:r>
          </w:p>
        </w:tc>
        <w:tc>
          <w:tcPr>
            <w:tcW w:w="1400" w:type="dxa"/>
            <w:vAlign w:val="center"/>
          </w:tcPr>
          <w:p>
            <w:pPr>
              <w:spacing w:after="0" w:line="240" w:lineRule="auto"/>
              <w:jc w:val="center"/>
            </w:pPr>
            <w:r>
              <w:rPr>
                <w:rFonts w:asciiTheme="minorHAnsi" w:hAnsiTheme="minorHAnsi"/>
                <w:sz w:val="22"/>
                <w:szCs w:val="22"/>
              </w:rPr>
              <w:t xml:space="preserve">60×60</w:t>
            </w:r>
          </w:p>
        </w:tc>
        <w:tc>
          <w:tcPr>
            <w:tcW w:w="1900" w:type="dxa"/>
            <w:vAlign w:val="center"/>
          </w:tcPr>
          <w:p>
            <w:pPr>
              <w:spacing w:after="0" w:line="240" w:lineRule="auto"/>
              <w:jc w:val="center"/>
            </w:pPr>
            <w:r>
              <w:rPr>
                <w:rFonts w:asciiTheme="minorHAnsi" w:hAnsiTheme="minorHAnsi"/>
                <w:sz w:val="22"/>
                <w:szCs w:val="22"/>
              </w:rPr>
              <w:t xml:space="preserve">4</w:t>
            </w:r>
          </w:p>
        </w:tc>
        <w:tc>
          <w:tcPr>
            <w:tcW w:w="1600" w:type="dxa"/>
            <w:vAlign w:val="center"/>
          </w:tcPr>
          <w:p>
            <w:pPr>
              <w:spacing w:after="0" w:line="240" w:lineRule="auto"/>
              <w:jc w:val="center"/>
            </w:pPr>
            <w:r>
              <w:rPr>
                <w:rFonts w:asciiTheme="minorHAnsi" w:hAnsiTheme="minorHAnsi"/>
                <w:sz w:val="22"/>
                <w:szCs w:val="22"/>
              </w:rPr>
              <w:t xml:space="preserve">20.180</w:t>
            </w:r>
          </w:p>
        </w:tc>
        <w:tc>
          <w:tcPr>
            <w:tcW w:w="1900" w:type="dxa"/>
            <w:vAlign w:val="center"/>
          </w:tcPr>
          <w:p>
            <w:pPr>
              <w:spacing w:after="0" w:line="240" w:lineRule="auto"/>
              <w:jc w:val="center"/>
            </w:pPr>
            <w:r>
              <w:rPr>
                <w:rFonts w:asciiTheme="minorHAnsi" w:hAnsiTheme="minorHAnsi"/>
                <w:sz w:val="22"/>
                <w:szCs w:val="22"/>
              </w:rPr>
              <w:t xml:space="preserve">6.000</w:t>
            </w:r>
          </w:p>
        </w:tc>
        <w:tc>
          <w:tcPr>
            <w:tcW w:w="1600" w:type="dxa"/>
            <w:vAlign w:val="center"/>
          </w:tcPr>
          <w:p>
            <w:pPr>
              <w:spacing w:after="0" w:line="240" w:lineRule="auto"/>
              <w:jc w:val="center"/>
            </w:pPr>
            <w:r>
              <w:rPr>
                <w:rFonts w:asciiTheme="minorHAnsi" w:hAnsiTheme="minorHAnsi"/>
                <w:sz w:val="22"/>
                <w:szCs w:val="22"/>
              </w:rPr>
              <w:t xml:space="preserve">Conforme</w:t>
            </w:r>
          </w:p>
        </w:tc>
      </w:tr>
      <w:tr>
        <w:tc>
          <w:tcPr>
            <w:tcW w:w="1600" w:type="dxa"/>
            <w:vAlign w:val="center"/>
          </w:tcPr>
          <w:p>
            <w:pPr>
              <w:spacing w:after="0" w:line="240" w:lineRule="auto"/>
              <w:jc w:val="center"/>
            </w:pPr>
            <w:r>
              <w:rPr>
                <w:rFonts w:asciiTheme="minorHAnsi" w:hAnsiTheme="minorHAnsi"/>
                <w:sz w:val="22"/>
                <w:szCs w:val="22"/>
              </w:rPr>
              <w:t xml:space="preserve">LIMEN</w:t>
            </w:r>
          </w:p>
        </w:tc>
        <w:tc>
          <w:tcPr>
            <w:tcW w:w="1400" w:type="dxa"/>
            <w:vAlign w:val="center"/>
          </w:tcPr>
          <w:p>
            <w:pPr>
              <w:spacing w:after="0" w:line="240" w:lineRule="auto"/>
              <w:jc w:val="center"/>
            </w:pPr>
            <w:r>
              <w:rPr>
                <w:rFonts w:asciiTheme="minorHAnsi" w:hAnsiTheme="minorHAnsi"/>
                <w:sz w:val="22"/>
                <w:szCs w:val="22"/>
              </w:rPr>
              <w:t xml:space="preserve">30×60</w:t>
            </w:r>
          </w:p>
        </w:tc>
        <w:tc>
          <w:tcPr>
            <w:tcW w:w="1900" w:type="dxa"/>
            <w:vAlign w:val="center"/>
          </w:tcPr>
          <w:p>
            <w:pPr>
              <w:spacing w:after="0" w:line="240" w:lineRule="auto"/>
              <w:jc w:val="center"/>
            </w:pPr>
            <w:r>
              <w:rPr>
                <w:rFonts w:asciiTheme="minorHAnsi" w:hAnsiTheme="minorHAnsi"/>
                <w:sz w:val="22"/>
                <w:szCs w:val="22"/>
              </w:rPr>
              <w:t xml:space="preserve">4</w:t>
            </w:r>
          </w:p>
        </w:tc>
        <w:tc>
          <w:tcPr>
            <w:tcW w:w="1600" w:type="dxa"/>
            <w:vAlign w:val="center"/>
          </w:tcPr>
          <w:p>
            <w:pPr>
              <w:spacing w:after="0" w:line="240" w:lineRule="auto"/>
              <w:jc w:val="center"/>
            </w:pPr>
            <w:r>
              <w:rPr>
                <w:rFonts w:asciiTheme="minorHAnsi" w:hAnsiTheme="minorHAnsi"/>
                <w:sz w:val="22"/>
                <w:szCs w:val="22"/>
              </w:rPr>
              <w:t xml:space="preserve">18.940</w:t>
            </w:r>
          </w:p>
        </w:tc>
        <w:tc>
          <w:tcPr>
            <w:tcW w:w="1900" w:type="dxa"/>
            <w:vAlign w:val="center"/>
          </w:tcPr>
          <w:p>
            <w:pPr>
              <w:spacing w:after="0" w:line="240" w:lineRule="auto"/>
              <w:jc w:val="center"/>
            </w:pPr>
            <w:r>
              <w:rPr>
                <w:rFonts w:asciiTheme="minorHAnsi" w:hAnsiTheme="minorHAnsi"/>
                <w:sz w:val="22"/>
                <w:szCs w:val="22"/>
              </w:rPr>
              <w:t xml:space="preserve">6.000</w:t>
            </w:r>
          </w:p>
        </w:tc>
        <w:tc>
          <w:tcPr>
            <w:tcW w:w="1600" w:type="dxa"/>
            <w:vAlign w:val="center"/>
          </w:tcPr>
          <w:p>
            <w:pPr>
              <w:spacing w:after="0" w:line="240" w:lineRule="auto"/>
              <w:jc w:val="center"/>
            </w:pPr>
            <w:r>
              <w:rPr>
                <w:rFonts w:asciiTheme="minorHAnsi" w:hAnsiTheme="minorHAnsi"/>
                <w:sz w:val="22"/>
                <w:szCs w:val="22"/>
              </w:rPr>
              <w:t xml:space="preserve">Conforme</w:t>
            </w:r>
          </w:p>
        </w:tc>
      </w:tr>
      <w:tr>
        <w:tc>
          <w:tcPr>
            <w:tcW w:w="1600" w:type="dxa"/>
            <w:vAlign w:val="center"/>
          </w:tcPr>
          <w:p>
            <w:pPr>
              <w:spacing w:after="0" w:line="240" w:lineRule="auto"/>
              <w:jc w:val="center"/>
            </w:pPr>
            <w:r>
              <w:rPr>
                <w:rFonts w:asciiTheme="minorHAnsi" w:hAnsiTheme="minorHAnsi"/>
                <w:sz w:val="22"/>
                <w:szCs w:val="22"/>
              </w:rPr>
              <w:t xml:space="preserve">LEVITA</w:t>
            </w:r>
          </w:p>
        </w:tc>
        <w:tc>
          <w:tcPr>
            <w:tcW w:w="1400" w:type="dxa"/>
            <w:vAlign w:val="center"/>
          </w:tcPr>
          <w:p>
            <w:pPr>
              <w:spacing w:after="0" w:line="240" w:lineRule="auto"/>
              <w:jc w:val="center"/>
            </w:pPr>
            <w:r>
              <w:rPr>
                <w:rFonts w:asciiTheme="minorHAnsi" w:hAnsiTheme="minorHAnsi"/>
                <w:sz w:val="22"/>
                <w:szCs w:val="22"/>
              </w:rPr>
              <w:t xml:space="preserve">60×60</w:t>
            </w:r>
          </w:p>
        </w:tc>
        <w:tc>
          <w:tcPr>
            <w:tcW w:w="1900" w:type="dxa"/>
            <w:vAlign w:val="center"/>
          </w:tcPr>
          <w:p>
            <w:pPr>
              <w:spacing w:after="0" w:line="240" w:lineRule="auto"/>
              <w:jc w:val="center"/>
            </w:pPr>
            <w:r>
              <w:rPr>
                <w:rFonts w:asciiTheme="minorHAnsi" w:hAnsiTheme="minorHAnsi"/>
                <w:sz w:val="22"/>
                <w:szCs w:val="22"/>
              </w:rPr>
              <w:t xml:space="preserve">4</w:t>
            </w:r>
          </w:p>
        </w:tc>
        <w:tc>
          <w:tcPr>
            <w:tcW w:w="1600" w:type="dxa"/>
            <w:vAlign w:val="center"/>
          </w:tcPr>
          <w:p>
            <w:pPr>
              <w:spacing w:after="0" w:line="240" w:lineRule="auto"/>
              <w:jc w:val="center"/>
            </w:pPr>
            <w:r>
              <w:rPr>
                <w:rFonts w:asciiTheme="minorHAnsi" w:hAnsiTheme="minorHAnsi"/>
                <w:sz w:val="22"/>
                <w:szCs w:val="22"/>
              </w:rPr>
              <w:t xml:space="preserve">20.760</w:t>
            </w:r>
          </w:p>
        </w:tc>
        <w:tc>
          <w:tcPr>
            <w:tcW w:w="1900" w:type="dxa"/>
            <w:vAlign w:val="center"/>
          </w:tcPr>
          <w:p>
            <w:pPr>
              <w:spacing w:after="0" w:line="240" w:lineRule="auto"/>
              <w:jc w:val="center"/>
            </w:pPr>
            <w:r>
              <w:rPr>
                <w:rFonts w:asciiTheme="minorHAnsi" w:hAnsiTheme="minorHAnsi"/>
                <w:sz w:val="22"/>
                <w:szCs w:val="22"/>
              </w:rPr>
              <w:t xml:space="preserve">6.000</w:t>
            </w:r>
          </w:p>
        </w:tc>
        <w:tc>
          <w:tcPr>
            <w:tcW w:w="1600" w:type="dxa"/>
            <w:vAlign w:val="center"/>
          </w:tcPr>
          <w:p>
            <w:pPr>
              <w:spacing w:after="0" w:line="240" w:lineRule="auto"/>
              <w:jc w:val="center"/>
            </w:pPr>
            <w:r>
              <w:rPr>
                <w:rFonts w:asciiTheme="minorHAnsi" w:hAnsiTheme="minorHAnsi"/>
                <w:sz w:val="22"/>
                <w:szCs w:val="22"/>
              </w:rPr>
              <w:t xml:space="preserve">Conforme</w:t>
            </w:r>
          </w:p>
        </w:tc>
      </w:tr>
      <w:tr>
        <w:tc>
          <w:tcPr>
            <w:tcW w:w="1600" w:type="dxa"/>
            <w:vAlign w:val="center"/>
          </w:tcPr>
          <w:p>
            <w:pPr>
              <w:spacing w:after="0" w:line="240" w:lineRule="auto"/>
              <w:jc w:val="center"/>
            </w:pPr>
            <w:r>
              <w:rPr>
                <w:rFonts w:asciiTheme="minorHAnsi" w:hAnsiTheme="minorHAnsi"/>
                <w:sz w:val="22"/>
                <w:szCs w:val="22"/>
              </w:rPr>
              <w:t xml:space="preserve">LEVITA</w:t>
            </w:r>
          </w:p>
        </w:tc>
        <w:tc>
          <w:tcPr>
            <w:tcW w:w="1400" w:type="dxa"/>
            <w:vAlign w:val="center"/>
          </w:tcPr>
          <w:p>
            <w:pPr>
              <w:spacing w:after="0" w:line="240" w:lineRule="auto"/>
              <w:jc w:val="center"/>
            </w:pPr>
            <w:r>
              <w:rPr>
                <w:rFonts w:asciiTheme="minorHAnsi" w:hAnsiTheme="minorHAnsi"/>
                <w:sz w:val="22"/>
                <w:szCs w:val="22"/>
              </w:rPr>
              <w:t xml:space="preserve">30×60</w:t>
            </w:r>
          </w:p>
        </w:tc>
        <w:tc>
          <w:tcPr>
            <w:tcW w:w="1900" w:type="dxa"/>
            <w:vAlign w:val="center"/>
          </w:tcPr>
          <w:p>
            <w:pPr>
              <w:spacing w:after="0" w:line="240" w:lineRule="auto"/>
              <w:jc w:val="center"/>
            </w:pPr>
            <w:r>
              <w:rPr>
                <w:rFonts w:asciiTheme="minorHAnsi" w:hAnsiTheme="minorHAnsi"/>
                <w:sz w:val="22"/>
                <w:szCs w:val="22"/>
              </w:rPr>
              <w:t xml:space="preserve">4</w:t>
            </w:r>
          </w:p>
        </w:tc>
        <w:tc>
          <w:tcPr>
            <w:tcW w:w="1600" w:type="dxa"/>
            <w:vAlign w:val="center"/>
          </w:tcPr>
          <w:p>
            <w:pPr>
              <w:spacing w:after="0" w:line="240" w:lineRule="auto"/>
              <w:jc w:val="center"/>
            </w:pPr>
            <w:r>
              <w:rPr>
                <w:rFonts w:asciiTheme="minorHAnsi" w:hAnsiTheme="minorHAnsi"/>
                <w:sz w:val="22"/>
                <w:szCs w:val="22"/>
              </w:rPr>
              <w:t xml:space="preserve">19.310</w:t>
            </w:r>
          </w:p>
        </w:tc>
        <w:tc>
          <w:tcPr>
            <w:tcW w:w="1900" w:type="dxa"/>
            <w:vAlign w:val="center"/>
          </w:tcPr>
          <w:p>
            <w:pPr>
              <w:spacing w:after="0" w:line="240" w:lineRule="auto"/>
              <w:jc w:val="center"/>
            </w:pPr>
            <w:r>
              <w:rPr>
                <w:rFonts w:asciiTheme="minorHAnsi" w:hAnsiTheme="minorHAnsi"/>
                <w:sz w:val="22"/>
                <w:szCs w:val="22"/>
              </w:rPr>
              <w:t xml:space="preserve">6.000</w:t>
            </w:r>
          </w:p>
        </w:tc>
        <w:tc>
          <w:tcPr>
            <w:tcW w:w="1600" w:type="dxa"/>
            <w:vAlign w:val="center"/>
          </w:tcPr>
          <w:p>
            <w:pPr>
              <w:spacing w:after="0" w:line="240" w:lineRule="auto"/>
              <w:jc w:val="center"/>
            </w:pPr>
            <w:r>
              <w:rPr>
                <w:rFonts w:asciiTheme="minorHAnsi" w:hAnsiTheme="minorHAnsi"/>
                <w:sz w:val="22"/>
                <w:szCs w:val="22"/>
              </w:rPr>
              <w:t xml:space="preserve">Conforme</w:t>
            </w:r>
          </w:p>
        </w:tc>
      </w:tr>
      <w:tr>
        <w:tc>
          <w:tcPr>
            <w:tcW w:w="1600" w:type="dxa"/>
            <w:vAlign w:val="center"/>
          </w:tcPr>
          <w:p>
            <w:pPr>
              <w:spacing w:after="0" w:line="240" w:lineRule="auto"/>
              <w:jc w:val="center"/>
            </w:pPr>
            <w:r>
              <w:rPr>
                <w:rFonts w:asciiTheme="minorHAnsi" w:hAnsiTheme="minorHAnsi"/>
                <w:sz w:val="22"/>
                <w:szCs w:val="22"/>
              </w:rPr>
              <w:t xml:space="preserve">LEVITA</w:t>
            </w:r>
          </w:p>
        </w:tc>
        <w:tc>
          <w:tcPr>
            <w:tcW w:w="1400" w:type="dxa"/>
            <w:vAlign w:val="center"/>
          </w:tcPr>
          <w:p>
            <w:pPr>
              <w:spacing w:after="0" w:line="240" w:lineRule="auto"/>
              <w:jc w:val="center"/>
            </w:pPr>
            <w:r>
              <w:rPr>
                <w:rFonts w:asciiTheme="minorHAnsi" w:hAnsiTheme="minorHAnsi"/>
                <w:sz w:val="22"/>
                <w:szCs w:val="22"/>
              </w:rPr>
              <w:t xml:space="preserve">60×120</w:t>
            </w:r>
          </w:p>
        </w:tc>
        <w:tc>
          <w:tcPr>
            <w:tcW w:w="1900" w:type="dxa"/>
            <w:vAlign w:val="center"/>
          </w:tcPr>
          <w:p>
            <w:pPr>
              <w:spacing w:after="0" w:line="240" w:lineRule="auto"/>
              <w:jc w:val="center"/>
            </w:pPr>
            <w:r>
              <w:rPr>
                <w:rFonts w:asciiTheme="minorHAnsi" w:hAnsiTheme="minorHAnsi"/>
                <w:sz w:val="22"/>
                <w:szCs w:val="22"/>
              </w:rPr>
              <w:t xml:space="preserve">4</w:t>
            </w:r>
          </w:p>
        </w:tc>
        <w:tc>
          <w:tcPr>
            <w:tcW w:w="1600" w:type="dxa"/>
            <w:vAlign w:val="center"/>
          </w:tcPr>
          <w:p>
            <w:pPr>
              <w:spacing w:after="0" w:line="240" w:lineRule="auto"/>
              <w:jc w:val="center"/>
            </w:pPr>
            <w:r>
              <w:rPr>
                <w:rFonts w:asciiTheme="minorHAnsi" w:hAnsiTheme="minorHAnsi"/>
                <w:sz w:val="22"/>
                <w:szCs w:val="22"/>
              </w:rPr>
              <w:t xml:space="preserve">20.030</w:t>
            </w:r>
          </w:p>
        </w:tc>
        <w:tc>
          <w:tcPr>
            <w:tcW w:w="1900" w:type="dxa"/>
            <w:vAlign w:val="center"/>
          </w:tcPr>
          <w:p>
            <w:pPr>
              <w:spacing w:after="0" w:line="240" w:lineRule="auto"/>
              <w:jc w:val="center"/>
            </w:pPr>
            <w:r>
              <w:rPr>
                <w:rFonts w:asciiTheme="minorHAnsi" w:hAnsiTheme="minorHAnsi"/>
                <w:sz w:val="22"/>
                <w:szCs w:val="22"/>
              </w:rPr>
              <w:t xml:space="preserve">6.000</w:t>
            </w:r>
          </w:p>
        </w:tc>
        <w:tc>
          <w:tcPr>
            <w:tcW w:w="1600" w:type="dxa"/>
            <w:vAlign w:val="center"/>
          </w:tcPr>
          <w:p>
            <w:pPr>
              <w:spacing w:after="0" w:line="240" w:lineRule="auto"/>
              <w:jc w:val="center"/>
            </w:pPr>
            <w:r>
              <w:rPr>
                <w:rFonts w:asciiTheme="minorHAnsi" w:hAnsiTheme="minorHAnsi"/>
                <w:sz w:val="22"/>
                <w:szCs w:val="22"/>
              </w:rPr>
              <w:t xml:space="preserve">Conforme</w:t>
            </w:r>
          </w:p>
        </w:tc>
      </w:tr>
    </w:tbl>
    <w:p>
      <w:pPr>
        <w:spacing w:line="360" w:lineRule="auto" w:after="200"/>
        <w:jc w:val="both"/>
      </w:pPr>
    </w:p>
    <w:p>
      <w:pPr>
        <w:spacing w:line="360" w:lineRule="auto" w:after="200"/>
        <w:jc w:val="center"/>
      </w:pPr>
      <w:r>
        <w:rPr>
          <w:rFonts w:asciiTheme="minorHAnsi" w:hAnsiTheme="minorHAnsi"/>
          <w:i/>
          <w:iCs/>
          <w:sz w:val="22"/>
          <w:szCs w:val="22"/>
        </w:rPr>
        <w:t xml:space="preserve">Tabella 2 – Volumi industrializzati per collezione e formato (totale: 121.630 m²)</w:t>
      </w:r>
    </w:p>
    <w:p>
      <w:pPr>
        <w:spacing w:line="360" w:lineRule="auto"/>
        <w:ind w:firstLine="284"/>
        <w:jc w:val="both"/>
      </w:pPr>
      <w:r>
        <w:rPr>
          <w:rFonts w:asciiTheme="minorHAnsi" w:hAnsiTheme="minorHAnsi"/>
          <w:sz w:val="28"/>
          <w:szCs w:val="28"/>
        </w:rPr>
        <w:t xml:space="preserve">Il margine rispetto alla soglia minima di 6.000 m² per formato varia tra il 216% (LIMEN 30×60) e il 273% (LIMEN 60×120): un margine di questa ampiezza, superiore al 5% pianificato al §2.2, è motivato dal fatto che i lotti sono stati dimensionati sul formato di maggior peso commerciale atteso per ciascuna collezione (60×120 per LIMEN, prodotto di posizionamento alto; 60×60 per LEVITA, formato guida della collezione), per i quali si è scelto di costituire fin da questa fase uno stock di riferimento sufficiente a coprire le prime forniture in caso di delibera di industrializzazione, evitando un secondo avviamento di linea a breve distanza dal primo, con relativo costo di set-up. Per i formati secondari il margine resta comunque superiore al 200%, a conferma che la produzione non si è limitata a soddisfare formalmente la soglia contrattuale.</w:t>
      </w:r>
    </w:p>
    <w:p>
      <w:pPr>
        <w:spacing w:line="360" w:lineRule="auto" w:after="80"/>
        <w:jc w:val="both"/>
      </w:pPr>
      <w:r>
        <w:rPr>
          <w:rFonts w:asciiTheme="minorHAnsi" w:hAnsiTheme="minorHAnsi"/>
          <w:b/>
          <w:bCs/>
          <w:color w:val="024C41"/>
          <w:sz w:val="30"/>
          <w:szCs w:val="30"/>
        </w:rPr>
        <w:t xml:space="preserve">3.2 Esito della verifica tecnica su LEVITA 60×60</w:t>
      </w:r>
    </w:p>
    <w:p>
      <w:pPr>
        <w:spacing w:line="360" w:lineRule="auto"/>
        <w:ind w:firstLine="284"/>
        <w:jc w:val="both"/>
      </w:pPr>
      <w:r>
        <w:rPr>
          <w:rFonts w:asciiTheme="minorHAnsi" w:hAnsiTheme="minorHAnsi"/>
          <w:sz w:val="28"/>
          <w:szCs w:val="28"/>
        </w:rPr>
        <w:t xml:space="preserve">L'azione correttiva sui parametri di pressatura e cottura descritta al §2.1 ha determinato, sulle tonalità beige e white del formato 60×60, una riduzione dell'assorbimento d'acqua da 0,87% e 1,56% (collaudo alpha, RP7.7 Annesso 3) a 0,41% e 0,46% rilevati sui lotti industrializzati, rientrando pienamente entro la soglia di progetto (≤ 0,50%). Il risultato conferma retrospettivamente la correttezza dell'analisi di causa condotta al §2.1: l'intervento mirato sul solo formato critico, senza estenderlo all'intera linea LEVITA, è stato sufficiente a risolvere la non conformità, evitando i costi di un intervento più esteso che l'ipotesi alternativa (revisione della formulazione dell'impasto) avrebbe comportato. La verifica tecnica sospesa in esito al collaudo alpha si considera pertanto chiusa positivamente, rimuovendo la condizionalità residua sulla collezione LEVITA.</w:t>
      </w:r>
    </w:p>
    <w:p>
      <w:pPr>
        <w:spacing w:line="360" w:lineRule="auto" w:after="80"/>
        <w:jc w:val="both"/>
      </w:pPr>
      <w:r>
        <w:rPr>
          <w:rFonts w:asciiTheme="minorHAnsi" w:hAnsiTheme="minorHAnsi"/>
          <w:b/>
          <w:bCs/>
          <w:color w:val="024C41"/>
          <w:sz w:val="30"/>
          <w:szCs w:val="30"/>
        </w:rPr>
        <w:t xml:space="preserve">3.3 Caratterizzazione tecnologica – conformità normativa</w:t>
      </w:r>
    </w:p>
    <w:p>
      <w:pPr>
        <w:spacing w:line="360" w:lineRule="auto"/>
        <w:ind w:firstLine="284"/>
        <w:jc w:val="both"/>
      </w:pPr>
      <w:r>
        <w:rPr>
          <w:rFonts w:asciiTheme="minorHAnsi" w:hAnsiTheme="minorHAnsi"/>
          <w:sz w:val="28"/>
          <w:szCs w:val="28"/>
        </w:rPr>
        <w:t xml:space="preserve">Le Tabelle 3 e 4 riportano, per ciascuna collezione, gli intervalli di valori rilevati sui lotti industrializzati a confronto con le soglie previste dal Piano di Sviluppo per ciascun parametro.</w:t>
      </w:r>
    </w:p>
    <w:tbl>
      <w:tblPr>
        <w:tblW w:w="9000" w:type="dxa"/>
        <w:tblBorders>
          <w:top w:val="single" w:sz="4" w:space="0" w:color="024C41"/>
          <w:left w:val="single" w:sz="4" w:space="0" w:color="024C41"/>
          <w:bottom w:val="single" w:sz="4" w:space="0" w:color="024C41"/>
          <w:right w:val="single" w:sz="4" w:space="0" w:color="024C41"/>
          <w:insideH w:val="single" w:sz="4" w:space="0" w:color="A6C9C3"/>
          <w:insideV w:val="single" w:sz="4" w:space="0" w:color="A6C9C3"/>
        </w:tblBorders>
        <w:tblLook w:val="04A0"/>
      </w:tblPr>
      <w:tblGrid>
        <w:gridCol w:w="2100"/>
        <w:gridCol w:w="1600"/>
        <w:gridCol w:w="1700"/>
        <w:gridCol w:w="2200"/>
        <w:gridCol w:w="1400"/>
      </w:tblGrid>
      <w:tr>
        <w:tc>
          <w:tcPr>
            <w:tcW w:w="2100" w:type="dxa"/>
            <w:shd w:val="clear" w:color="auto" w:fill="024C41"/>
            <w:vAlign w:val="center"/>
          </w:tcPr>
          <w:p>
            <w:pPr>
              <w:spacing w:after="0" w:line="240" w:lineRule="auto"/>
              <w:jc w:val="center"/>
            </w:pPr>
            <w:r>
              <w:rPr>
                <w:rFonts w:asciiTheme="minorHAnsi" w:hAnsiTheme="minorHAnsi"/>
                <w:b/>
                <w:bCs/>
                <w:color w:val="FFFFFF"/>
                <w:sz w:val="22"/>
                <w:szCs w:val="22"/>
              </w:rPr>
              <w:t xml:space="preserve">Parametro</w:t>
            </w:r>
          </w:p>
        </w:tc>
        <w:tc>
          <w:tcPr>
            <w:tcW w:w="1600" w:type="dxa"/>
            <w:shd w:val="clear" w:color="auto" w:fill="024C41"/>
            <w:vAlign w:val="center"/>
          </w:tcPr>
          <w:p>
            <w:pPr>
              <w:spacing w:after="0" w:line="240" w:lineRule="auto"/>
              <w:jc w:val="center"/>
            </w:pPr>
            <w:r>
              <w:rPr>
                <w:rFonts w:asciiTheme="minorHAnsi" w:hAnsiTheme="minorHAnsi"/>
                <w:b/>
                <w:bCs/>
                <w:color w:val="FFFFFF"/>
                <w:sz w:val="22"/>
                <w:szCs w:val="22"/>
              </w:rPr>
              <w:t xml:space="preserve">Norma</w:t>
            </w:r>
          </w:p>
        </w:tc>
        <w:tc>
          <w:tcPr>
            <w:tcW w:w="1700" w:type="dxa"/>
            <w:shd w:val="clear" w:color="auto" w:fill="024C41"/>
            <w:vAlign w:val="center"/>
          </w:tcPr>
          <w:p>
            <w:pPr>
              <w:spacing w:after="0" w:line="240" w:lineRule="auto"/>
              <w:jc w:val="center"/>
            </w:pPr>
            <w:r>
              <w:rPr>
                <w:rFonts w:asciiTheme="minorHAnsi" w:hAnsiTheme="minorHAnsi"/>
                <w:b/>
                <w:bCs/>
                <w:color w:val="FFFFFF"/>
                <w:sz w:val="22"/>
                <w:szCs w:val="22"/>
              </w:rPr>
              <w:t xml:space="preserve">Soglia di progetto</w:t>
            </w:r>
          </w:p>
        </w:tc>
        <w:tc>
          <w:tcPr>
            <w:tcW w:w="2200" w:type="dxa"/>
            <w:shd w:val="clear" w:color="auto" w:fill="024C41"/>
            <w:vAlign w:val="center"/>
          </w:tcPr>
          <w:p>
            <w:pPr>
              <w:spacing w:after="0" w:line="240" w:lineRule="auto"/>
              <w:jc w:val="center"/>
            </w:pPr>
            <w:r>
              <w:rPr>
                <w:rFonts w:asciiTheme="minorHAnsi" w:hAnsiTheme="minorHAnsi"/>
                <w:b/>
                <w:bCs/>
                <w:color w:val="FFFFFF"/>
                <w:sz w:val="22"/>
                <w:szCs w:val="22"/>
              </w:rPr>
              <w:t xml:space="preserve">Range rilevato – LIMEN</w:t>
            </w:r>
          </w:p>
        </w:tc>
        <w:tc>
          <w:tcPr>
            <w:tcW w:w="1400" w:type="dxa"/>
            <w:shd w:val="clear" w:color="auto" w:fill="024C41"/>
            <w:vAlign w:val="center"/>
          </w:tcPr>
          <w:p>
            <w:pPr>
              <w:spacing w:after="0" w:line="240" w:lineRule="auto"/>
              <w:jc w:val="center"/>
            </w:pPr>
            <w:r>
              <w:rPr>
                <w:rFonts w:asciiTheme="minorHAnsi" w:hAnsiTheme="minorHAnsi"/>
                <w:b/>
                <w:bCs/>
                <w:color w:val="FFFFFF"/>
                <w:sz w:val="22"/>
                <w:szCs w:val="22"/>
              </w:rPr>
              <w:t xml:space="preserve">Esito</w:t>
            </w:r>
          </w:p>
        </w:tc>
      </w:tr>
      <w:tr>
        <w:tc>
          <w:tcPr>
            <w:tcW w:w="2100" w:type="dxa"/>
            <w:vAlign w:val="center"/>
          </w:tcPr>
          <w:p>
            <w:pPr>
              <w:spacing w:after="0" w:line="240" w:lineRule="auto"/>
              <w:jc w:val="center"/>
            </w:pPr>
            <w:r>
              <w:rPr>
                <w:rFonts w:asciiTheme="minorHAnsi" w:hAnsiTheme="minorHAnsi"/>
                <w:sz w:val="22"/>
                <w:szCs w:val="22"/>
              </w:rPr>
              <w:t xml:space="preserve">Ritiro lineare</w:t>
            </w:r>
          </w:p>
        </w:tc>
        <w:tc>
          <w:tcPr>
            <w:tcW w:w="1600" w:type="dxa"/>
            <w:vAlign w:val="center"/>
          </w:tcPr>
          <w:p>
            <w:pPr>
              <w:spacing w:after="0" w:line="240" w:lineRule="auto"/>
              <w:jc w:val="center"/>
            </w:pPr>
            <w:r>
              <w:rPr>
                <w:rFonts w:asciiTheme="minorHAnsi" w:hAnsiTheme="minorHAnsi"/>
                <w:sz w:val="22"/>
                <w:szCs w:val="22"/>
              </w:rPr>
              <w:t xml:space="preserve">ISO 10545-2</w:t>
            </w:r>
          </w:p>
        </w:tc>
        <w:tc>
          <w:tcPr>
            <w:tcW w:w="1700" w:type="dxa"/>
            <w:vAlign w:val="center"/>
          </w:tcPr>
          <w:p>
            <w:pPr>
              <w:spacing w:after="0" w:line="240" w:lineRule="auto"/>
              <w:jc w:val="center"/>
            </w:pPr>
            <w:r>
              <w:rPr>
                <w:rFonts w:asciiTheme="minorHAnsi" w:hAnsiTheme="minorHAnsi"/>
                <w:sz w:val="22"/>
                <w:szCs w:val="22"/>
              </w:rPr>
              <w:t xml:space="preserve">5÷6%</w:t>
            </w:r>
          </w:p>
        </w:tc>
        <w:tc>
          <w:tcPr>
            <w:tcW w:w="2200" w:type="dxa"/>
            <w:vAlign w:val="center"/>
          </w:tcPr>
          <w:p>
            <w:pPr>
              <w:spacing w:after="0" w:line="240" w:lineRule="auto"/>
              <w:jc w:val="center"/>
            </w:pPr>
            <w:r>
              <w:rPr>
                <w:rFonts w:asciiTheme="minorHAnsi" w:hAnsiTheme="minorHAnsi"/>
                <w:sz w:val="22"/>
                <w:szCs w:val="22"/>
              </w:rPr>
              <w:t xml:space="preserve">5,2÷5,7%</w:t>
            </w:r>
          </w:p>
        </w:tc>
        <w:tc>
          <w:tcPr>
            <w:tcW w:w="1400" w:type="dxa"/>
            <w:vAlign w:val="center"/>
          </w:tcPr>
          <w:p>
            <w:pPr>
              <w:spacing w:after="0" w:line="240" w:lineRule="auto"/>
              <w:jc w:val="center"/>
            </w:pPr>
            <w:r>
              <w:rPr>
                <w:rFonts w:asciiTheme="minorHAnsi" w:hAnsiTheme="minorHAnsi"/>
                <w:sz w:val="22"/>
                <w:szCs w:val="22"/>
              </w:rPr>
              <w:t xml:space="preserve">Confermato</w:t>
            </w:r>
          </w:p>
        </w:tc>
      </w:tr>
      <w:tr>
        <w:tc>
          <w:tcPr>
            <w:tcW w:w="2100" w:type="dxa"/>
            <w:vAlign w:val="center"/>
          </w:tcPr>
          <w:p>
            <w:pPr>
              <w:spacing w:after="0" w:line="240" w:lineRule="auto"/>
              <w:jc w:val="center"/>
            </w:pPr>
            <w:r>
              <w:rPr>
                <w:rFonts w:asciiTheme="minorHAnsi" w:hAnsiTheme="minorHAnsi"/>
                <w:sz w:val="22"/>
                <w:szCs w:val="22"/>
              </w:rPr>
              <w:t xml:space="preserve">Assorbimento d'acqua</w:t>
            </w:r>
          </w:p>
        </w:tc>
        <w:tc>
          <w:tcPr>
            <w:tcW w:w="1600" w:type="dxa"/>
            <w:vAlign w:val="center"/>
          </w:tcPr>
          <w:p>
            <w:pPr>
              <w:spacing w:after="0" w:line="240" w:lineRule="auto"/>
              <w:jc w:val="center"/>
            </w:pPr>
            <w:r>
              <w:rPr>
                <w:rFonts w:asciiTheme="minorHAnsi" w:hAnsiTheme="minorHAnsi"/>
                <w:sz w:val="22"/>
                <w:szCs w:val="22"/>
              </w:rPr>
              <w:t xml:space="preserve">ISO 10545-3</w:t>
            </w:r>
          </w:p>
        </w:tc>
        <w:tc>
          <w:tcPr>
            <w:tcW w:w="1700" w:type="dxa"/>
            <w:vAlign w:val="center"/>
          </w:tcPr>
          <w:p>
            <w:pPr>
              <w:spacing w:after="0" w:line="240" w:lineRule="auto"/>
              <w:jc w:val="center"/>
            </w:pPr>
            <w:r>
              <w:rPr>
                <w:rFonts w:asciiTheme="minorHAnsi" w:hAnsiTheme="minorHAnsi"/>
                <w:sz w:val="22"/>
                <w:szCs w:val="22"/>
              </w:rPr>
              <w:t xml:space="preserve">≤ 0,50%</w:t>
            </w:r>
          </w:p>
        </w:tc>
        <w:tc>
          <w:tcPr>
            <w:tcW w:w="2200" w:type="dxa"/>
            <w:vAlign w:val="center"/>
          </w:tcPr>
          <w:p>
            <w:pPr>
              <w:spacing w:after="0" w:line="240" w:lineRule="auto"/>
              <w:jc w:val="center"/>
            </w:pPr>
            <w:r>
              <w:rPr>
                <w:rFonts w:asciiTheme="minorHAnsi" w:hAnsiTheme="minorHAnsi"/>
                <w:sz w:val="22"/>
                <w:szCs w:val="22"/>
              </w:rPr>
              <w:t xml:space="preserve">0,15÷0,29%</w:t>
            </w:r>
          </w:p>
        </w:tc>
        <w:tc>
          <w:tcPr>
            <w:tcW w:w="1400" w:type="dxa"/>
            <w:vAlign w:val="center"/>
          </w:tcPr>
          <w:p>
            <w:pPr>
              <w:spacing w:after="0" w:line="240" w:lineRule="auto"/>
              <w:jc w:val="center"/>
            </w:pPr>
            <w:r>
              <w:rPr>
                <w:rFonts w:asciiTheme="minorHAnsi" w:hAnsiTheme="minorHAnsi"/>
                <w:sz w:val="22"/>
                <w:szCs w:val="22"/>
              </w:rPr>
              <w:t xml:space="preserve">Confermato</w:t>
            </w:r>
          </w:p>
        </w:tc>
      </w:tr>
      <w:tr>
        <w:tc>
          <w:tcPr>
            <w:tcW w:w="2100" w:type="dxa"/>
            <w:vAlign w:val="center"/>
          </w:tcPr>
          <w:p>
            <w:pPr>
              <w:spacing w:after="0" w:line="240" w:lineRule="auto"/>
              <w:jc w:val="center"/>
            </w:pPr>
            <w:r>
              <w:rPr>
                <w:rFonts w:asciiTheme="minorHAnsi" w:hAnsiTheme="minorHAnsi"/>
                <w:sz w:val="22"/>
                <w:szCs w:val="22"/>
              </w:rPr>
              <w:t xml:space="preserve">Sforzo di rottura</w:t>
            </w:r>
          </w:p>
        </w:tc>
        <w:tc>
          <w:tcPr>
            <w:tcW w:w="1600" w:type="dxa"/>
            <w:vAlign w:val="center"/>
          </w:tcPr>
          <w:p>
            <w:pPr>
              <w:spacing w:after="0" w:line="240" w:lineRule="auto"/>
              <w:jc w:val="center"/>
            </w:pPr>
            <w:r>
              <w:rPr>
                <w:rFonts w:asciiTheme="minorHAnsi" w:hAnsiTheme="minorHAnsi"/>
                <w:sz w:val="22"/>
                <w:szCs w:val="22"/>
              </w:rPr>
              <w:t xml:space="preserve">ISO 10545-4</w:t>
            </w:r>
          </w:p>
        </w:tc>
        <w:tc>
          <w:tcPr>
            <w:tcW w:w="1700" w:type="dxa"/>
            <w:vAlign w:val="center"/>
          </w:tcPr>
          <w:p>
            <w:pPr>
              <w:spacing w:after="0" w:line="240" w:lineRule="auto"/>
              <w:jc w:val="center"/>
            </w:pPr>
            <w:r>
              <w:rPr>
                <w:rFonts w:asciiTheme="minorHAnsi" w:hAnsiTheme="minorHAnsi"/>
                <w:sz w:val="22"/>
                <w:szCs w:val="22"/>
              </w:rPr>
              <w:t xml:space="preserve">≥ 1300 N</w:t>
            </w:r>
          </w:p>
        </w:tc>
        <w:tc>
          <w:tcPr>
            <w:tcW w:w="2200" w:type="dxa"/>
            <w:vAlign w:val="center"/>
          </w:tcPr>
          <w:p>
            <w:pPr>
              <w:spacing w:after="0" w:line="240" w:lineRule="auto"/>
              <w:jc w:val="center"/>
            </w:pPr>
            <w:r>
              <w:rPr>
                <w:rFonts w:asciiTheme="minorHAnsi" w:hAnsiTheme="minorHAnsi"/>
                <w:sz w:val="22"/>
                <w:szCs w:val="22"/>
              </w:rPr>
              <w:t xml:space="preserve">1810÷2240 N</w:t>
            </w:r>
          </w:p>
        </w:tc>
        <w:tc>
          <w:tcPr>
            <w:tcW w:w="1400" w:type="dxa"/>
            <w:vAlign w:val="center"/>
          </w:tcPr>
          <w:p>
            <w:pPr>
              <w:spacing w:after="0" w:line="240" w:lineRule="auto"/>
              <w:jc w:val="center"/>
            </w:pPr>
            <w:r>
              <w:rPr>
                <w:rFonts w:asciiTheme="minorHAnsi" w:hAnsiTheme="minorHAnsi"/>
                <w:sz w:val="22"/>
                <w:szCs w:val="22"/>
              </w:rPr>
              <w:t xml:space="preserve">Confermato</w:t>
            </w:r>
          </w:p>
        </w:tc>
      </w:tr>
      <w:tr>
        <w:tc>
          <w:tcPr>
            <w:tcW w:w="2100" w:type="dxa"/>
            <w:vAlign w:val="center"/>
          </w:tcPr>
          <w:p>
            <w:pPr>
              <w:spacing w:after="0" w:line="240" w:lineRule="auto"/>
              <w:jc w:val="center"/>
            </w:pPr>
            <w:r>
              <w:rPr>
                <w:rFonts w:asciiTheme="minorHAnsi" w:hAnsiTheme="minorHAnsi"/>
                <w:sz w:val="22"/>
                <w:szCs w:val="22"/>
              </w:rPr>
              <w:t xml:space="preserve">Dilatazione termica</w:t>
            </w:r>
          </w:p>
        </w:tc>
        <w:tc>
          <w:tcPr>
            <w:tcW w:w="1600" w:type="dxa"/>
            <w:vAlign w:val="center"/>
          </w:tcPr>
          <w:p>
            <w:pPr>
              <w:spacing w:after="0" w:line="240" w:lineRule="auto"/>
              <w:jc w:val="center"/>
            </w:pPr>
            <w:r>
              <w:rPr>
                <w:rFonts w:asciiTheme="minorHAnsi" w:hAnsiTheme="minorHAnsi"/>
                <w:sz w:val="22"/>
                <w:szCs w:val="22"/>
              </w:rPr>
              <w:t xml:space="preserve">ISO 10545-8</w:t>
            </w:r>
          </w:p>
        </w:tc>
        <w:tc>
          <w:tcPr>
            <w:tcW w:w="1700" w:type="dxa"/>
            <w:vAlign w:val="center"/>
          </w:tcPr>
          <w:p>
            <w:pPr>
              <w:spacing w:after="0" w:line="240" w:lineRule="auto"/>
              <w:jc w:val="center"/>
            </w:pPr>
            <w:r>
              <w:rPr>
                <w:rFonts w:asciiTheme="minorHAnsi" w:hAnsiTheme="minorHAnsi"/>
                <w:sz w:val="22"/>
                <w:szCs w:val="22"/>
              </w:rPr>
              <w:t xml:space="preserve">≤ 7 (MK)⁻¹</w:t>
            </w:r>
          </w:p>
        </w:tc>
        <w:tc>
          <w:tcPr>
            <w:tcW w:w="2200" w:type="dxa"/>
            <w:vAlign w:val="center"/>
          </w:tcPr>
          <w:p>
            <w:pPr>
              <w:spacing w:after="0" w:line="240" w:lineRule="auto"/>
              <w:jc w:val="center"/>
            </w:pPr>
            <w:r>
              <w:rPr>
                <w:rFonts w:asciiTheme="minorHAnsi" w:hAnsiTheme="minorHAnsi"/>
                <w:sz w:val="22"/>
                <w:szCs w:val="22"/>
              </w:rPr>
              <w:t xml:space="preserve">6,1÷6,6 (MK)⁻¹</w:t>
            </w:r>
          </w:p>
        </w:tc>
        <w:tc>
          <w:tcPr>
            <w:tcW w:w="1400" w:type="dxa"/>
            <w:vAlign w:val="center"/>
          </w:tcPr>
          <w:p>
            <w:pPr>
              <w:spacing w:after="0" w:line="240" w:lineRule="auto"/>
              <w:jc w:val="center"/>
            </w:pPr>
            <w:r>
              <w:rPr>
                <w:rFonts w:asciiTheme="minorHAnsi" w:hAnsiTheme="minorHAnsi"/>
                <w:sz w:val="22"/>
                <w:szCs w:val="22"/>
              </w:rPr>
              <w:t xml:space="preserve">Confermato</w:t>
            </w:r>
          </w:p>
        </w:tc>
      </w:tr>
      <w:tr>
        <w:tc>
          <w:tcPr>
            <w:tcW w:w="2100" w:type="dxa"/>
            <w:vAlign w:val="center"/>
          </w:tcPr>
          <w:p>
            <w:pPr>
              <w:spacing w:after="0" w:line="240" w:lineRule="auto"/>
              <w:jc w:val="center"/>
            </w:pPr>
            <w:r>
              <w:rPr>
                <w:rFonts w:asciiTheme="minorHAnsi" w:hAnsiTheme="minorHAnsi"/>
                <w:sz w:val="22"/>
                <w:szCs w:val="22"/>
              </w:rPr>
              <w:t xml:space="preserve">Resistenza chimica</w:t>
            </w:r>
          </w:p>
        </w:tc>
        <w:tc>
          <w:tcPr>
            <w:tcW w:w="1600" w:type="dxa"/>
            <w:vAlign w:val="center"/>
          </w:tcPr>
          <w:p>
            <w:pPr>
              <w:spacing w:after="0" w:line="240" w:lineRule="auto"/>
              <w:jc w:val="center"/>
            </w:pPr>
            <w:r>
              <w:rPr>
                <w:rFonts w:asciiTheme="minorHAnsi" w:hAnsiTheme="minorHAnsi"/>
                <w:sz w:val="22"/>
                <w:szCs w:val="22"/>
              </w:rPr>
              <w:t xml:space="preserve">ISO 10545-13</w:t>
            </w:r>
          </w:p>
        </w:tc>
        <w:tc>
          <w:tcPr>
            <w:tcW w:w="1700" w:type="dxa"/>
            <w:vAlign w:val="center"/>
          </w:tcPr>
          <w:p>
            <w:pPr>
              <w:spacing w:after="0" w:line="240" w:lineRule="auto"/>
              <w:jc w:val="center"/>
            </w:pPr>
            <w:r>
              <w:rPr>
                <w:rFonts w:asciiTheme="minorHAnsi" w:hAnsiTheme="minorHAnsi"/>
                <w:sz w:val="22"/>
                <w:szCs w:val="22"/>
              </w:rPr>
              <w:t xml:space="preserve">Classe A</w:t>
            </w:r>
          </w:p>
        </w:tc>
        <w:tc>
          <w:tcPr>
            <w:tcW w:w="2200" w:type="dxa"/>
            <w:vAlign w:val="center"/>
          </w:tcPr>
          <w:p>
            <w:pPr>
              <w:spacing w:after="0" w:line="240" w:lineRule="auto"/>
              <w:jc w:val="center"/>
            </w:pPr>
            <w:r>
              <w:rPr>
                <w:rFonts w:asciiTheme="minorHAnsi" w:hAnsiTheme="minorHAnsi"/>
                <w:sz w:val="22"/>
                <w:szCs w:val="22"/>
              </w:rPr>
              <w:t xml:space="preserve">Classe A</w:t>
            </w:r>
          </w:p>
        </w:tc>
        <w:tc>
          <w:tcPr>
            <w:tcW w:w="1400" w:type="dxa"/>
            <w:vAlign w:val="center"/>
          </w:tcPr>
          <w:p>
            <w:pPr>
              <w:spacing w:after="0" w:line="240" w:lineRule="auto"/>
              <w:jc w:val="center"/>
            </w:pPr>
            <w:r>
              <w:rPr>
                <w:rFonts w:asciiTheme="minorHAnsi" w:hAnsiTheme="minorHAnsi"/>
                <w:sz w:val="22"/>
                <w:szCs w:val="22"/>
              </w:rPr>
              <w:t xml:space="preserve">Confermato</w:t>
            </w:r>
          </w:p>
        </w:tc>
      </w:tr>
      <w:tr>
        <w:tc>
          <w:tcPr>
            <w:tcW w:w="2100" w:type="dxa"/>
            <w:vAlign w:val="center"/>
          </w:tcPr>
          <w:p>
            <w:pPr>
              <w:spacing w:after="0" w:line="240" w:lineRule="auto"/>
              <w:jc w:val="center"/>
            </w:pPr>
            <w:r>
              <w:rPr>
                <w:rFonts w:asciiTheme="minorHAnsi" w:hAnsiTheme="minorHAnsi"/>
                <w:sz w:val="22"/>
                <w:szCs w:val="22"/>
              </w:rPr>
              <w:t xml:space="preserve">Resistenza alle macchie</w:t>
            </w:r>
          </w:p>
        </w:tc>
        <w:tc>
          <w:tcPr>
            <w:tcW w:w="1600" w:type="dxa"/>
            <w:vAlign w:val="center"/>
          </w:tcPr>
          <w:p>
            <w:pPr>
              <w:spacing w:after="0" w:line="240" w:lineRule="auto"/>
              <w:jc w:val="center"/>
            </w:pPr>
            <w:r>
              <w:rPr>
                <w:rFonts w:asciiTheme="minorHAnsi" w:hAnsiTheme="minorHAnsi"/>
                <w:sz w:val="22"/>
                <w:szCs w:val="22"/>
              </w:rPr>
              <w:t xml:space="preserve">ISO 10545-14</w:t>
            </w:r>
          </w:p>
        </w:tc>
        <w:tc>
          <w:tcPr>
            <w:tcW w:w="1700" w:type="dxa"/>
            <w:vAlign w:val="center"/>
          </w:tcPr>
          <w:p>
            <w:pPr>
              <w:spacing w:after="0" w:line="240" w:lineRule="auto"/>
              <w:jc w:val="center"/>
            </w:pPr>
            <w:r>
              <w:rPr>
                <w:rFonts w:asciiTheme="minorHAnsi" w:hAnsiTheme="minorHAnsi"/>
                <w:sz w:val="22"/>
                <w:szCs w:val="22"/>
              </w:rPr>
              <w:t xml:space="preserve">Pulibile</w:t>
            </w:r>
          </w:p>
        </w:tc>
        <w:tc>
          <w:tcPr>
            <w:tcW w:w="2200" w:type="dxa"/>
            <w:vAlign w:val="center"/>
          </w:tcPr>
          <w:p>
            <w:pPr>
              <w:spacing w:after="0" w:line="240" w:lineRule="auto"/>
              <w:jc w:val="center"/>
            </w:pPr>
            <w:r>
              <w:rPr>
                <w:rFonts w:asciiTheme="minorHAnsi" w:hAnsiTheme="minorHAnsi"/>
                <w:sz w:val="22"/>
                <w:szCs w:val="22"/>
              </w:rPr>
              <w:t xml:space="preserve">Pulibile (classe 5)</w:t>
            </w:r>
          </w:p>
        </w:tc>
        <w:tc>
          <w:tcPr>
            <w:tcW w:w="1400" w:type="dxa"/>
            <w:vAlign w:val="center"/>
          </w:tcPr>
          <w:p>
            <w:pPr>
              <w:spacing w:after="0" w:line="240" w:lineRule="auto"/>
              <w:jc w:val="center"/>
            </w:pPr>
            <w:r>
              <w:rPr>
                <w:rFonts w:asciiTheme="minorHAnsi" w:hAnsiTheme="minorHAnsi"/>
                <w:sz w:val="22"/>
                <w:szCs w:val="22"/>
              </w:rPr>
              <w:t xml:space="preserve">Confermato</w:t>
            </w:r>
          </w:p>
        </w:tc>
      </w:tr>
    </w:tbl>
    <w:p>
      <w:pPr>
        <w:spacing w:line="360" w:lineRule="auto" w:after="200"/>
        <w:jc w:val="both"/>
      </w:pPr>
    </w:p>
    <w:p>
      <w:pPr>
        <w:spacing w:line="360" w:lineRule="auto" w:after="200"/>
        <w:jc w:val="center"/>
      </w:pPr>
      <w:r>
        <w:rPr>
          <w:rFonts w:asciiTheme="minorHAnsi" w:hAnsiTheme="minorHAnsi"/>
          <w:i/>
          <w:iCs/>
          <w:sz w:val="22"/>
          <w:szCs w:val="22"/>
        </w:rPr>
        <w:t xml:space="preserve">Tabella 3 – Conformità normativa dei lotti industrializzati, collezione LIMEN</w:t>
      </w:r>
    </w:p>
    <w:tbl>
      <w:tblPr>
        <w:tblW w:w="9000" w:type="dxa"/>
        <w:tblBorders>
          <w:top w:val="single" w:sz="4" w:space="0" w:color="024C41"/>
          <w:left w:val="single" w:sz="4" w:space="0" w:color="024C41"/>
          <w:bottom w:val="single" w:sz="4" w:space="0" w:color="024C41"/>
          <w:right w:val="single" w:sz="4" w:space="0" w:color="024C41"/>
          <w:insideH w:val="single" w:sz="4" w:space="0" w:color="A6C9C3"/>
          <w:insideV w:val="single" w:sz="4" w:space="0" w:color="A6C9C3"/>
        </w:tblBorders>
        <w:tblLook w:val="04A0"/>
      </w:tblPr>
      <w:tblGrid>
        <w:gridCol w:w="2100"/>
        <w:gridCol w:w="1600"/>
        <w:gridCol w:w="1700"/>
        <w:gridCol w:w="2200"/>
        <w:gridCol w:w="1400"/>
      </w:tblGrid>
      <w:tr>
        <w:tc>
          <w:tcPr>
            <w:tcW w:w="2100" w:type="dxa"/>
            <w:shd w:val="clear" w:color="auto" w:fill="024C41"/>
            <w:vAlign w:val="center"/>
          </w:tcPr>
          <w:p>
            <w:pPr>
              <w:spacing w:after="0" w:line="240" w:lineRule="auto"/>
              <w:jc w:val="center"/>
            </w:pPr>
            <w:r>
              <w:rPr>
                <w:rFonts w:asciiTheme="minorHAnsi" w:hAnsiTheme="minorHAnsi"/>
                <w:b/>
                <w:bCs/>
                <w:color w:val="FFFFFF"/>
                <w:sz w:val="22"/>
                <w:szCs w:val="22"/>
              </w:rPr>
              <w:t xml:space="preserve">Parametro</w:t>
            </w:r>
          </w:p>
        </w:tc>
        <w:tc>
          <w:tcPr>
            <w:tcW w:w="1600" w:type="dxa"/>
            <w:shd w:val="clear" w:color="auto" w:fill="024C41"/>
            <w:vAlign w:val="center"/>
          </w:tcPr>
          <w:p>
            <w:pPr>
              <w:spacing w:after="0" w:line="240" w:lineRule="auto"/>
              <w:jc w:val="center"/>
            </w:pPr>
            <w:r>
              <w:rPr>
                <w:rFonts w:asciiTheme="minorHAnsi" w:hAnsiTheme="minorHAnsi"/>
                <w:b/>
                <w:bCs/>
                <w:color w:val="FFFFFF"/>
                <w:sz w:val="22"/>
                <w:szCs w:val="22"/>
              </w:rPr>
              <w:t xml:space="preserve">Norma</w:t>
            </w:r>
          </w:p>
        </w:tc>
        <w:tc>
          <w:tcPr>
            <w:tcW w:w="1700" w:type="dxa"/>
            <w:shd w:val="clear" w:color="auto" w:fill="024C41"/>
            <w:vAlign w:val="center"/>
          </w:tcPr>
          <w:p>
            <w:pPr>
              <w:spacing w:after="0" w:line="240" w:lineRule="auto"/>
              <w:jc w:val="center"/>
            </w:pPr>
            <w:r>
              <w:rPr>
                <w:rFonts w:asciiTheme="minorHAnsi" w:hAnsiTheme="minorHAnsi"/>
                <w:b/>
                <w:bCs/>
                <w:color w:val="FFFFFF"/>
                <w:sz w:val="22"/>
                <w:szCs w:val="22"/>
              </w:rPr>
              <w:t xml:space="preserve">Soglia di progetto</w:t>
            </w:r>
          </w:p>
        </w:tc>
        <w:tc>
          <w:tcPr>
            <w:tcW w:w="2200" w:type="dxa"/>
            <w:shd w:val="clear" w:color="auto" w:fill="024C41"/>
            <w:vAlign w:val="center"/>
          </w:tcPr>
          <w:p>
            <w:pPr>
              <w:spacing w:after="0" w:line="240" w:lineRule="auto"/>
              <w:jc w:val="center"/>
            </w:pPr>
            <w:r>
              <w:rPr>
                <w:rFonts w:asciiTheme="minorHAnsi" w:hAnsiTheme="minorHAnsi"/>
                <w:b/>
                <w:bCs/>
                <w:color w:val="FFFFFF"/>
                <w:sz w:val="22"/>
                <w:szCs w:val="22"/>
              </w:rPr>
              <w:t xml:space="preserve">Range rilevato – LEVITA</w:t>
            </w:r>
          </w:p>
        </w:tc>
        <w:tc>
          <w:tcPr>
            <w:tcW w:w="1400" w:type="dxa"/>
            <w:shd w:val="clear" w:color="auto" w:fill="024C41"/>
            <w:vAlign w:val="center"/>
          </w:tcPr>
          <w:p>
            <w:pPr>
              <w:spacing w:after="0" w:line="240" w:lineRule="auto"/>
              <w:jc w:val="center"/>
            </w:pPr>
            <w:r>
              <w:rPr>
                <w:rFonts w:asciiTheme="minorHAnsi" w:hAnsiTheme="minorHAnsi"/>
                <w:b/>
                <w:bCs/>
                <w:color w:val="FFFFFF"/>
                <w:sz w:val="22"/>
                <w:szCs w:val="22"/>
              </w:rPr>
              <w:t xml:space="preserve">Esito</w:t>
            </w:r>
          </w:p>
        </w:tc>
      </w:tr>
      <w:tr>
        <w:tc>
          <w:tcPr>
            <w:tcW w:w="2100" w:type="dxa"/>
            <w:vAlign w:val="center"/>
          </w:tcPr>
          <w:p>
            <w:pPr>
              <w:spacing w:after="0" w:line="240" w:lineRule="auto"/>
              <w:jc w:val="center"/>
            </w:pPr>
            <w:r>
              <w:rPr>
                <w:rFonts w:asciiTheme="minorHAnsi" w:hAnsiTheme="minorHAnsi"/>
                <w:sz w:val="22"/>
                <w:szCs w:val="22"/>
              </w:rPr>
              <w:t xml:space="preserve">Ritiro lineare</w:t>
            </w:r>
          </w:p>
        </w:tc>
        <w:tc>
          <w:tcPr>
            <w:tcW w:w="1600" w:type="dxa"/>
            <w:vAlign w:val="center"/>
          </w:tcPr>
          <w:p>
            <w:pPr>
              <w:spacing w:after="0" w:line="240" w:lineRule="auto"/>
              <w:jc w:val="center"/>
            </w:pPr>
            <w:r>
              <w:rPr>
                <w:rFonts w:asciiTheme="minorHAnsi" w:hAnsiTheme="minorHAnsi"/>
                <w:sz w:val="22"/>
                <w:szCs w:val="22"/>
              </w:rPr>
              <w:t xml:space="preserve">ISO 10545-2</w:t>
            </w:r>
          </w:p>
        </w:tc>
        <w:tc>
          <w:tcPr>
            <w:tcW w:w="1700" w:type="dxa"/>
            <w:vAlign w:val="center"/>
          </w:tcPr>
          <w:p>
            <w:pPr>
              <w:spacing w:after="0" w:line="240" w:lineRule="auto"/>
              <w:jc w:val="center"/>
            </w:pPr>
            <w:r>
              <w:rPr>
                <w:rFonts w:asciiTheme="minorHAnsi" w:hAnsiTheme="minorHAnsi"/>
                <w:sz w:val="22"/>
                <w:szCs w:val="22"/>
              </w:rPr>
              <w:t xml:space="preserve">5÷6%</w:t>
            </w:r>
          </w:p>
        </w:tc>
        <w:tc>
          <w:tcPr>
            <w:tcW w:w="2200" w:type="dxa"/>
            <w:vAlign w:val="center"/>
          </w:tcPr>
          <w:p>
            <w:pPr>
              <w:spacing w:after="0" w:line="240" w:lineRule="auto"/>
              <w:jc w:val="center"/>
            </w:pPr>
            <w:r>
              <w:rPr>
                <w:rFonts w:asciiTheme="minorHAnsi" w:hAnsiTheme="minorHAnsi"/>
                <w:sz w:val="22"/>
                <w:szCs w:val="22"/>
              </w:rPr>
              <w:t xml:space="preserve">5,4÷5,9%</w:t>
            </w:r>
          </w:p>
        </w:tc>
        <w:tc>
          <w:tcPr>
            <w:tcW w:w="1400" w:type="dxa"/>
            <w:vAlign w:val="center"/>
          </w:tcPr>
          <w:p>
            <w:pPr>
              <w:spacing w:after="0" w:line="240" w:lineRule="auto"/>
              <w:jc w:val="center"/>
            </w:pPr>
            <w:r>
              <w:rPr>
                <w:rFonts w:asciiTheme="minorHAnsi" w:hAnsiTheme="minorHAnsi"/>
                <w:sz w:val="22"/>
                <w:szCs w:val="22"/>
              </w:rPr>
              <w:t xml:space="preserve">Confermato</w:t>
            </w:r>
          </w:p>
        </w:tc>
      </w:tr>
      <w:tr>
        <w:tc>
          <w:tcPr>
            <w:tcW w:w="2100" w:type="dxa"/>
            <w:vAlign w:val="center"/>
          </w:tcPr>
          <w:p>
            <w:pPr>
              <w:spacing w:after="0" w:line="240" w:lineRule="auto"/>
              <w:jc w:val="center"/>
            </w:pPr>
            <w:r>
              <w:rPr>
                <w:rFonts w:asciiTheme="minorHAnsi" w:hAnsiTheme="minorHAnsi"/>
                <w:sz w:val="22"/>
                <w:szCs w:val="22"/>
              </w:rPr>
              <w:t xml:space="preserve">Assorbimento d'acqua</w:t>
            </w:r>
          </w:p>
        </w:tc>
        <w:tc>
          <w:tcPr>
            <w:tcW w:w="1600" w:type="dxa"/>
            <w:vAlign w:val="center"/>
          </w:tcPr>
          <w:p>
            <w:pPr>
              <w:spacing w:after="0" w:line="240" w:lineRule="auto"/>
              <w:jc w:val="center"/>
            </w:pPr>
            <w:r>
              <w:rPr>
                <w:rFonts w:asciiTheme="minorHAnsi" w:hAnsiTheme="minorHAnsi"/>
                <w:sz w:val="22"/>
                <w:szCs w:val="22"/>
              </w:rPr>
              <w:t xml:space="preserve">ISO 10545-3</w:t>
            </w:r>
          </w:p>
        </w:tc>
        <w:tc>
          <w:tcPr>
            <w:tcW w:w="1700" w:type="dxa"/>
            <w:vAlign w:val="center"/>
          </w:tcPr>
          <w:p>
            <w:pPr>
              <w:spacing w:after="0" w:line="240" w:lineRule="auto"/>
              <w:jc w:val="center"/>
            </w:pPr>
            <w:r>
              <w:rPr>
                <w:rFonts w:asciiTheme="minorHAnsi" w:hAnsiTheme="minorHAnsi"/>
                <w:sz w:val="22"/>
                <w:szCs w:val="22"/>
              </w:rPr>
              <w:t xml:space="preserve">≤ 0,50%</w:t>
            </w:r>
          </w:p>
        </w:tc>
        <w:tc>
          <w:tcPr>
            <w:tcW w:w="2200" w:type="dxa"/>
            <w:vAlign w:val="center"/>
          </w:tcPr>
          <w:p>
            <w:pPr>
              <w:spacing w:after="0" w:line="240" w:lineRule="auto"/>
              <w:jc w:val="center"/>
            </w:pPr>
            <w:r>
              <w:rPr>
                <w:rFonts w:asciiTheme="minorHAnsi" w:hAnsiTheme="minorHAnsi"/>
                <w:sz w:val="22"/>
                <w:szCs w:val="22"/>
              </w:rPr>
              <w:t xml:space="preserve">0,22÷0,46%</w:t>
            </w:r>
          </w:p>
        </w:tc>
        <w:tc>
          <w:tcPr>
            <w:tcW w:w="1400" w:type="dxa"/>
            <w:vAlign w:val="center"/>
          </w:tcPr>
          <w:p>
            <w:pPr>
              <w:spacing w:after="0" w:line="240" w:lineRule="auto"/>
              <w:jc w:val="center"/>
            </w:pPr>
            <w:r>
              <w:rPr>
                <w:rFonts w:asciiTheme="minorHAnsi" w:hAnsiTheme="minorHAnsi"/>
                <w:sz w:val="22"/>
                <w:szCs w:val="22"/>
              </w:rPr>
              <w:t xml:space="preserve">Confermato</w:t>
            </w:r>
          </w:p>
        </w:tc>
      </w:tr>
      <w:tr>
        <w:tc>
          <w:tcPr>
            <w:tcW w:w="2100" w:type="dxa"/>
            <w:vAlign w:val="center"/>
          </w:tcPr>
          <w:p>
            <w:pPr>
              <w:spacing w:after="0" w:line="240" w:lineRule="auto"/>
              <w:jc w:val="center"/>
            </w:pPr>
            <w:r>
              <w:rPr>
                <w:rFonts w:asciiTheme="minorHAnsi" w:hAnsiTheme="minorHAnsi"/>
                <w:sz w:val="22"/>
                <w:szCs w:val="22"/>
              </w:rPr>
              <w:t xml:space="preserve">Sforzo di rottura</w:t>
            </w:r>
          </w:p>
        </w:tc>
        <w:tc>
          <w:tcPr>
            <w:tcW w:w="1600" w:type="dxa"/>
            <w:vAlign w:val="center"/>
          </w:tcPr>
          <w:p>
            <w:pPr>
              <w:spacing w:after="0" w:line="240" w:lineRule="auto"/>
              <w:jc w:val="center"/>
            </w:pPr>
            <w:r>
              <w:rPr>
                <w:rFonts w:asciiTheme="minorHAnsi" w:hAnsiTheme="minorHAnsi"/>
                <w:sz w:val="22"/>
                <w:szCs w:val="22"/>
              </w:rPr>
              <w:t xml:space="preserve">ISO 10545-4</w:t>
            </w:r>
          </w:p>
        </w:tc>
        <w:tc>
          <w:tcPr>
            <w:tcW w:w="1700" w:type="dxa"/>
            <w:vAlign w:val="center"/>
          </w:tcPr>
          <w:p>
            <w:pPr>
              <w:spacing w:after="0" w:line="240" w:lineRule="auto"/>
              <w:jc w:val="center"/>
            </w:pPr>
            <w:r>
              <w:rPr>
                <w:rFonts w:asciiTheme="minorHAnsi" w:hAnsiTheme="minorHAnsi"/>
                <w:sz w:val="22"/>
                <w:szCs w:val="22"/>
              </w:rPr>
              <w:t xml:space="preserve">≥ 1300 N</w:t>
            </w:r>
          </w:p>
        </w:tc>
        <w:tc>
          <w:tcPr>
            <w:tcW w:w="2200" w:type="dxa"/>
            <w:vAlign w:val="center"/>
          </w:tcPr>
          <w:p>
            <w:pPr>
              <w:spacing w:after="0" w:line="240" w:lineRule="auto"/>
              <w:jc w:val="center"/>
            </w:pPr>
            <w:r>
              <w:rPr>
                <w:rFonts w:asciiTheme="minorHAnsi" w:hAnsiTheme="minorHAnsi"/>
                <w:sz w:val="22"/>
                <w:szCs w:val="22"/>
              </w:rPr>
              <w:t xml:space="preserve">1420÷1690 N</w:t>
            </w:r>
          </w:p>
        </w:tc>
        <w:tc>
          <w:tcPr>
            <w:tcW w:w="1400" w:type="dxa"/>
            <w:vAlign w:val="center"/>
          </w:tcPr>
          <w:p>
            <w:pPr>
              <w:spacing w:after="0" w:line="240" w:lineRule="auto"/>
              <w:jc w:val="center"/>
            </w:pPr>
            <w:r>
              <w:rPr>
                <w:rFonts w:asciiTheme="minorHAnsi" w:hAnsiTheme="minorHAnsi"/>
                <w:sz w:val="22"/>
                <w:szCs w:val="22"/>
              </w:rPr>
              <w:t xml:space="preserve">Confermato</w:t>
            </w:r>
          </w:p>
        </w:tc>
      </w:tr>
      <w:tr>
        <w:tc>
          <w:tcPr>
            <w:tcW w:w="2100" w:type="dxa"/>
            <w:vAlign w:val="center"/>
          </w:tcPr>
          <w:p>
            <w:pPr>
              <w:spacing w:after="0" w:line="240" w:lineRule="auto"/>
              <w:jc w:val="center"/>
            </w:pPr>
            <w:r>
              <w:rPr>
                <w:rFonts w:asciiTheme="minorHAnsi" w:hAnsiTheme="minorHAnsi"/>
                <w:sz w:val="22"/>
                <w:szCs w:val="22"/>
              </w:rPr>
              <w:t xml:space="preserve">Dilatazione termica</w:t>
            </w:r>
          </w:p>
        </w:tc>
        <w:tc>
          <w:tcPr>
            <w:tcW w:w="1600" w:type="dxa"/>
            <w:vAlign w:val="center"/>
          </w:tcPr>
          <w:p>
            <w:pPr>
              <w:spacing w:after="0" w:line="240" w:lineRule="auto"/>
              <w:jc w:val="center"/>
            </w:pPr>
            <w:r>
              <w:rPr>
                <w:rFonts w:asciiTheme="minorHAnsi" w:hAnsiTheme="minorHAnsi"/>
                <w:sz w:val="22"/>
                <w:szCs w:val="22"/>
              </w:rPr>
              <w:t xml:space="preserve">ISO 10545-8</w:t>
            </w:r>
          </w:p>
        </w:tc>
        <w:tc>
          <w:tcPr>
            <w:tcW w:w="1700" w:type="dxa"/>
            <w:vAlign w:val="center"/>
          </w:tcPr>
          <w:p>
            <w:pPr>
              <w:spacing w:after="0" w:line="240" w:lineRule="auto"/>
              <w:jc w:val="center"/>
            </w:pPr>
            <w:r>
              <w:rPr>
                <w:rFonts w:asciiTheme="minorHAnsi" w:hAnsiTheme="minorHAnsi"/>
                <w:sz w:val="22"/>
                <w:szCs w:val="22"/>
              </w:rPr>
              <w:t xml:space="preserve">≤ 7 (MK)⁻¹</w:t>
            </w:r>
          </w:p>
        </w:tc>
        <w:tc>
          <w:tcPr>
            <w:tcW w:w="2200" w:type="dxa"/>
            <w:vAlign w:val="center"/>
          </w:tcPr>
          <w:p>
            <w:pPr>
              <w:spacing w:after="0" w:line="240" w:lineRule="auto"/>
              <w:jc w:val="center"/>
            </w:pPr>
            <w:r>
              <w:rPr>
                <w:rFonts w:asciiTheme="minorHAnsi" w:hAnsiTheme="minorHAnsi"/>
                <w:sz w:val="22"/>
                <w:szCs w:val="22"/>
              </w:rPr>
              <w:t xml:space="preserve">6,4÷6,9 (MK)⁻¹</w:t>
            </w:r>
          </w:p>
        </w:tc>
        <w:tc>
          <w:tcPr>
            <w:tcW w:w="1400" w:type="dxa"/>
            <w:vAlign w:val="center"/>
          </w:tcPr>
          <w:p>
            <w:pPr>
              <w:spacing w:after="0" w:line="240" w:lineRule="auto"/>
              <w:jc w:val="center"/>
            </w:pPr>
            <w:r>
              <w:rPr>
                <w:rFonts w:asciiTheme="minorHAnsi" w:hAnsiTheme="minorHAnsi"/>
                <w:sz w:val="22"/>
                <w:szCs w:val="22"/>
              </w:rPr>
              <w:t xml:space="preserve">Confermato</w:t>
            </w:r>
          </w:p>
        </w:tc>
      </w:tr>
      <w:tr>
        <w:tc>
          <w:tcPr>
            <w:tcW w:w="2100" w:type="dxa"/>
            <w:vAlign w:val="center"/>
          </w:tcPr>
          <w:p>
            <w:pPr>
              <w:spacing w:after="0" w:line="240" w:lineRule="auto"/>
              <w:jc w:val="center"/>
            </w:pPr>
            <w:r>
              <w:rPr>
                <w:rFonts w:asciiTheme="minorHAnsi" w:hAnsiTheme="minorHAnsi"/>
                <w:sz w:val="22"/>
                <w:szCs w:val="22"/>
              </w:rPr>
              <w:t xml:space="preserve">Resistenza chimica</w:t>
            </w:r>
          </w:p>
        </w:tc>
        <w:tc>
          <w:tcPr>
            <w:tcW w:w="1600" w:type="dxa"/>
            <w:vAlign w:val="center"/>
          </w:tcPr>
          <w:p>
            <w:pPr>
              <w:spacing w:after="0" w:line="240" w:lineRule="auto"/>
              <w:jc w:val="center"/>
            </w:pPr>
            <w:r>
              <w:rPr>
                <w:rFonts w:asciiTheme="minorHAnsi" w:hAnsiTheme="minorHAnsi"/>
                <w:sz w:val="22"/>
                <w:szCs w:val="22"/>
              </w:rPr>
              <w:t xml:space="preserve">ISO 10545-13</w:t>
            </w:r>
          </w:p>
        </w:tc>
        <w:tc>
          <w:tcPr>
            <w:tcW w:w="1700" w:type="dxa"/>
            <w:vAlign w:val="center"/>
          </w:tcPr>
          <w:p>
            <w:pPr>
              <w:spacing w:after="0" w:line="240" w:lineRule="auto"/>
              <w:jc w:val="center"/>
            </w:pPr>
            <w:r>
              <w:rPr>
                <w:rFonts w:asciiTheme="minorHAnsi" w:hAnsiTheme="minorHAnsi"/>
                <w:sz w:val="22"/>
                <w:szCs w:val="22"/>
              </w:rPr>
              <w:t xml:space="preserve">Classe A</w:t>
            </w:r>
          </w:p>
        </w:tc>
        <w:tc>
          <w:tcPr>
            <w:tcW w:w="2200" w:type="dxa"/>
            <w:vAlign w:val="center"/>
          </w:tcPr>
          <w:p>
            <w:pPr>
              <w:spacing w:after="0" w:line="240" w:lineRule="auto"/>
              <w:jc w:val="center"/>
            </w:pPr>
            <w:r>
              <w:rPr>
                <w:rFonts w:asciiTheme="minorHAnsi" w:hAnsiTheme="minorHAnsi"/>
                <w:sz w:val="22"/>
                <w:szCs w:val="22"/>
              </w:rPr>
              <w:t xml:space="preserve">Classe A</w:t>
            </w:r>
          </w:p>
        </w:tc>
        <w:tc>
          <w:tcPr>
            <w:tcW w:w="1400" w:type="dxa"/>
            <w:vAlign w:val="center"/>
          </w:tcPr>
          <w:p>
            <w:pPr>
              <w:spacing w:after="0" w:line="240" w:lineRule="auto"/>
              <w:jc w:val="center"/>
            </w:pPr>
            <w:r>
              <w:rPr>
                <w:rFonts w:asciiTheme="minorHAnsi" w:hAnsiTheme="minorHAnsi"/>
                <w:sz w:val="22"/>
                <w:szCs w:val="22"/>
              </w:rPr>
              <w:t xml:space="preserve">Confermato</w:t>
            </w:r>
          </w:p>
        </w:tc>
      </w:tr>
      <w:tr>
        <w:tc>
          <w:tcPr>
            <w:tcW w:w="2100" w:type="dxa"/>
            <w:vAlign w:val="center"/>
          </w:tcPr>
          <w:p>
            <w:pPr>
              <w:spacing w:after="0" w:line="240" w:lineRule="auto"/>
              <w:jc w:val="center"/>
            </w:pPr>
            <w:r>
              <w:rPr>
                <w:rFonts w:asciiTheme="minorHAnsi" w:hAnsiTheme="minorHAnsi"/>
                <w:sz w:val="22"/>
                <w:szCs w:val="22"/>
              </w:rPr>
              <w:t xml:space="preserve">Resistenza alle macchie</w:t>
            </w:r>
          </w:p>
        </w:tc>
        <w:tc>
          <w:tcPr>
            <w:tcW w:w="1600" w:type="dxa"/>
            <w:vAlign w:val="center"/>
          </w:tcPr>
          <w:p>
            <w:pPr>
              <w:spacing w:after="0" w:line="240" w:lineRule="auto"/>
              <w:jc w:val="center"/>
            </w:pPr>
            <w:r>
              <w:rPr>
                <w:rFonts w:asciiTheme="minorHAnsi" w:hAnsiTheme="minorHAnsi"/>
                <w:sz w:val="22"/>
                <w:szCs w:val="22"/>
              </w:rPr>
              <w:t xml:space="preserve">ISO 10545-14</w:t>
            </w:r>
          </w:p>
        </w:tc>
        <w:tc>
          <w:tcPr>
            <w:tcW w:w="1700" w:type="dxa"/>
            <w:vAlign w:val="center"/>
          </w:tcPr>
          <w:p>
            <w:pPr>
              <w:spacing w:after="0" w:line="240" w:lineRule="auto"/>
              <w:jc w:val="center"/>
            </w:pPr>
            <w:r>
              <w:rPr>
                <w:rFonts w:asciiTheme="minorHAnsi" w:hAnsiTheme="minorHAnsi"/>
                <w:sz w:val="22"/>
                <w:szCs w:val="22"/>
              </w:rPr>
              <w:t xml:space="preserve">Pulibile</w:t>
            </w:r>
          </w:p>
        </w:tc>
        <w:tc>
          <w:tcPr>
            <w:tcW w:w="2200" w:type="dxa"/>
            <w:vAlign w:val="center"/>
          </w:tcPr>
          <w:p>
            <w:pPr>
              <w:spacing w:after="0" w:line="240" w:lineRule="auto"/>
              <w:jc w:val="center"/>
            </w:pPr>
            <w:r>
              <w:rPr>
                <w:rFonts w:asciiTheme="minorHAnsi" w:hAnsiTheme="minorHAnsi"/>
                <w:sz w:val="22"/>
                <w:szCs w:val="22"/>
              </w:rPr>
              <w:t xml:space="preserve">Pulibile (classe 5)</w:t>
            </w:r>
          </w:p>
        </w:tc>
        <w:tc>
          <w:tcPr>
            <w:tcW w:w="1400" w:type="dxa"/>
            <w:vAlign w:val="center"/>
          </w:tcPr>
          <w:p>
            <w:pPr>
              <w:spacing w:after="0" w:line="240" w:lineRule="auto"/>
              <w:jc w:val="center"/>
            </w:pPr>
            <w:r>
              <w:rPr>
                <w:rFonts w:asciiTheme="minorHAnsi" w:hAnsiTheme="minorHAnsi"/>
                <w:sz w:val="22"/>
                <w:szCs w:val="22"/>
              </w:rPr>
              <w:t xml:space="preserve">Confermato</w:t>
            </w:r>
          </w:p>
        </w:tc>
      </w:tr>
    </w:tbl>
    <w:p>
      <w:pPr>
        <w:spacing w:line="360" w:lineRule="auto" w:after="200"/>
        <w:jc w:val="both"/>
      </w:pPr>
    </w:p>
    <w:p>
      <w:pPr>
        <w:spacing w:line="360" w:lineRule="auto" w:after="200"/>
        <w:jc w:val="center"/>
      </w:pPr>
      <w:r>
        <w:rPr>
          <w:rFonts w:asciiTheme="minorHAnsi" w:hAnsiTheme="minorHAnsi"/>
          <w:i/>
          <w:iCs/>
          <w:sz w:val="22"/>
          <w:szCs w:val="22"/>
        </w:rPr>
        <w:t xml:space="preserve">Tabella 4 – Conformità normativa dei lotti industrializzati, collezione LEVITA (formato critico 60×60 dopo azione correttiva)</w:t>
      </w:r>
    </w:p>
    <w:p>
      <w:pPr>
        <w:spacing w:line="360" w:lineRule="auto"/>
        <w:ind w:firstLine="284"/>
        <w:jc w:val="both"/>
      </w:pPr>
      <w:r>
        <w:rPr>
          <w:rFonts w:asciiTheme="minorHAnsi" w:hAnsiTheme="minorHAnsi"/>
          <w:sz w:val="28"/>
          <w:szCs w:val="28"/>
        </w:rPr>
        <w:t xml:space="preserve">Per entrambe le collezioni tutti i parametri normativi risultano confermati su tutte le combinazioni formato/colore industrializzate, superando pertanto in pieno le soglie di conformità stabilite dal Piano di Sviluppo. Va rilevato come i margini di conformità non siano uniformi tra le due collezioni: LIMEN presenta margini ampi su tutti i parametri (a titolo di esempio, lo sforzo di rottura rilevato è superiore del 39-72% rispetto alla soglia minima di 1300 N), coerentemente con l'assenza di criticità già in fase alpha; LEVITA presenta margini più contenuti ma comunque solidi, in particolare sull'assorbimento d'acqua (fino a 0,46% contro una soglia di 0,50%), che resta il parametro più sensibile alla luce della non conformità superata al §3.2. Si ritiene pertanto opportuno, in fase di industrializzazione definitiva, mantenere su LEVITA una frequenza di controllo in linea non inferiore a quella adottata nella presente attività, quantomeno sui primi lotti di produzione corrente.</w:t>
      </w:r>
    </w:p>
    <w:p>
      <w:pPr>
        <w:spacing w:line="360" w:lineRule="auto" w:after="80"/>
        <w:jc w:val="both"/>
      </w:pPr>
      <w:r>
        <w:rPr>
          <w:rFonts w:asciiTheme="minorHAnsi" w:hAnsiTheme="minorHAnsi"/>
          <w:b/>
          <w:bCs/>
          <w:color w:val="024C41"/>
          <w:sz w:val="30"/>
          <w:szCs w:val="30"/>
        </w:rPr>
        <w:t xml:space="preserve">3.4 Caratterizzazione di sostenibilità e sostenibilità tecnologica</w:t>
      </w:r>
    </w:p>
    <w:p>
      <w:pPr>
        <w:spacing w:line="360" w:lineRule="auto"/>
        <w:ind w:firstLine="284"/>
        <w:jc w:val="both"/>
      </w:pPr>
      <w:r>
        <w:rPr>
          <w:rFonts w:asciiTheme="minorHAnsi" w:hAnsiTheme="minorHAnsi"/>
          <w:sz w:val="28"/>
          <w:szCs w:val="28"/>
        </w:rPr>
        <w:t xml:space="preserve">L'indice di sostenibilità tecnologica di prodotto P-TSI (OR7.4), calcolato sui lotti industrializzati secondo le categorie IOA (Intensità e Origine degli Approvvigionamenti), OP (Ottimizzazione di Processo) e TQ (Tecnologia di Qualità), ha restituito un valore complessivo pari a 0,81 per LIMEN e 0,77 per LEVITA (scala 0–1, soglia minima di riferimento di progetto 0,70 per entrambe le collezioni). Il valore leggermente inferiore di LEVITA è coerente con il maggiore intervento correttivo di processo richiesto al §2.1, che pur risolvendo la non conformità normativa incide sulla categoria OP (Ottimizzazione di Processo) rispetto a un ciclo di cottura non modificato; il margine rispetto alla soglia (0,70) resta comunque ampio anche per LEVITA.</w:t>
      </w:r>
    </w:p>
    <w:p>
      <w:pPr>
        <w:spacing w:line="360" w:lineRule="auto"/>
        <w:ind w:firstLine="284"/>
        <w:jc w:val="both"/>
      </w:pPr>
      <w:r>
        <w:rPr>
          <w:rFonts w:asciiTheme="minorHAnsi" w:hAnsiTheme="minorHAnsi"/>
          <w:sz w:val="28"/>
          <w:szCs w:val="28"/>
        </w:rPr>
        <w:t xml:space="preserve">L'indice EEA+ (OR7.3), calcolato sul consumo exergetico specifico dei lotti di produzione, evidenzia una riduzione del consumo energetico specifico da 210 kWhₑₓ/t (baseline di processo 2024) a 192 kWhₑₓ/t sui lotti LIMEN (–8,6%) e a 197 kWhₑₓ/t sui lotti LEVITA (–6,2%), attribuibile all'ottimizzazione dei parametri di cottura resa possibile dal monitoraggio in tempo reale della piattaforma Intelligent Factory (OR7.1, OR7.2). Il minore risparmio energetico registrato su LEVITA (–6,2% contro –8,6%) è coerente con l'allungamento della curva di cottura introdotto come azione correttiva sul formato 60×60: l'intervento necessario a raggiungere la conformità normativa ha un costo energetico marginale, che tuttavia non annulla il beneficio complessivo rispetto alla baseline. Questo risultato indica un margine di miglioramento futuro: una volta consolidato il nuovo ciclo di cottura, un'attività successiva di ottimizzazione fine potrebbe mirare a recuperare parte del divario di efficienza energetica tra le due collezioni.</w:t>
      </w:r>
    </w:p>
    <w:p>
      <w:pPr>
        <w:spacing w:line="360" w:lineRule="auto" w:after="80"/>
        <w:jc w:val="both"/>
      </w:pPr>
      <w:r>
        <w:rPr>
          <w:rFonts w:asciiTheme="minorHAnsi" w:hAnsiTheme="minorHAnsi"/>
          <w:b/>
          <w:bCs/>
          <w:color w:val="024C41"/>
          <w:sz w:val="30"/>
          <w:szCs w:val="30"/>
        </w:rPr>
        <w:t xml:space="preserve">3.5 Certificazione di terza parte accreditata</w:t>
      </w:r>
    </w:p>
    <w:p>
      <w:pPr>
        <w:spacing w:line="360" w:lineRule="auto"/>
        <w:ind w:firstLine="284"/>
        <w:jc w:val="both"/>
      </w:pPr>
      <w:r>
        <w:rPr>
          <w:rFonts w:asciiTheme="minorHAnsi" w:hAnsiTheme="minorHAnsi"/>
          <w:sz w:val="28"/>
          <w:szCs w:val="28"/>
        </w:rPr>
        <w:t xml:space="preserve">I campioni rappresentativi delle sei combinazioni collezione/formato sono stati verificati dal Centro Ceramico di Bologna (laboratorio accreditato ACCREDIA n. 0003), che ha confermato la piena conformità ai parametri della Tabella 3 e della Tabella 4 con Rapporto di Prova n. CC/2026/00458 del 12/02/2026, allegato alla presente relazione come riferimento documentale esterno a garanzia della trasparenza del processo di validazione. L'assenza di scostamenti tra gli esiti del Laboratorio R&amp;amp;S Gresmalt e quelli del laboratorio esterno conferma inoltre l'affidabilità del sistema di controllo qualità interno, elemento che potrà essere valorizzato per ridurre la frequenza dei controlli esterni nelle produzioni correnti successive alla delibera di industrializzazione.</w:t>
      </w:r>
    </w:p>
    <w:p>
      <w:pPr>
        <w:spacing w:line="360" w:lineRule="auto" w:after="80"/>
        <w:jc w:val="both"/>
      </w:pPr>
      <w:r>
        <w:rPr>
          <w:rFonts w:asciiTheme="minorHAnsi" w:hAnsiTheme="minorHAnsi"/>
          <w:b/>
          <w:bCs/>
          <w:color w:val="024C41"/>
          <w:sz w:val="30"/>
          <w:szCs w:val="30"/>
        </w:rPr>
        <w:t xml:space="preserve">3.6 Efficienza economica dell'attività</w:t>
      </w:r>
    </w:p>
    <w:p>
      <w:pPr>
        <w:spacing w:line="360" w:lineRule="auto"/>
        <w:ind w:firstLine="284"/>
        <w:jc w:val="both"/>
      </w:pPr>
      <w:r>
        <w:rPr>
          <w:rFonts w:asciiTheme="minorHAnsi" w:hAnsiTheme="minorHAnsi"/>
          <w:sz w:val="28"/>
          <w:szCs w:val="28"/>
        </w:rPr>
        <w:t xml:space="preserve">A fronte della quota di risorse stimata al §2.5 (186.400 euro di materiali, 38.500 euro di consulenze esterne, per un totale di 224.900 euro di costi diretti non recuperabili nei volumi già venduti, poiché trattasi di industrializzazione a fini di validazione) e dei 121.630 m² complessivamente industrializzati e validati conformi, l'attività esprime un costo diretto di validazione pari a circa 1,85 €/m², da intendersi come extra-costo di R&amp;amp;S rispetto al costo industriale standard e non come costo di produzione a regime. Tale valore va letto insieme al fatto che la quasi totalità dei 121.630 m² industrializzati risulta pienamente conforme e collocabile sul mercato in quanto tale, e non costituisce quindi materiale di scarto imputabile esclusivamente alla sperimentazione: l'attività ha pertanto generato, oltre al risultato tecnico di validazione, uno stock di prodotto finito commercialmente valorizzabile, che riduce nella sostanza l'onere economico netto a carico del progetto rispetto al costo diretto sopra indicato.</w:t>
      </w:r>
    </w:p>
    <w:p>
      <w:pPr>
        <w:spacing w:line="360" w:lineRule="auto"/>
        <w:ind w:firstLine="284"/>
        <w:jc w:val="both"/>
      </w:pPr>
      <w:r>
        <w:rPr>
          <w:rFonts w:asciiTheme="minorHAnsi" w:hAnsiTheme="minorHAnsi"/>
          <w:sz w:val="28"/>
          <w:szCs w:val="28"/>
        </w:rPr>
        <w:t xml:space="preserve">Rispetto all'ipotesi alternativa – proseguire il collaudo di LEVITA solo su scala di laboratorio prima di procedere a un'industrializzazione successiva e separata – la scelta di condurre in un'unica attività sia la chiusura della verifica tecnica sia l'industrializzazione su volumi pieni ha evitato un secondo ciclo di allestimento linea (set-up presse, cambio smalti, avviamento forni), il cui costo stimato, sulla base dei tempi di fermo linea tipici di uno stabilimento Gresmalt, sarebbe stato dello stesso ordine di grandezza della quota di consulenze esterne di cui alla Tabella 1. Questo conferma la coerenza economica, oltre che tecnica, della pianificazione descritta al §2.1 e al §2.2.</w:t>
      </w:r>
    </w:p>
    <w:p>
      <w:pPr>
        <w:spacing w:line="360" w:lineRule="auto" w:after="120"/>
        <w:jc w:val="both"/>
      </w:pPr>
      <w:r>
        <w:rPr>
          <w:rFonts w:asciiTheme="minorHAnsi" w:hAnsiTheme="minorHAnsi"/>
          <w:b/>
          <w:bCs/>
          <w:caps/>
          <w:color w:val="024C41"/>
          <w:sz w:val="36"/>
          <w:szCs w:val="36"/>
        </w:rPr>
        <w:t xml:space="preserve">4.DISCUSSIONE E CONCLUSIONI</w:t>
      </w:r>
    </w:p>
    <w:p>
      <w:pPr>
        <w:spacing w:line="360" w:lineRule="auto"/>
        <w:ind w:firstLine="284"/>
        <w:jc w:val="both"/>
      </w:pPr>
      <w:r>
        <w:rPr>
          <w:rFonts w:asciiTheme="minorHAnsi" w:hAnsiTheme="minorHAnsi"/>
          <w:sz w:val="28"/>
          <w:szCs w:val="28"/>
        </w:rPr>
        <w:t xml:space="preserve">I risultati ottenuti confermano che entrambe le collezioni selezionate in esito a OR7.7 – LIMEN e LEVITA – sono pienamente validate su scala preindustriale: il volume complessivo industrializzato (121.630 m²) supera la soglia minima di progetto (120.000 m²) e tutti i parametri normativi ISO 10545 risultano confermati su ciascuna combinazione di formato e colore, incluso il formato 60×60 di LEVITA per il quale il collaudo alpha aveva evidenziato una non conformità di assorbimento d'acqua, risolta mediante l'azione correttiva sui parametri di pressatura e cottura descritta al §2.1 e verificata al §3.2. Questo risultato tecnico è stato conseguito impiegando le risorse quantificate al §2.5 con un'efficienza che, come discusso al §3.6 e al §4.3, risulta coerente con l'entità dell'investimento previsto dal Piano di Sviluppo per questa attività.</w:t>
      </w:r>
    </w:p>
    <w:p>
      <w:pPr>
        <w:spacing w:line="360" w:lineRule="auto" w:after="80"/>
        <w:jc w:val="both"/>
      </w:pPr>
      <w:r>
        <w:rPr>
          <w:rFonts w:asciiTheme="minorHAnsi" w:hAnsiTheme="minorHAnsi"/>
          <w:b/>
          <w:bCs/>
          <w:color w:val="024C41"/>
          <w:sz w:val="30"/>
          <w:szCs w:val="30"/>
        </w:rPr>
        <w:t xml:space="preserve">4.1 Interdipendenze progettuali</w:t>
      </w:r>
    </w:p>
    <w:p>
      <w:pPr>
        <w:spacing w:line="360" w:lineRule="auto"/>
        <w:ind w:firstLine="284"/>
        <w:jc w:val="both"/>
      </w:pPr>
      <w:r>
        <w:rPr>
          <w:rFonts w:asciiTheme="minorHAnsi" w:hAnsiTheme="minorHAnsi"/>
          <w:sz w:val="28"/>
          <w:szCs w:val="28"/>
        </w:rPr>
        <w:t xml:space="preserve">L'attività chiude il ciclo aperto da OR6.9 (ideazione virtuale del protocollo di design data-driven) e proseguito in OR7.7 (collaudo del protocollo su prototipi di laboratorio), portando le due collezioni dalla scala prototipale alla scala industriale. I risultati di caratterizzazione tecnologica sono stati prodotti in stretto coordinamento con OR2.1 e OR7.4 (indice P-TSI), mentre la caratterizzazione di sostenibilità di processo si è avvalsa della metodologia EEA+ sviluppata in OR7.3. Le prove sono state condotte sulle infrastrutture collaudate in OR7.1 (piattaforma edge-to-cloud) e OR7.2 (Intelligent Factory) e sulle linee ingegnerizzate in OR7.6, a conferma della coerenza complessiva della catena di attività di OR7: ciascuna attività precedente ha reso disponibile a OR7.9 un asset (protocollo, infrastruttura dati, linee ingegnerizzate) che ha evitato la necessità di investimenti aggiuntivi in questa fase, come già evidenziato al §2.2 a proposito della scelta degli stabilimenti.</w:t>
      </w:r>
    </w:p>
    <w:p>
      <w:pPr>
        <w:spacing w:line="360" w:lineRule="auto" w:after="80"/>
        <w:jc w:val="both"/>
      </w:pPr>
      <w:r>
        <w:rPr>
          <w:rFonts w:asciiTheme="minorHAnsi" w:hAnsiTheme="minorHAnsi"/>
          <w:b/>
          <w:bCs/>
          <w:color w:val="024C41"/>
          <w:sz w:val="30"/>
          <w:szCs w:val="30"/>
        </w:rPr>
        <w:t xml:space="preserve">4.2 Contributo al Risultato Finale di OR7 (RF7)</w:t>
      </w:r>
    </w:p>
    <w:p>
      <w:pPr>
        <w:spacing w:line="360" w:lineRule="auto"/>
        <w:ind w:firstLine="284"/>
        <w:jc w:val="both"/>
      </w:pPr>
      <w:r>
        <w:rPr>
          <w:rFonts w:asciiTheme="minorHAnsi" w:hAnsiTheme="minorHAnsi"/>
          <w:sz w:val="28"/>
          <w:szCs w:val="28"/>
        </w:rPr>
        <w:t xml:space="preserve">Il Report tecnico delle nuove collezioni costituisce uno dei contributi tecnici che concorrono al Risultato Finale RF7 – Documento finale di collaudo della Intelligent Industry, fornendo evidenza che il sistema di progettazione, industrializzazione e validazione data-driven sviluppato nell'ambito del progetto è in grado di generare, in tempi e con volumi rappresentativi della scala industriale reale, prodotti ceramici pienamente conformi agli standard normativi e agli obiettivi di sostenibilità del progetto, con un impiego di risorse tracciabile e proporzionato ai volumi ottenuti.</w:t>
      </w:r>
    </w:p>
    <w:p>
      <w:pPr>
        <w:spacing w:line="360" w:lineRule="auto" w:after="80"/>
        <w:jc w:val="both"/>
      </w:pPr>
      <w:r>
        <w:rPr>
          <w:rFonts w:asciiTheme="minorHAnsi" w:hAnsiTheme="minorHAnsi"/>
          <w:b/>
          <w:bCs/>
          <w:color w:val="024C41"/>
          <w:sz w:val="30"/>
          <w:szCs w:val="30"/>
        </w:rPr>
        <w:t xml:space="preserve">4.3 Sostenibilità economica dell'investimento</w:t>
      </w:r>
    </w:p>
    <w:p>
      <w:pPr>
        <w:spacing w:line="360" w:lineRule="auto"/>
        <w:ind w:firstLine="284"/>
        <w:jc w:val="both"/>
      </w:pPr>
      <w:r>
        <w:rPr>
          <w:rFonts w:asciiTheme="minorHAnsi" w:hAnsiTheme="minorHAnsi"/>
          <w:sz w:val="28"/>
          <w:szCs w:val="28"/>
        </w:rPr>
        <w:t xml:space="preserve">I 224.900 euro di costi diretti stimati al §2.5 e le 6.380 ore di personale operaio impiegate vanno valutati alla luce di tre elementi concorrenti, già emersi nei capitoli precedenti: in primo luogo, il volume industrializzato (121.630 m²) è in massima parte prodotto conforme e commercialmente valorizzabile, e non materiale di scarto sperimentale (§3.6); in secondo luogo, la pianificazione metodologica ha evitato costi aggiuntivi altrimenti necessari — un impianto pilota dedicato (§2.2), un secondo ciclo di allestimento linea per LEVITA (§3.6), un ampliamento del perimetro di collaudo a varianti non ancora validate (§2.1); in terzo luogo, il costo della verifica di terza parte (§2.4), pur incidendo sulla quota di consulenze, riduce il rischio di dover ripetere le verifiche di conformità in una fase successiva del ciclo di vita del prodotto. Nel complesso, l'investimento risulta proporzionato al ruolo che questa attività riveste nella catena progettuale: è la prima, e l'unica prevista dal Piano di Sviluppo per questo filone, in cui la validazione tecnica avviene su scala industriale reale, condizione necessaria perché i risultati di OR6.9 e OR7.7 si traducano in un'offerta di prodotto effettivamente collocabile sul mercato.</w:t>
      </w:r>
    </w:p>
    <w:p>
      <w:pPr>
        <w:spacing w:line="360" w:lineRule="auto" w:after="80"/>
        <w:jc w:val="both"/>
      </w:pPr>
      <w:r>
        <w:rPr>
          <w:rFonts w:asciiTheme="minorHAnsi" w:hAnsiTheme="minorHAnsi"/>
          <w:b/>
          <w:bCs/>
          <w:color w:val="024C41"/>
          <w:sz w:val="30"/>
          <w:szCs w:val="30"/>
        </w:rPr>
        <w:t xml:space="preserve">4.4 Implicazioni operative e sviluppi futuri</w:t>
      </w:r>
    </w:p>
    <w:p>
      <w:pPr>
        <w:spacing w:line="360" w:lineRule="auto"/>
        <w:ind w:firstLine="284"/>
        <w:jc w:val="both"/>
      </w:pPr>
      <w:r>
        <w:rPr>
          <w:rFonts w:asciiTheme="minorHAnsi" w:hAnsiTheme="minorHAnsi"/>
          <w:sz w:val="28"/>
          <w:szCs w:val="28"/>
        </w:rPr>
        <w:t xml:space="preserve">In coerenza con le finalità del Piano di Sviluppo (Allegato 4), gli esiti positivi del test preindustriale abilitano la delibera formale di trasferimento a industrializzazione definitiva per entrambe le collezioni, superando la condizionalità residua su LEVITA segnalata in esito a OR7.7. I risultati costituiscono inoltre input diretto per OR7.10 (sviluppo del modello di business AI-driven per il lancio sul mercato delle nuove collezioni) e concorrono, insieme ai risultati delle altre attività tecniche di OR1-OR7, alla stima di impatto socioeconomico complessivo del progetto sviluppata in OR8.6. Si raccomanda di attivare, a 12-24 mesi dal lancio commerciale, il riscontro differito sui dati di vendita già previsto come sviluppo futuro in RP7.7, al fine di completare la validazione ex post dei criteri commerciali del protocollo di Product Design Thinking, e di monitorare in tale sede anche l'effettivo ritorno economico rispetto ai costi diretti quantificati al §2.5, a chiusura del ciclo costi-risultati aperto dalla presente relazione.</w:t>
      </w:r>
    </w:p>
    <w:p>
      <w:pPr>
        <w:spacing w:line="360" w:lineRule="auto"/>
        <w:jc w:val="both"/>
      </w:pPr>
      <w:r>
        <w:rPr>
          <w:rFonts w:asciiTheme="minorHAnsi" w:hAnsiTheme="minorHAnsi"/>
          <w:sz w:val="28"/>
          <w:szCs w:val="28"/>
        </w:rPr>
        <w:t xml:space="preserve"> </w:t>
      </w:r>
    </w:p>
    <w:sectPr w:rsidRPr="008B7110" w:rsidR="00E72CA7" w:rsidSect="00087A59">
      <w:headerReference w:type="default" r:id="rId12"/>
      <w:footerReference w:type="default" r:id="rId13"/>
      <w:headerReference w:type="first" r:id="rId14"/>
      <w:footerReference w:type="first" r:id="rId15"/>
      <w:pgSz w:w="11906" w:h="16838" w:orient="portrait" w:code="9"/>
      <w:pgMar w:top="1701" w:right="567" w:bottom="1701" w:left="567"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00C2B" w:rsidRDefault="00E00C2B" w14:paraId="33A06B7B" w14:textId="77777777">
      <w:r>
        <w:separator/>
      </w:r>
    </w:p>
  </w:endnote>
  <w:endnote w:type="continuationSeparator" w:id="0">
    <w:p w:rsidR="00E00C2B" w:rsidRDefault="00E00C2B" w14:paraId="64C84C61" w14:textId="77777777">
      <w:r>
        <w:continuationSeparator/>
      </w:r>
    </w:p>
  </w:endnote>
  <w:endnote w:type="continuationNotice" w:id="1">
    <w:p w:rsidR="00E00C2B" w:rsidRDefault="00E00C2B" w14:paraId="3C9B36D7"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73605069"/>
      <w:docPartObj>
        <w:docPartGallery w:val="Page Numbers (Bottom of Page)"/>
        <w:docPartUnique/>
      </w:docPartObj>
    </w:sdtPr>
    <w:sdtEndPr/>
    <w:sdtContent>
      <w:p w:rsidR="00370626" w:rsidRDefault="00370626" w14:paraId="19381E81" w14:textId="728262E7">
        <w:pPr>
          <w:pStyle w:val="Pidipagina"/>
          <w:jc w:val="center"/>
        </w:pPr>
        <w:r>
          <w:fldChar w:fldCharType="begin"/>
        </w:r>
        <w:r>
          <w:instrText>PAGE   \* MERGEFORMAT</w:instrText>
        </w:r>
        <w:r>
          <w:fldChar w:fldCharType="separate"/>
        </w:r>
        <w:r w:rsidR="00C04F39">
          <w:rPr>
            <w:noProof/>
          </w:rPr>
          <w:t>2</w:t>
        </w:r>
        <w:r>
          <w:fldChar w:fldCharType="end"/>
        </w:r>
      </w:p>
    </w:sdtContent>
  </w:sdt>
  <w:p w:rsidRPr="00087A59" w:rsidR="00A45435" w:rsidP="00087A59" w:rsidRDefault="00A45435" w14:paraId="5067C47B" w14:textId="673FE4C4">
    <w:pPr>
      <w:pStyle w:val="Intestazione"/>
      <w:spacing w:before="60" w:after="240"/>
      <w:jc w:val="center"/>
      <w:rPr>
        <w:rFonts w:ascii="Arial" w:hAnsi="Arial" w:cs="Arial"/>
        <w:b/>
        <w:color w:val="FC4F02"/>
        <w:szCs w:val="3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du wp14">
  <w:p w:rsidR="00F17E66" w:rsidP="00F17E66" w:rsidRDefault="00F17E66" w14:paraId="7829F121" w14:textId="4CADEE65">
    <w:pPr>
      <w:pStyle w:val="Intestazione"/>
      <w:pBdr>
        <w:bottom w:val="single" w:color="024C41" w:sz="18" w:space="1"/>
      </w:pBdr>
      <w:spacing w:before="60" w:after="240"/>
      <w:rPr>
        <w:rFonts w:asciiTheme="minorHAnsi" w:hAnsiTheme="minorHAnsi" w:cstheme="minorHAnsi"/>
        <w:color w:val="00A98E"/>
        <w:sz w:val="28"/>
        <w:szCs w:val="36"/>
      </w:rPr>
    </w:pPr>
  </w:p>
  <w:p w:rsidR="00F17E66" w:rsidP="00F17E66" w:rsidRDefault="003D56D6" w14:paraId="6F2805CB" w14:textId="6463FEE0">
    <w:pPr>
      <w:pStyle w:val="Intestazione"/>
      <w:spacing w:before="60" w:after="240"/>
      <w:jc w:val="center"/>
      <w:rPr>
        <w:rFonts w:asciiTheme="minorHAnsi" w:hAnsiTheme="minorHAnsi" w:cstheme="minorHAnsi"/>
        <w:color w:val="00A98E"/>
        <w:sz w:val="28"/>
        <w:szCs w:val="36"/>
      </w:rPr>
    </w:pPr>
    <w:r w:rsidRPr="003D56D6">
      <w:rPr>
        <w:rFonts w:asciiTheme="minorHAnsi" w:hAnsiTheme="minorHAnsi" w:cstheme="minorHAnsi"/>
        <w:color w:val="00A98E"/>
        <w:sz w:val="28"/>
        <w:szCs w:val="36"/>
      </w:rPr>
      <w:drawing>
        <wp:inline distT="0" distB="0" distL="0" distR="0" wp14:anchorId="6B35C285" wp14:editId="14EFDE97">
          <wp:extent cx="6840220" cy="584835"/>
          <wp:effectExtent l="0" t="0" r="0" b="5715"/>
          <wp:docPr id="27" name="Immagine 26">
            <a:extLst xmlns:a="http://schemas.openxmlformats.org/drawingml/2006/main">
              <a:ext uri="{FF2B5EF4-FFF2-40B4-BE49-F238E27FC236}">
                <a16:creationId xmlns:a16="http://schemas.microsoft.com/office/drawing/2014/main" id="{534DBD57-FA8C-4557-94E5-9E23A699C8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magine 26">
                    <a:extLst>
                      <a:ext uri="{FF2B5EF4-FFF2-40B4-BE49-F238E27FC236}">
                        <a16:creationId xmlns:a16="http://schemas.microsoft.com/office/drawing/2014/main" id="{534DBD57-FA8C-4557-94E5-9E23A699C807}"/>
                      </a:ext>
                    </a:extLst>
                  </pic:cNvPr>
                  <pic:cNvPicPr>
                    <a:picLocks noChangeAspect="1"/>
                  </pic:cNvPicPr>
                </pic:nvPicPr>
                <pic:blipFill>
                  <a:blip r:embed="rId1"/>
                  <a:stretch>
                    <a:fillRect/>
                  </a:stretch>
                </pic:blipFill>
                <pic:spPr>
                  <a:xfrm>
                    <a:off x="0" y="0"/>
                    <a:ext cx="6840220" cy="584835"/>
                  </a:xfrm>
                  <a:prstGeom prst="rect">
                    <a:avLst/>
                  </a:prstGeom>
                </pic:spPr>
              </pic:pic>
            </a:graphicData>
          </a:graphic>
        </wp:inline>
      </w:drawing>
    </w:r>
  </w:p>
  <w:p w:rsidRPr="00D311C2" w:rsidR="00A45435" w:rsidP="00F17E66" w:rsidRDefault="00087A59" w14:paraId="4F75B270" w14:textId="0D97F0C7">
    <w:pPr>
      <w:pStyle w:val="Intestazione"/>
      <w:spacing w:before="60" w:after="240"/>
      <w:jc w:val="center"/>
      <w:rPr>
        <w:rFonts w:asciiTheme="minorHAnsi" w:hAnsiTheme="minorHAnsi" w:cstheme="minorHAnsi"/>
        <w:b/>
        <w:bCs/>
        <w:color w:val="00A98E"/>
        <w:sz w:val="28"/>
        <w:szCs w:val="36"/>
      </w:rPr>
    </w:pPr>
    <w:r w:rsidRPr="00D311C2">
      <w:rPr>
        <w:rFonts w:asciiTheme="minorHAnsi" w:hAnsiTheme="minorHAnsi" w:cstheme="minorHAnsi"/>
        <w:b/>
        <w:bCs/>
        <w:color w:val="00A98E"/>
        <w:sz w:val="28"/>
        <w:szCs w:val="36"/>
      </w:rPr>
      <w:t>www.</w:t>
    </w:r>
    <w:r w:rsidRPr="00D311C2" w:rsidR="00A42963">
      <w:rPr>
        <w:rFonts w:asciiTheme="minorHAnsi" w:hAnsiTheme="minorHAnsi" w:cstheme="minorHAnsi"/>
        <w:b/>
        <w:bCs/>
        <w:color w:val="00A98E"/>
        <w:sz w:val="28"/>
        <w:szCs w:val="36"/>
      </w:rPr>
      <w:t>start</w:t>
    </w:r>
    <w:r w:rsidR="003D56D6">
      <w:rPr>
        <w:rFonts w:asciiTheme="minorHAnsi" w:hAnsiTheme="minorHAnsi" w:cstheme="minorHAnsi"/>
        <w:b/>
        <w:bCs/>
        <w:color w:val="00A98E"/>
        <w:sz w:val="28"/>
        <w:szCs w:val="36"/>
      </w:rPr>
      <w:t>-innovability</w:t>
    </w:r>
    <w:r w:rsidRPr="00D311C2">
      <w:rPr>
        <w:rFonts w:asciiTheme="minorHAnsi" w:hAnsiTheme="minorHAnsi" w:cstheme="minorHAnsi"/>
        <w:b/>
        <w:bCs/>
        <w:color w:val="00A98E"/>
        <w:sz w:val="28"/>
        <w:szCs w:val="36"/>
      </w:rPr>
      <w:t>.</w:t>
    </w:r>
    <w:r w:rsidRPr="00D311C2" w:rsidR="00064C8D">
      <w:rPr>
        <w:rFonts w:asciiTheme="minorHAnsi" w:hAnsiTheme="minorHAnsi" w:cstheme="minorHAnsi"/>
        <w:b/>
        <w:bCs/>
        <w:color w:val="00A98E"/>
        <w:sz w:val="28"/>
        <w:szCs w:val="36"/>
      </w:rPr>
      <w:t>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00C2B" w:rsidRDefault="00E00C2B" w14:paraId="02105F46" w14:textId="77777777">
      <w:r>
        <w:separator/>
      </w:r>
    </w:p>
  </w:footnote>
  <w:footnote w:type="continuationSeparator" w:id="0">
    <w:p w:rsidR="00E00C2B" w:rsidRDefault="00E00C2B" w14:paraId="76C87ED6" w14:textId="77777777">
      <w:r>
        <w:continuationSeparator/>
      </w:r>
    </w:p>
  </w:footnote>
  <w:footnote w:type="continuationNotice" w:id="1">
    <w:p w:rsidR="00E00C2B" w:rsidRDefault="00E00C2B" w14:paraId="73FD6273"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tbl>
    <w:tblPr>
      <w:tblStyle w:val="Grigliatabella"/>
      <w:tblW w:w="10762" w:type="dxa"/>
      <w:tblInd w:w="-108" w:type="dxa"/>
      <w:tblBorders>
        <w:top w:val="single" w:color="024C41" w:sz="18" w:space="0"/>
        <w:left w:val="none" w:color="auto" w:sz="0" w:space="0"/>
        <w:bottom w:val="single" w:color="024C41" w:sz="18" w:space="0"/>
        <w:right w:val="none" w:color="auto" w:sz="0" w:space="0"/>
        <w:insideH w:val="none" w:color="auto" w:sz="0" w:space="0"/>
        <w:insideV w:val="none" w:color="auto" w:sz="0" w:space="0"/>
      </w:tblBorders>
      <w:tblLook w:val="04A0" w:firstRow="1" w:lastRow="0" w:firstColumn="1" w:lastColumn="0" w:noHBand="0" w:noVBand="1"/>
    </w:tblPr>
    <w:tblGrid>
      <w:gridCol w:w="4542"/>
      <w:gridCol w:w="6220"/>
    </w:tblGrid>
    <w:tr w:rsidRPr="00A42963" w:rsidR="00380ACF" w:rsidTr="00A42963" w14:paraId="139FF03E" w14:textId="77777777">
      <w:tc>
        <w:tcPr>
          <w:tcW w:w="4542" w:type="dxa"/>
        </w:tcPr>
        <w:p w:rsidRPr="00F17E66" w:rsidR="00F17E66" w:rsidP="007D40B1" w:rsidRDefault="00F17E66" w14:paraId="16933ECD" w14:textId="77777777">
          <w:pPr>
            <w:rPr>
              <w:sz w:val="10"/>
              <w:szCs w:val="10"/>
            </w:rPr>
          </w:pPr>
        </w:p>
        <w:p w:rsidR="00380ACF" w:rsidP="007D40B1" w:rsidRDefault="00A42963" w14:paraId="218CE45F" w14:textId="77777777">
          <w:r w:rsidRPr="00380ACF">
            <w:rPr>
              <w:noProof/>
            </w:rPr>
            <w:drawing>
              <wp:inline distT="0" distB="0" distL="0" distR="0" wp14:anchorId="3F19B9DA" wp14:editId="4A2D37D4">
                <wp:extent cx="2047875" cy="1134548"/>
                <wp:effectExtent l="0" t="0" r="0" b="8890"/>
                <wp:docPr id="526394239" name="Immagine 526394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2020" name=""/>
                        <pic:cNvPicPr/>
                      </pic:nvPicPr>
                      <pic:blipFill>
                        <a:blip r:embed="rId1"/>
                        <a:stretch>
                          <a:fillRect/>
                        </a:stretch>
                      </pic:blipFill>
                      <pic:spPr>
                        <a:xfrm>
                          <a:off x="0" y="0"/>
                          <a:ext cx="2058155" cy="1140243"/>
                        </a:xfrm>
                        <a:prstGeom prst="rect">
                          <a:avLst/>
                        </a:prstGeom>
                      </pic:spPr>
                    </pic:pic>
                  </a:graphicData>
                </a:graphic>
              </wp:inline>
            </w:drawing>
          </w:r>
        </w:p>
        <w:p w:rsidRPr="00F17E66" w:rsidR="00F17E66" w:rsidP="007D40B1" w:rsidRDefault="00F17E66" w14:paraId="47756266" w14:textId="51DC96D5">
          <w:pPr>
            <w:rPr>
              <w:sz w:val="10"/>
              <w:szCs w:val="10"/>
            </w:rPr>
          </w:pPr>
        </w:p>
      </w:tc>
      <w:tc>
        <w:tcPr>
          <w:tcW w:w="6220" w:type="dxa"/>
        </w:tcPr>
        <w:p w:rsidR="00A42963" w:rsidP="007D40B1" w:rsidRDefault="00A42963" w14:paraId="6E891721" w14:textId="77777777">
          <w:pPr>
            <w:jc w:val="center"/>
            <w:rPr>
              <w:rFonts w:asciiTheme="minorHAnsi" w:hAnsiTheme="minorHAnsi" w:cstheme="minorHAnsi"/>
              <w:b/>
              <w:color w:val="595959"/>
              <w:szCs w:val="24"/>
              <w:lang w:val="en-US"/>
            </w:rPr>
          </w:pPr>
        </w:p>
        <w:p w:rsidRPr="00A42963" w:rsidR="00380ACF" w:rsidP="007D40B1" w:rsidRDefault="00380ACF" w14:paraId="01794B94" w14:textId="22CA4F9A">
          <w:pPr>
            <w:jc w:val="center"/>
            <w:rPr>
              <w:rFonts w:asciiTheme="minorHAnsi" w:hAnsiTheme="minorHAnsi" w:cstheme="minorHAnsi"/>
              <w:b/>
              <w:color w:val="024C41"/>
              <w:sz w:val="32"/>
              <w:szCs w:val="36"/>
              <w:lang w:val="en-US"/>
            </w:rPr>
          </w:pPr>
          <w:proofErr w:type="spellStart"/>
          <w:r w:rsidRPr="00A42963">
            <w:rPr>
              <w:rFonts w:asciiTheme="minorHAnsi" w:hAnsiTheme="minorHAnsi" w:cstheme="minorHAnsi"/>
              <w:b/>
              <w:color w:val="024C41"/>
              <w:sz w:val="32"/>
              <w:szCs w:val="36"/>
              <w:lang w:val="en-US"/>
            </w:rPr>
            <w:t>SusTainable</w:t>
          </w:r>
          <w:proofErr w:type="spellEnd"/>
          <w:r w:rsidRPr="00A42963">
            <w:rPr>
              <w:rFonts w:asciiTheme="minorHAnsi" w:hAnsiTheme="minorHAnsi" w:cstheme="minorHAnsi"/>
              <w:b/>
              <w:color w:val="024C41"/>
              <w:sz w:val="32"/>
              <w:szCs w:val="36"/>
              <w:lang w:val="en-US"/>
            </w:rPr>
            <w:t xml:space="preserve"> </w:t>
          </w:r>
          <w:proofErr w:type="spellStart"/>
          <w:r w:rsidRPr="00A42963">
            <w:rPr>
              <w:rFonts w:asciiTheme="minorHAnsi" w:hAnsiTheme="minorHAnsi" w:cstheme="minorHAnsi"/>
              <w:b/>
              <w:color w:val="024C41"/>
              <w:sz w:val="32"/>
              <w:szCs w:val="36"/>
              <w:lang w:val="en-US"/>
            </w:rPr>
            <w:t>dAta-dRiven</w:t>
          </w:r>
          <w:proofErr w:type="spellEnd"/>
          <w:r w:rsidRPr="00A42963">
            <w:rPr>
              <w:rFonts w:asciiTheme="minorHAnsi" w:hAnsiTheme="minorHAnsi" w:cstheme="minorHAnsi"/>
              <w:b/>
              <w:color w:val="024C41"/>
              <w:sz w:val="32"/>
              <w:szCs w:val="36"/>
              <w:lang w:val="en-US"/>
            </w:rPr>
            <w:t xml:space="preserve"> </w:t>
          </w:r>
          <w:proofErr w:type="spellStart"/>
          <w:r w:rsidRPr="00A42963">
            <w:rPr>
              <w:rFonts w:asciiTheme="minorHAnsi" w:hAnsiTheme="minorHAnsi" w:cstheme="minorHAnsi"/>
              <w:b/>
              <w:color w:val="024C41"/>
              <w:sz w:val="32"/>
              <w:szCs w:val="36"/>
              <w:lang w:val="en-US"/>
            </w:rPr>
            <w:t>manufacTuring</w:t>
          </w:r>
          <w:proofErr w:type="spellEnd"/>
        </w:p>
        <w:p w:rsidRPr="00A42963" w:rsidR="00380ACF" w:rsidP="007D40B1" w:rsidRDefault="00380ACF" w14:paraId="255519F3" w14:textId="77777777">
          <w:pPr>
            <w:jc w:val="center"/>
            <w:rPr>
              <w:rFonts w:asciiTheme="minorHAnsi" w:hAnsiTheme="minorHAnsi" w:cstheme="minorHAnsi"/>
              <w:b/>
              <w:color w:val="525252" w:themeColor="accent3" w:themeShade="80"/>
              <w:sz w:val="16"/>
              <w:szCs w:val="20"/>
              <w:lang w:val="en-US"/>
            </w:rPr>
          </w:pPr>
        </w:p>
        <w:p w:rsidRPr="00A42963" w:rsidR="00A42963" w:rsidP="007D40B1" w:rsidRDefault="00A42963" w14:paraId="4CBF8299" w14:textId="77777777">
          <w:pPr>
            <w:jc w:val="center"/>
            <w:rPr>
              <w:rFonts w:asciiTheme="minorHAnsi" w:hAnsiTheme="minorHAnsi" w:cstheme="minorHAnsi"/>
              <w:b/>
              <w:color w:val="00A98E"/>
              <w:sz w:val="24"/>
              <w:szCs w:val="32"/>
            </w:rPr>
          </w:pPr>
          <w:r w:rsidRPr="00A42963">
            <w:rPr>
              <w:rFonts w:asciiTheme="minorHAnsi" w:hAnsiTheme="minorHAnsi" w:cstheme="minorHAnsi"/>
              <w:b/>
              <w:color w:val="00A98E"/>
              <w:sz w:val="24"/>
              <w:szCs w:val="32"/>
            </w:rPr>
            <w:t>Accordo Innovazione DM 31/12/2021</w:t>
          </w:r>
        </w:p>
        <w:p w:rsidRPr="00A42963" w:rsidR="00380ACF" w:rsidP="007D40B1" w:rsidRDefault="00380ACF" w14:paraId="4CD1470F" w14:textId="201B274D">
          <w:pPr>
            <w:jc w:val="center"/>
            <w:rPr>
              <w:rFonts w:asciiTheme="minorHAnsi" w:hAnsiTheme="minorHAnsi" w:cstheme="minorHAnsi"/>
              <w:b/>
              <w:color w:val="595959"/>
              <w:szCs w:val="24"/>
            </w:rPr>
          </w:pPr>
          <w:r w:rsidRPr="00A42963">
            <w:rPr>
              <w:rFonts w:asciiTheme="minorHAnsi" w:hAnsiTheme="minorHAnsi" w:cstheme="minorHAnsi"/>
              <w:b/>
              <w:color w:val="00A98E"/>
              <w:sz w:val="24"/>
              <w:szCs w:val="32"/>
            </w:rPr>
            <w:t xml:space="preserve">Prog. n. </w:t>
          </w:r>
          <w:r w:rsidRPr="00A42963" w:rsidR="00A42963">
            <w:rPr>
              <w:rFonts w:asciiTheme="minorHAnsi" w:hAnsiTheme="minorHAnsi" w:cstheme="minorHAnsi"/>
              <w:b/>
              <w:color w:val="00A98E"/>
              <w:sz w:val="24"/>
              <w:szCs w:val="32"/>
            </w:rPr>
            <w:t>F/310087/01-05/X56</w:t>
          </w:r>
          <w:r w:rsidRPr="00A42963" w:rsidR="00A42963">
            <w:rPr>
              <w:rFonts w:asciiTheme="minorHAnsi" w:hAnsiTheme="minorHAnsi" w:cstheme="minorHAnsi"/>
              <w:b/>
              <w:color w:val="595959"/>
              <w:sz w:val="24"/>
              <w:szCs w:val="32"/>
            </w:rPr>
            <w:t xml:space="preserve"> </w:t>
          </w:r>
        </w:p>
      </w:tc>
    </w:tr>
  </w:tbl>
  <w:p w:rsidRPr="00A42963" w:rsidR="00087A59" w:rsidP="00087A59" w:rsidRDefault="00087A59" w14:paraId="02404575" w14:textId="77777777">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tbl>
    <w:tblPr>
      <w:tblStyle w:val="Grigliatabella"/>
      <w:tblW w:w="0" w:type="auto"/>
      <w:tblBorders>
        <w:top w:val="single" w:color="024C41" w:sz="18" w:space="0"/>
        <w:left w:val="none" w:color="auto" w:sz="0" w:space="0"/>
        <w:bottom w:val="single" w:color="024C41" w:sz="18" w:space="0"/>
        <w:right w:val="none" w:color="auto" w:sz="0" w:space="0"/>
        <w:insideH w:val="none" w:color="auto" w:sz="0" w:space="0"/>
        <w:insideV w:val="none" w:color="auto" w:sz="0" w:space="0"/>
      </w:tblBorders>
      <w:tblLook w:val="04A0" w:firstRow="1" w:lastRow="0" w:firstColumn="1" w:lastColumn="0" w:noHBand="0" w:noVBand="1"/>
    </w:tblPr>
    <w:tblGrid>
      <w:gridCol w:w="4542"/>
      <w:gridCol w:w="6220"/>
    </w:tblGrid>
    <w:tr w:rsidRPr="00380ACF" w:rsidR="00380ACF" w:rsidTr="00A42963" w14:paraId="5203FB71" w14:textId="77777777">
      <w:tc>
        <w:tcPr>
          <w:tcW w:w="4542" w:type="dxa"/>
        </w:tcPr>
        <w:p w:rsidRPr="00F17E66" w:rsidR="00F17E66" w:rsidP="0015016E" w:rsidRDefault="00F17E66" w14:paraId="2F4F55F4" w14:textId="77777777">
          <w:pPr>
            <w:rPr>
              <w:sz w:val="10"/>
              <w:szCs w:val="10"/>
            </w:rPr>
          </w:pPr>
        </w:p>
        <w:p w:rsidR="00380ACF" w:rsidP="0015016E" w:rsidRDefault="00380ACF" w14:paraId="0EFBB021" w14:textId="6C951B90">
          <w:r w:rsidRPr="00380ACF">
            <w:rPr>
              <w:noProof/>
            </w:rPr>
            <w:drawing>
              <wp:inline distT="0" distB="0" distL="0" distR="0" wp14:anchorId="0A26CCA4" wp14:editId="55E72B44">
                <wp:extent cx="2047875" cy="1134548"/>
                <wp:effectExtent l="0" t="0" r="0" b="8890"/>
                <wp:docPr id="8886202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2020" name=""/>
                        <pic:cNvPicPr/>
                      </pic:nvPicPr>
                      <pic:blipFill>
                        <a:blip r:embed="rId1"/>
                        <a:stretch>
                          <a:fillRect/>
                        </a:stretch>
                      </pic:blipFill>
                      <pic:spPr>
                        <a:xfrm>
                          <a:off x="0" y="0"/>
                          <a:ext cx="2058155" cy="1140243"/>
                        </a:xfrm>
                        <a:prstGeom prst="rect">
                          <a:avLst/>
                        </a:prstGeom>
                      </pic:spPr>
                    </pic:pic>
                  </a:graphicData>
                </a:graphic>
              </wp:inline>
            </w:drawing>
          </w:r>
        </w:p>
        <w:p w:rsidRPr="00F17E66" w:rsidR="00F17E66" w:rsidP="0015016E" w:rsidRDefault="00F17E66" w14:paraId="6F560366" w14:textId="31DA55B3">
          <w:pPr>
            <w:rPr>
              <w:sz w:val="10"/>
              <w:szCs w:val="10"/>
            </w:rPr>
          </w:pPr>
        </w:p>
      </w:tc>
      <w:tc>
        <w:tcPr>
          <w:tcW w:w="6220" w:type="dxa"/>
        </w:tcPr>
        <w:p w:rsidR="00380ACF" w:rsidP="00002427" w:rsidRDefault="00380ACF" w14:paraId="236DDD0D" w14:textId="77777777">
          <w:pPr>
            <w:jc w:val="center"/>
            <w:rPr>
              <w:rFonts w:asciiTheme="minorHAnsi" w:hAnsiTheme="minorHAnsi" w:cstheme="minorHAnsi"/>
              <w:color w:val="525252" w:themeColor="accent3" w:themeShade="80"/>
              <w:sz w:val="28"/>
              <w:szCs w:val="24"/>
            </w:rPr>
          </w:pPr>
        </w:p>
        <w:p w:rsidRPr="00A42963" w:rsidR="00A42963" w:rsidP="00A42963" w:rsidRDefault="00A42963" w14:paraId="2BBAF2B0" w14:textId="77777777">
          <w:pPr>
            <w:jc w:val="center"/>
            <w:rPr>
              <w:rFonts w:asciiTheme="minorHAnsi" w:hAnsiTheme="minorHAnsi" w:cstheme="minorHAnsi"/>
              <w:b/>
              <w:color w:val="024C41"/>
              <w:sz w:val="32"/>
              <w:szCs w:val="36"/>
              <w:lang w:val="en-US"/>
            </w:rPr>
          </w:pPr>
          <w:proofErr w:type="spellStart"/>
          <w:r w:rsidRPr="00A42963">
            <w:rPr>
              <w:rFonts w:asciiTheme="minorHAnsi" w:hAnsiTheme="minorHAnsi" w:cstheme="minorHAnsi"/>
              <w:b/>
              <w:color w:val="024C41"/>
              <w:sz w:val="32"/>
              <w:szCs w:val="36"/>
              <w:lang w:val="en-US"/>
            </w:rPr>
            <w:t>SusTainable</w:t>
          </w:r>
          <w:proofErr w:type="spellEnd"/>
          <w:r w:rsidRPr="00A42963">
            <w:rPr>
              <w:rFonts w:asciiTheme="minorHAnsi" w:hAnsiTheme="minorHAnsi" w:cstheme="minorHAnsi"/>
              <w:b/>
              <w:color w:val="024C41"/>
              <w:sz w:val="32"/>
              <w:szCs w:val="36"/>
              <w:lang w:val="en-US"/>
            </w:rPr>
            <w:t xml:space="preserve"> </w:t>
          </w:r>
          <w:proofErr w:type="spellStart"/>
          <w:r w:rsidRPr="00A42963">
            <w:rPr>
              <w:rFonts w:asciiTheme="minorHAnsi" w:hAnsiTheme="minorHAnsi" w:cstheme="minorHAnsi"/>
              <w:b/>
              <w:color w:val="024C41"/>
              <w:sz w:val="32"/>
              <w:szCs w:val="36"/>
              <w:lang w:val="en-US"/>
            </w:rPr>
            <w:t>dAta-dRiven</w:t>
          </w:r>
          <w:proofErr w:type="spellEnd"/>
          <w:r w:rsidRPr="00A42963">
            <w:rPr>
              <w:rFonts w:asciiTheme="minorHAnsi" w:hAnsiTheme="minorHAnsi" w:cstheme="minorHAnsi"/>
              <w:b/>
              <w:color w:val="024C41"/>
              <w:sz w:val="32"/>
              <w:szCs w:val="36"/>
              <w:lang w:val="en-US"/>
            </w:rPr>
            <w:t xml:space="preserve"> </w:t>
          </w:r>
          <w:proofErr w:type="spellStart"/>
          <w:r w:rsidRPr="00A42963">
            <w:rPr>
              <w:rFonts w:asciiTheme="minorHAnsi" w:hAnsiTheme="minorHAnsi" w:cstheme="minorHAnsi"/>
              <w:b/>
              <w:color w:val="024C41"/>
              <w:sz w:val="32"/>
              <w:szCs w:val="36"/>
              <w:lang w:val="en-US"/>
            </w:rPr>
            <w:t>manufacTuring</w:t>
          </w:r>
          <w:proofErr w:type="spellEnd"/>
        </w:p>
        <w:p w:rsidRPr="00A42963" w:rsidR="00A42963" w:rsidP="00A42963" w:rsidRDefault="00A42963" w14:paraId="3DFD2533" w14:textId="77777777">
          <w:pPr>
            <w:jc w:val="center"/>
            <w:rPr>
              <w:rFonts w:asciiTheme="minorHAnsi" w:hAnsiTheme="minorHAnsi" w:cstheme="minorHAnsi"/>
              <w:b/>
              <w:color w:val="525252" w:themeColor="accent3" w:themeShade="80"/>
              <w:sz w:val="16"/>
              <w:szCs w:val="20"/>
              <w:lang w:val="en-US"/>
            </w:rPr>
          </w:pPr>
        </w:p>
        <w:p w:rsidRPr="00A42963" w:rsidR="00A42963" w:rsidP="00A42963" w:rsidRDefault="00A42963" w14:paraId="3388F882" w14:textId="77777777">
          <w:pPr>
            <w:jc w:val="center"/>
            <w:rPr>
              <w:rFonts w:asciiTheme="minorHAnsi" w:hAnsiTheme="minorHAnsi" w:cstheme="minorHAnsi"/>
              <w:b/>
              <w:color w:val="00A98E"/>
              <w:sz w:val="24"/>
              <w:szCs w:val="32"/>
            </w:rPr>
          </w:pPr>
          <w:r w:rsidRPr="00A42963">
            <w:rPr>
              <w:rFonts w:asciiTheme="minorHAnsi" w:hAnsiTheme="minorHAnsi" w:cstheme="minorHAnsi"/>
              <w:b/>
              <w:color w:val="00A98E"/>
              <w:sz w:val="24"/>
              <w:szCs w:val="32"/>
            </w:rPr>
            <w:t>Accordo Innovazione DM 31/12/2021</w:t>
          </w:r>
        </w:p>
        <w:p w:rsidRPr="008862C9" w:rsidR="00380ACF" w:rsidP="00A42963" w:rsidRDefault="00A42963" w14:paraId="0D1DF9C7" w14:textId="28B26B0B">
          <w:pPr>
            <w:jc w:val="center"/>
            <w:rPr>
              <w:rFonts w:asciiTheme="minorHAnsi" w:hAnsiTheme="minorHAnsi" w:cstheme="minorHAnsi"/>
              <w:b/>
              <w:color w:val="595959"/>
              <w:szCs w:val="24"/>
              <w:lang w:val="en-US"/>
            </w:rPr>
          </w:pPr>
          <w:r w:rsidRPr="00A42963">
            <w:rPr>
              <w:rFonts w:asciiTheme="minorHAnsi" w:hAnsiTheme="minorHAnsi" w:cstheme="minorHAnsi"/>
              <w:b/>
              <w:color w:val="00A98E"/>
              <w:sz w:val="24"/>
              <w:szCs w:val="32"/>
            </w:rPr>
            <w:t>Prog. n. F/310087/01-05/X56</w:t>
          </w:r>
        </w:p>
      </w:tc>
    </w:tr>
  </w:tbl>
  <w:p w:rsidRPr="00002427" w:rsidR="00A45435" w:rsidP="00087A59" w:rsidRDefault="00A45435" w14:paraId="7DD20812" w14:textId="77777777">
    <w:pPr>
      <w:pStyle w:val="Intestazion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BD5014"/>
    <w:multiLevelType w:val="hybridMultilevel"/>
    <w:tmpl w:val="93769E98"/>
    <w:lvl w:ilvl="0" w:tplc="0410000F">
      <w:start w:val="1"/>
      <w:numFmt w:val="decimal"/>
      <w:lvlText w:val="%1."/>
      <w:lvlJc w:val="left"/>
      <w:pPr>
        <w:ind w:left="1004" w:hanging="360"/>
      </w:pPr>
    </w:lvl>
    <w:lvl w:ilvl="1" w:tplc="04100019" w:tentative="1">
      <w:start w:val="1"/>
      <w:numFmt w:val="lowerLetter"/>
      <w:lvlText w:val="%2."/>
      <w:lvlJc w:val="left"/>
      <w:pPr>
        <w:ind w:left="1724" w:hanging="360"/>
      </w:pPr>
    </w:lvl>
    <w:lvl w:ilvl="2" w:tplc="0410001B" w:tentative="1">
      <w:start w:val="1"/>
      <w:numFmt w:val="lowerRoman"/>
      <w:lvlText w:val="%3."/>
      <w:lvlJc w:val="right"/>
      <w:pPr>
        <w:ind w:left="2444" w:hanging="180"/>
      </w:pPr>
    </w:lvl>
    <w:lvl w:ilvl="3" w:tplc="0410000F" w:tentative="1">
      <w:start w:val="1"/>
      <w:numFmt w:val="decimal"/>
      <w:lvlText w:val="%4."/>
      <w:lvlJc w:val="left"/>
      <w:pPr>
        <w:ind w:left="3164" w:hanging="360"/>
      </w:pPr>
    </w:lvl>
    <w:lvl w:ilvl="4" w:tplc="04100019" w:tentative="1">
      <w:start w:val="1"/>
      <w:numFmt w:val="lowerLetter"/>
      <w:lvlText w:val="%5."/>
      <w:lvlJc w:val="left"/>
      <w:pPr>
        <w:ind w:left="3884" w:hanging="360"/>
      </w:pPr>
    </w:lvl>
    <w:lvl w:ilvl="5" w:tplc="0410001B" w:tentative="1">
      <w:start w:val="1"/>
      <w:numFmt w:val="lowerRoman"/>
      <w:lvlText w:val="%6."/>
      <w:lvlJc w:val="right"/>
      <w:pPr>
        <w:ind w:left="4604" w:hanging="180"/>
      </w:pPr>
    </w:lvl>
    <w:lvl w:ilvl="6" w:tplc="0410000F" w:tentative="1">
      <w:start w:val="1"/>
      <w:numFmt w:val="decimal"/>
      <w:lvlText w:val="%7."/>
      <w:lvlJc w:val="left"/>
      <w:pPr>
        <w:ind w:left="5324" w:hanging="360"/>
      </w:pPr>
    </w:lvl>
    <w:lvl w:ilvl="7" w:tplc="04100019" w:tentative="1">
      <w:start w:val="1"/>
      <w:numFmt w:val="lowerLetter"/>
      <w:lvlText w:val="%8."/>
      <w:lvlJc w:val="left"/>
      <w:pPr>
        <w:ind w:left="6044" w:hanging="360"/>
      </w:pPr>
    </w:lvl>
    <w:lvl w:ilvl="8" w:tplc="0410001B" w:tentative="1">
      <w:start w:val="1"/>
      <w:numFmt w:val="lowerRoman"/>
      <w:lvlText w:val="%9."/>
      <w:lvlJc w:val="right"/>
      <w:pPr>
        <w:ind w:left="6764" w:hanging="180"/>
      </w:pPr>
    </w:lvl>
  </w:abstractNum>
  <w:abstractNum w:abstractNumId="1" w15:restartNumberingAfterBreak="0">
    <w:nsid w:val="14121B98"/>
    <w:multiLevelType w:val="hybridMultilevel"/>
    <w:tmpl w:val="AD8680F6"/>
    <w:lvl w:ilvl="0" w:tplc="8AC64D14">
      <w:start w:val="1"/>
      <w:numFmt w:val="bullet"/>
      <w:pStyle w:val="cElencoPuntato"/>
      <w:lvlText w:val=""/>
      <w:lvlJc w:val="left"/>
      <w:pPr>
        <w:tabs>
          <w:tab w:val="num" w:pos="720"/>
        </w:tabs>
        <w:ind w:left="720" w:hanging="360"/>
      </w:pPr>
      <w:rPr>
        <w:rFonts w:hint="default" w:ascii="Symbol" w:hAnsi="Symbol"/>
      </w:rPr>
    </w:lvl>
    <w:lvl w:ilvl="1" w:tplc="C91830AC">
      <w:start w:val="1"/>
      <w:numFmt w:val="decimal"/>
      <w:pStyle w:val="cElencoNumerato"/>
      <w:lvlText w:val="%2."/>
      <w:lvlJc w:val="left"/>
      <w:pPr>
        <w:tabs>
          <w:tab w:val="num" w:pos="1440"/>
        </w:tabs>
        <w:ind w:left="1440" w:hanging="360"/>
      </w:pPr>
      <w:rPr>
        <w:rFonts w:hint="default"/>
      </w:rPr>
    </w:lvl>
    <w:lvl w:ilvl="2" w:tplc="04100005" w:tentative="1">
      <w:start w:val="1"/>
      <w:numFmt w:val="bullet"/>
      <w:lvlText w:val=""/>
      <w:lvlJc w:val="left"/>
      <w:pPr>
        <w:tabs>
          <w:tab w:val="num" w:pos="2160"/>
        </w:tabs>
        <w:ind w:left="2160" w:hanging="360"/>
      </w:pPr>
      <w:rPr>
        <w:rFonts w:hint="default" w:ascii="Wingdings" w:hAnsi="Wingdings"/>
      </w:rPr>
    </w:lvl>
    <w:lvl w:ilvl="3" w:tplc="04100001" w:tentative="1">
      <w:start w:val="1"/>
      <w:numFmt w:val="bullet"/>
      <w:lvlText w:val=""/>
      <w:lvlJc w:val="left"/>
      <w:pPr>
        <w:tabs>
          <w:tab w:val="num" w:pos="2880"/>
        </w:tabs>
        <w:ind w:left="2880" w:hanging="360"/>
      </w:pPr>
      <w:rPr>
        <w:rFonts w:hint="default" w:ascii="Symbol" w:hAnsi="Symbol"/>
      </w:rPr>
    </w:lvl>
    <w:lvl w:ilvl="4" w:tplc="04100003" w:tentative="1">
      <w:start w:val="1"/>
      <w:numFmt w:val="bullet"/>
      <w:lvlText w:val="o"/>
      <w:lvlJc w:val="left"/>
      <w:pPr>
        <w:tabs>
          <w:tab w:val="num" w:pos="3600"/>
        </w:tabs>
        <w:ind w:left="3600" w:hanging="360"/>
      </w:pPr>
      <w:rPr>
        <w:rFonts w:hint="default" w:ascii="Courier New" w:hAnsi="Courier New" w:cs="Courier New"/>
      </w:rPr>
    </w:lvl>
    <w:lvl w:ilvl="5" w:tplc="04100005" w:tentative="1">
      <w:start w:val="1"/>
      <w:numFmt w:val="bullet"/>
      <w:lvlText w:val=""/>
      <w:lvlJc w:val="left"/>
      <w:pPr>
        <w:tabs>
          <w:tab w:val="num" w:pos="4320"/>
        </w:tabs>
        <w:ind w:left="4320" w:hanging="360"/>
      </w:pPr>
      <w:rPr>
        <w:rFonts w:hint="default" w:ascii="Wingdings" w:hAnsi="Wingdings"/>
      </w:rPr>
    </w:lvl>
    <w:lvl w:ilvl="6" w:tplc="04100001" w:tentative="1">
      <w:start w:val="1"/>
      <w:numFmt w:val="bullet"/>
      <w:lvlText w:val=""/>
      <w:lvlJc w:val="left"/>
      <w:pPr>
        <w:tabs>
          <w:tab w:val="num" w:pos="5040"/>
        </w:tabs>
        <w:ind w:left="5040" w:hanging="360"/>
      </w:pPr>
      <w:rPr>
        <w:rFonts w:hint="default" w:ascii="Symbol" w:hAnsi="Symbol"/>
      </w:rPr>
    </w:lvl>
    <w:lvl w:ilvl="7" w:tplc="04100003" w:tentative="1">
      <w:start w:val="1"/>
      <w:numFmt w:val="bullet"/>
      <w:lvlText w:val="o"/>
      <w:lvlJc w:val="left"/>
      <w:pPr>
        <w:tabs>
          <w:tab w:val="num" w:pos="5760"/>
        </w:tabs>
        <w:ind w:left="5760" w:hanging="360"/>
      </w:pPr>
      <w:rPr>
        <w:rFonts w:hint="default" w:ascii="Courier New" w:hAnsi="Courier New" w:cs="Courier New"/>
      </w:rPr>
    </w:lvl>
    <w:lvl w:ilvl="8" w:tplc="0410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220557A6"/>
    <w:multiLevelType w:val="hybridMultilevel"/>
    <w:tmpl w:val="7F88E97C"/>
    <w:lvl w:ilvl="0" w:tplc="0410000F">
      <w:start w:val="1"/>
      <w:numFmt w:val="decimal"/>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3" w15:restartNumberingAfterBreak="0">
    <w:nsid w:val="2D960A9C"/>
    <w:multiLevelType w:val="hybridMultilevel"/>
    <w:tmpl w:val="93769E98"/>
    <w:lvl w:ilvl="0" w:tplc="0410000F">
      <w:start w:val="1"/>
      <w:numFmt w:val="decimal"/>
      <w:lvlText w:val="%1."/>
      <w:lvlJc w:val="left"/>
      <w:pPr>
        <w:ind w:left="1004" w:hanging="360"/>
      </w:pPr>
    </w:lvl>
    <w:lvl w:ilvl="1" w:tplc="04100019" w:tentative="1">
      <w:start w:val="1"/>
      <w:numFmt w:val="lowerLetter"/>
      <w:lvlText w:val="%2."/>
      <w:lvlJc w:val="left"/>
      <w:pPr>
        <w:ind w:left="1724" w:hanging="360"/>
      </w:pPr>
    </w:lvl>
    <w:lvl w:ilvl="2" w:tplc="0410001B" w:tentative="1">
      <w:start w:val="1"/>
      <w:numFmt w:val="lowerRoman"/>
      <w:lvlText w:val="%3."/>
      <w:lvlJc w:val="right"/>
      <w:pPr>
        <w:ind w:left="2444" w:hanging="180"/>
      </w:pPr>
    </w:lvl>
    <w:lvl w:ilvl="3" w:tplc="0410000F" w:tentative="1">
      <w:start w:val="1"/>
      <w:numFmt w:val="decimal"/>
      <w:lvlText w:val="%4."/>
      <w:lvlJc w:val="left"/>
      <w:pPr>
        <w:ind w:left="3164" w:hanging="360"/>
      </w:pPr>
    </w:lvl>
    <w:lvl w:ilvl="4" w:tplc="04100019" w:tentative="1">
      <w:start w:val="1"/>
      <w:numFmt w:val="lowerLetter"/>
      <w:lvlText w:val="%5."/>
      <w:lvlJc w:val="left"/>
      <w:pPr>
        <w:ind w:left="3884" w:hanging="360"/>
      </w:pPr>
    </w:lvl>
    <w:lvl w:ilvl="5" w:tplc="0410001B" w:tentative="1">
      <w:start w:val="1"/>
      <w:numFmt w:val="lowerRoman"/>
      <w:lvlText w:val="%6."/>
      <w:lvlJc w:val="right"/>
      <w:pPr>
        <w:ind w:left="4604" w:hanging="180"/>
      </w:pPr>
    </w:lvl>
    <w:lvl w:ilvl="6" w:tplc="0410000F" w:tentative="1">
      <w:start w:val="1"/>
      <w:numFmt w:val="decimal"/>
      <w:lvlText w:val="%7."/>
      <w:lvlJc w:val="left"/>
      <w:pPr>
        <w:ind w:left="5324" w:hanging="360"/>
      </w:pPr>
    </w:lvl>
    <w:lvl w:ilvl="7" w:tplc="04100019" w:tentative="1">
      <w:start w:val="1"/>
      <w:numFmt w:val="lowerLetter"/>
      <w:lvlText w:val="%8."/>
      <w:lvlJc w:val="left"/>
      <w:pPr>
        <w:ind w:left="6044" w:hanging="360"/>
      </w:pPr>
    </w:lvl>
    <w:lvl w:ilvl="8" w:tplc="0410001B" w:tentative="1">
      <w:start w:val="1"/>
      <w:numFmt w:val="lowerRoman"/>
      <w:lvlText w:val="%9."/>
      <w:lvlJc w:val="right"/>
      <w:pPr>
        <w:ind w:left="6764" w:hanging="180"/>
      </w:pPr>
    </w:lvl>
  </w:abstractNum>
  <w:abstractNum w:abstractNumId="4" w15:restartNumberingAfterBreak="0">
    <w:nsid w:val="2DF2637A"/>
    <w:multiLevelType w:val="hybridMultilevel"/>
    <w:tmpl w:val="22441060"/>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5" w15:restartNumberingAfterBreak="0">
    <w:nsid w:val="475E36B0"/>
    <w:multiLevelType w:val="hybridMultilevel"/>
    <w:tmpl w:val="85B4CF3C"/>
    <w:lvl w:ilvl="0" w:tplc="0410001B">
      <w:start w:val="1"/>
      <w:numFmt w:val="lowerRoman"/>
      <w:lvlText w:val="%1."/>
      <w:lvlJc w:val="righ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4F5123DF"/>
    <w:multiLevelType w:val="hybridMultilevel"/>
    <w:tmpl w:val="BF0CD84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869414988">
    <w:abstractNumId w:val="1"/>
  </w:num>
  <w:num w:numId="2" w16cid:durableId="191889600">
    <w:abstractNumId w:val="0"/>
  </w:num>
  <w:num w:numId="3" w16cid:durableId="1405685383">
    <w:abstractNumId w:val="3"/>
  </w:num>
  <w:num w:numId="4" w16cid:durableId="905260640">
    <w:abstractNumId w:val="6"/>
  </w:num>
  <w:num w:numId="5" w16cid:durableId="453256951">
    <w:abstractNumId w:val="2"/>
  </w:num>
  <w:num w:numId="6" w16cid:durableId="522670935">
    <w:abstractNumId w:val="4"/>
  </w:num>
  <w:num w:numId="7" w16cid:durableId="10790593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CE5"/>
    <w:rsid w:val="00001033"/>
    <w:rsid w:val="00002427"/>
    <w:rsid w:val="00006006"/>
    <w:rsid w:val="00024280"/>
    <w:rsid w:val="00052384"/>
    <w:rsid w:val="00064C8D"/>
    <w:rsid w:val="0008606B"/>
    <w:rsid w:val="00087A59"/>
    <w:rsid w:val="000A188F"/>
    <w:rsid w:val="000B3532"/>
    <w:rsid w:val="000B5364"/>
    <w:rsid w:val="000E0F4B"/>
    <w:rsid w:val="00100C27"/>
    <w:rsid w:val="0010451F"/>
    <w:rsid w:val="001051CE"/>
    <w:rsid w:val="0010645D"/>
    <w:rsid w:val="00113341"/>
    <w:rsid w:val="00127BBC"/>
    <w:rsid w:val="001449AE"/>
    <w:rsid w:val="001462FF"/>
    <w:rsid w:val="00146F78"/>
    <w:rsid w:val="0015016E"/>
    <w:rsid w:val="001510E5"/>
    <w:rsid w:val="001554A8"/>
    <w:rsid w:val="001653F0"/>
    <w:rsid w:val="001822C7"/>
    <w:rsid w:val="00191ADB"/>
    <w:rsid w:val="001A0748"/>
    <w:rsid w:val="001C44BF"/>
    <w:rsid w:val="001E600D"/>
    <w:rsid w:val="00222544"/>
    <w:rsid w:val="00227AC2"/>
    <w:rsid w:val="002975EB"/>
    <w:rsid w:val="002A5642"/>
    <w:rsid w:val="002B45C4"/>
    <w:rsid w:val="002E15C9"/>
    <w:rsid w:val="002E47CA"/>
    <w:rsid w:val="002E484B"/>
    <w:rsid w:val="002F7338"/>
    <w:rsid w:val="00315AA6"/>
    <w:rsid w:val="003322CF"/>
    <w:rsid w:val="00343A1A"/>
    <w:rsid w:val="00347BBE"/>
    <w:rsid w:val="00350A3F"/>
    <w:rsid w:val="00370626"/>
    <w:rsid w:val="00371FD0"/>
    <w:rsid w:val="00380ACF"/>
    <w:rsid w:val="0038210E"/>
    <w:rsid w:val="00382ABE"/>
    <w:rsid w:val="00383857"/>
    <w:rsid w:val="00383873"/>
    <w:rsid w:val="00385DCD"/>
    <w:rsid w:val="00387C8F"/>
    <w:rsid w:val="003A3863"/>
    <w:rsid w:val="003A57CA"/>
    <w:rsid w:val="003C3A0D"/>
    <w:rsid w:val="003C64CC"/>
    <w:rsid w:val="003C78BD"/>
    <w:rsid w:val="003D56D6"/>
    <w:rsid w:val="003E42C0"/>
    <w:rsid w:val="003F4647"/>
    <w:rsid w:val="0040212E"/>
    <w:rsid w:val="00414D72"/>
    <w:rsid w:val="00426722"/>
    <w:rsid w:val="00432469"/>
    <w:rsid w:val="00434775"/>
    <w:rsid w:val="00442016"/>
    <w:rsid w:val="00443BED"/>
    <w:rsid w:val="00450950"/>
    <w:rsid w:val="00450A34"/>
    <w:rsid w:val="00450E87"/>
    <w:rsid w:val="0047034A"/>
    <w:rsid w:val="004710B2"/>
    <w:rsid w:val="004916F7"/>
    <w:rsid w:val="00493606"/>
    <w:rsid w:val="00493E90"/>
    <w:rsid w:val="004B09C4"/>
    <w:rsid w:val="004E415B"/>
    <w:rsid w:val="004E44AC"/>
    <w:rsid w:val="004F0C5E"/>
    <w:rsid w:val="004F0D85"/>
    <w:rsid w:val="004F32C6"/>
    <w:rsid w:val="004F52C7"/>
    <w:rsid w:val="005020E1"/>
    <w:rsid w:val="00506E16"/>
    <w:rsid w:val="0052090E"/>
    <w:rsid w:val="00530C1B"/>
    <w:rsid w:val="00562094"/>
    <w:rsid w:val="005635AE"/>
    <w:rsid w:val="0057172B"/>
    <w:rsid w:val="0058302C"/>
    <w:rsid w:val="005A3044"/>
    <w:rsid w:val="005A5BFE"/>
    <w:rsid w:val="005B40DA"/>
    <w:rsid w:val="005B52BF"/>
    <w:rsid w:val="005B5379"/>
    <w:rsid w:val="005B6BE3"/>
    <w:rsid w:val="005C62FD"/>
    <w:rsid w:val="005E6551"/>
    <w:rsid w:val="005E7218"/>
    <w:rsid w:val="005F7F0A"/>
    <w:rsid w:val="0061475E"/>
    <w:rsid w:val="00615811"/>
    <w:rsid w:val="00625C20"/>
    <w:rsid w:val="0063488E"/>
    <w:rsid w:val="00634A47"/>
    <w:rsid w:val="00641534"/>
    <w:rsid w:val="00642610"/>
    <w:rsid w:val="00655FC3"/>
    <w:rsid w:val="006870C1"/>
    <w:rsid w:val="006C6880"/>
    <w:rsid w:val="006C6D64"/>
    <w:rsid w:val="006F4EFB"/>
    <w:rsid w:val="006F5C0B"/>
    <w:rsid w:val="006F7023"/>
    <w:rsid w:val="00720738"/>
    <w:rsid w:val="00725F1C"/>
    <w:rsid w:val="00730651"/>
    <w:rsid w:val="00730942"/>
    <w:rsid w:val="00755FC1"/>
    <w:rsid w:val="007646A3"/>
    <w:rsid w:val="00783232"/>
    <w:rsid w:val="00792B4F"/>
    <w:rsid w:val="00796574"/>
    <w:rsid w:val="007D40B1"/>
    <w:rsid w:val="007F6F05"/>
    <w:rsid w:val="0081034F"/>
    <w:rsid w:val="0083544C"/>
    <w:rsid w:val="0083750A"/>
    <w:rsid w:val="0084603E"/>
    <w:rsid w:val="00846290"/>
    <w:rsid w:val="0085429B"/>
    <w:rsid w:val="008629CF"/>
    <w:rsid w:val="008862C9"/>
    <w:rsid w:val="00893C53"/>
    <w:rsid w:val="008A5A0D"/>
    <w:rsid w:val="008B7110"/>
    <w:rsid w:val="008C7ABE"/>
    <w:rsid w:val="008F5B7D"/>
    <w:rsid w:val="008F7966"/>
    <w:rsid w:val="00924708"/>
    <w:rsid w:val="0097184C"/>
    <w:rsid w:val="00973674"/>
    <w:rsid w:val="00992EC6"/>
    <w:rsid w:val="00993B29"/>
    <w:rsid w:val="009A3651"/>
    <w:rsid w:val="009A6504"/>
    <w:rsid w:val="009B40B9"/>
    <w:rsid w:val="009B5D8D"/>
    <w:rsid w:val="009D4F69"/>
    <w:rsid w:val="009F0CC0"/>
    <w:rsid w:val="009F6E03"/>
    <w:rsid w:val="00A031DD"/>
    <w:rsid w:val="00A107D3"/>
    <w:rsid w:val="00A17053"/>
    <w:rsid w:val="00A265D6"/>
    <w:rsid w:val="00A3371E"/>
    <w:rsid w:val="00A4172F"/>
    <w:rsid w:val="00A42963"/>
    <w:rsid w:val="00A45435"/>
    <w:rsid w:val="00A52CEE"/>
    <w:rsid w:val="00A550B9"/>
    <w:rsid w:val="00A67E40"/>
    <w:rsid w:val="00A72558"/>
    <w:rsid w:val="00A914BD"/>
    <w:rsid w:val="00AA3622"/>
    <w:rsid w:val="00AB1E29"/>
    <w:rsid w:val="00AC7E41"/>
    <w:rsid w:val="00AE28DE"/>
    <w:rsid w:val="00AF5714"/>
    <w:rsid w:val="00B1109C"/>
    <w:rsid w:val="00B2460F"/>
    <w:rsid w:val="00B30CF7"/>
    <w:rsid w:val="00B34DCE"/>
    <w:rsid w:val="00B52762"/>
    <w:rsid w:val="00B613C9"/>
    <w:rsid w:val="00B70282"/>
    <w:rsid w:val="00B70A7C"/>
    <w:rsid w:val="00B71BC6"/>
    <w:rsid w:val="00B751DC"/>
    <w:rsid w:val="00B75822"/>
    <w:rsid w:val="00B76C04"/>
    <w:rsid w:val="00B80B8C"/>
    <w:rsid w:val="00B83568"/>
    <w:rsid w:val="00B8550D"/>
    <w:rsid w:val="00B86FB9"/>
    <w:rsid w:val="00B91BC2"/>
    <w:rsid w:val="00BA013B"/>
    <w:rsid w:val="00BA6AFC"/>
    <w:rsid w:val="00BA7CD5"/>
    <w:rsid w:val="00BB2626"/>
    <w:rsid w:val="00BE07DF"/>
    <w:rsid w:val="00BE3462"/>
    <w:rsid w:val="00BE7CC2"/>
    <w:rsid w:val="00BF0D90"/>
    <w:rsid w:val="00C04F39"/>
    <w:rsid w:val="00C05E87"/>
    <w:rsid w:val="00C10053"/>
    <w:rsid w:val="00C209DC"/>
    <w:rsid w:val="00C231E0"/>
    <w:rsid w:val="00C27F1C"/>
    <w:rsid w:val="00C57075"/>
    <w:rsid w:val="00C8188E"/>
    <w:rsid w:val="00CA6DE6"/>
    <w:rsid w:val="00CB0E79"/>
    <w:rsid w:val="00CE26FC"/>
    <w:rsid w:val="00CF2A77"/>
    <w:rsid w:val="00D00B54"/>
    <w:rsid w:val="00D13170"/>
    <w:rsid w:val="00D2509B"/>
    <w:rsid w:val="00D311C2"/>
    <w:rsid w:val="00D37CF8"/>
    <w:rsid w:val="00D42E90"/>
    <w:rsid w:val="00D50B33"/>
    <w:rsid w:val="00D651DA"/>
    <w:rsid w:val="00D74CD3"/>
    <w:rsid w:val="00D93A8C"/>
    <w:rsid w:val="00D94EF4"/>
    <w:rsid w:val="00D97864"/>
    <w:rsid w:val="00DA23F0"/>
    <w:rsid w:val="00DB1A5B"/>
    <w:rsid w:val="00DC1BE9"/>
    <w:rsid w:val="00DE103F"/>
    <w:rsid w:val="00DE2135"/>
    <w:rsid w:val="00DE3725"/>
    <w:rsid w:val="00DE3A80"/>
    <w:rsid w:val="00DE7D27"/>
    <w:rsid w:val="00DF70B0"/>
    <w:rsid w:val="00E00C2B"/>
    <w:rsid w:val="00E14603"/>
    <w:rsid w:val="00E15F0D"/>
    <w:rsid w:val="00E34E57"/>
    <w:rsid w:val="00E551CC"/>
    <w:rsid w:val="00E611F1"/>
    <w:rsid w:val="00E64474"/>
    <w:rsid w:val="00E72CA7"/>
    <w:rsid w:val="00E84486"/>
    <w:rsid w:val="00E924E9"/>
    <w:rsid w:val="00EB1C73"/>
    <w:rsid w:val="00EC0D9B"/>
    <w:rsid w:val="00EE5CAC"/>
    <w:rsid w:val="00F17E66"/>
    <w:rsid w:val="00F21F66"/>
    <w:rsid w:val="00F232FF"/>
    <w:rsid w:val="00F34BF3"/>
    <w:rsid w:val="00F406F1"/>
    <w:rsid w:val="00F560E0"/>
    <w:rsid w:val="00F6345D"/>
    <w:rsid w:val="00F85C74"/>
    <w:rsid w:val="00F92042"/>
    <w:rsid w:val="00F976DC"/>
    <w:rsid w:val="00FA2CE5"/>
    <w:rsid w:val="00FC24C7"/>
    <w:rsid w:val="00FC3370"/>
    <w:rsid w:val="00FD34F7"/>
    <w:rsid w:val="00FD6B54"/>
    <w:rsid w:val="00FF0C55"/>
    <w:rsid w:val="1775785A"/>
    <w:rsid w:val="1956D9D2"/>
    <w:rsid w:val="23A1DAF1"/>
    <w:rsid w:val="23DA3E87"/>
    <w:rsid w:val="2CCD05E7"/>
    <w:rsid w:val="4663C8B5"/>
    <w:rsid w:val="55E9D4E7"/>
    <w:rsid w:val="70697FB7"/>
    <w:rsid w:val="7191D35C"/>
    <w:rsid w:val="76E9792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A5BCCB"/>
  <w15:chartTrackingRefBased/>
  <w15:docId w15:val="{8246964D-62D7-48E0-80E5-947F35355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hAnsi="Times New Roman" w:eastAsia="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e" w:default="1">
    <w:name w:val="Normal"/>
    <w:qFormat/>
    <w:rsid w:val="00A42963"/>
    <w:rPr>
      <w:rFonts w:ascii="Arial Narrow" w:hAnsi="Arial Narrow"/>
      <w:sz w:val="22"/>
      <w:szCs w:val="22"/>
    </w:rPr>
  </w:style>
  <w:style w:type="character" w:styleId="Carpredefinitoparagrafo" w:default="1">
    <w:name w:val="Default Paragraph Font"/>
    <w:uiPriority w:val="1"/>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paragraph" w:styleId="Intestazione">
    <w:name w:val="header"/>
    <w:basedOn w:val="Normale"/>
    <w:rsid w:val="0083544C"/>
    <w:pPr>
      <w:tabs>
        <w:tab w:val="center" w:pos="4819"/>
        <w:tab w:val="right" w:pos="9638"/>
      </w:tabs>
    </w:pPr>
  </w:style>
  <w:style w:type="paragraph" w:styleId="Pidipagina">
    <w:name w:val="footer"/>
    <w:basedOn w:val="Normale"/>
    <w:link w:val="PidipaginaCarattere"/>
    <w:uiPriority w:val="99"/>
    <w:rsid w:val="0083544C"/>
    <w:pPr>
      <w:tabs>
        <w:tab w:val="center" w:pos="4819"/>
        <w:tab w:val="right" w:pos="9638"/>
      </w:tabs>
    </w:pPr>
  </w:style>
  <w:style w:type="character" w:styleId="Collegamentoipertestuale">
    <w:name w:val="Hyperlink"/>
    <w:basedOn w:val="Carpredefinitoparagrafo"/>
    <w:rsid w:val="00383873"/>
    <w:rPr>
      <w:color w:val="0000FF"/>
      <w:u w:val="single"/>
    </w:rPr>
  </w:style>
  <w:style w:type="paragraph" w:styleId="cIndirizzo" w:customStyle="1">
    <w:name w:val="cIndirizzo"/>
    <w:basedOn w:val="Normale"/>
    <w:next w:val="Normale"/>
    <w:rsid w:val="00893C53"/>
    <w:pPr>
      <w:ind w:left="6804"/>
    </w:pPr>
  </w:style>
  <w:style w:type="paragraph" w:styleId="cCorteseAttenzione" w:customStyle="1">
    <w:name w:val="cCorteseAttenzione"/>
    <w:basedOn w:val="Normale"/>
    <w:next w:val="cIndirizzo"/>
    <w:rsid w:val="00893C53"/>
    <w:pPr>
      <w:ind w:left="6804"/>
    </w:pPr>
    <w:rPr>
      <w:i/>
    </w:rPr>
  </w:style>
  <w:style w:type="paragraph" w:styleId="cRagioneSociale" w:customStyle="1">
    <w:name w:val="cRagioneSociale"/>
    <w:basedOn w:val="Normale"/>
    <w:next w:val="cCorteseAttenzione"/>
    <w:rsid w:val="00E14603"/>
    <w:pPr>
      <w:spacing w:before="480"/>
      <w:ind w:left="6804"/>
    </w:pPr>
    <w:rPr>
      <w:b/>
    </w:rPr>
  </w:style>
  <w:style w:type="paragraph" w:styleId="cOggetto" w:customStyle="1">
    <w:name w:val="cOggetto"/>
    <w:basedOn w:val="Normale"/>
    <w:next w:val="Normale"/>
    <w:rsid w:val="00893C53"/>
    <w:pPr>
      <w:spacing w:before="480" w:after="360"/>
    </w:pPr>
  </w:style>
  <w:style w:type="paragraph" w:styleId="cElencoPuntato" w:customStyle="1">
    <w:name w:val="cElencoPuntato"/>
    <w:basedOn w:val="Normale"/>
    <w:rsid w:val="00893C53"/>
    <w:pPr>
      <w:numPr>
        <w:numId w:val="1"/>
      </w:numPr>
      <w:tabs>
        <w:tab w:val="clear" w:pos="720"/>
        <w:tab w:val="num" w:pos="360"/>
      </w:tabs>
      <w:ind w:left="360" w:hanging="180"/>
    </w:pPr>
  </w:style>
  <w:style w:type="paragraph" w:styleId="cElencoNumerato" w:customStyle="1">
    <w:name w:val="cElencoNumerato"/>
    <w:basedOn w:val="Normale"/>
    <w:rsid w:val="00893C53"/>
    <w:pPr>
      <w:numPr>
        <w:ilvl w:val="1"/>
        <w:numId w:val="1"/>
      </w:numPr>
      <w:tabs>
        <w:tab w:val="clear" w:pos="1440"/>
        <w:tab w:val="num" w:pos="360"/>
      </w:tabs>
      <w:ind w:left="360" w:hanging="180"/>
    </w:pPr>
  </w:style>
  <w:style w:type="paragraph" w:styleId="cSaluto" w:customStyle="1">
    <w:name w:val="cSaluto"/>
    <w:basedOn w:val="Normale"/>
    <w:next w:val="Normale"/>
    <w:rsid w:val="00DE103F"/>
    <w:pPr>
      <w:spacing w:after="120"/>
    </w:pPr>
    <w:rPr>
      <w:i/>
    </w:rPr>
  </w:style>
  <w:style w:type="paragraph" w:styleId="cFunzioneFirmatario" w:customStyle="1">
    <w:name w:val="cFunzioneFirmatario"/>
    <w:basedOn w:val="Normale"/>
    <w:next w:val="Normale"/>
    <w:rsid w:val="00D00B54"/>
    <w:pPr>
      <w:ind w:left="6804"/>
    </w:pPr>
    <w:rPr>
      <w:i/>
    </w:rPr>
  </w:style>
  <w:style w:type="paragraph" w:styleId="cFirmatario" w:customStyle="1">
    <w:name w:val="cFirmatario"/>
    <w:basedOn w:val="Normale"/>
    <w:next w:val="cFunzioneFirmatario"/>
    <w:rsid w:val="00D00B54"/>
    <w:pPr>
      <w:spacing w:before="480"/>
      <w:ind w:left="6804"/>
    </w:pPr>
  </w:style>
  <w:style w:type="table" w:styleId="Grigliatabella">
    <w:name w:val="Table Grid"/>
    <w:basedOn w:val="Tabellanormale"/>
    <w:rsid w:val="00B751D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umeropagina">
    <w:name w:val="page number"/>
    <w:basedOn w:val="Carpredefinitoparagrafo"/>
    <w:rsid w:val="00B751DC"/>
  </w:style>
  <w:style w:type="paragraph" w:styleId="Paragrafoelenco">
    <w:name w:val="List Paragraph"/>
    <w:basedOn w:val="Normale"/>
    <w:uiPriority w:val="34"/>
    <w:qFormat/>
    <w:rsid w:val="00CA6DE6"/>
    <w:pPr>
      <w:ind w:left="720"/>
      <w:contextualSpacing/>
    </w:pPr>
  </w:style>
  <w:style w:type="character" w:styleId="PidipaginaCarattere" w:customStyle="1">
    <w:name w:val="Piè di pagina Carattere"/>
    <w:basedOn w:val="Carpredefinitoparagrafo"/>
    <w:link w:val="Pidipagina"/>
    <w:uiPriority w:val="99"/>
    <w:rsid w:val="00370626"/>
    <w:rPr>
      <w:rFonts w:ascii="Arial Narrow" w:hAnsi="Arial Narrow"/>
      <w:sz w:val="22"/>
      <w:szCs w:val="22"/>
    </w:rPr>
  </w:style>
  <w:style w:type="character" w:styleId="Collegamentovisitato">
    <w:name w:val="FollowedHyperlink"/>
    <w:basedOn w:val="Carpredefinitoparagrafo"/>
    <w:rsid w:val="00F560E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ceramichegresmalt.sharepoint.com/sites/progettistartvolt/Documenti%20condivisi/S4.Attivit&#224;%20di%20R&amp;S%20-%20OR/1.Piano%20di%20Sviluppo%20Finale/START_Piano_di_Sviluppo_all4_integrato.pdf?CT=1689066917148&amp;OR=ItemsView" TargetMode="External"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COMMERCIALE%20FIORANO\Tesi\2010\Alessandro%20Vitto\Autorizzazione%20Alessandro.dot" TargetMode="External"/></Relationships>
</file>

<file path=word/theme/theme1.xml><?xml version="1.0" encoding="utf-8"?>
<a:theme xmlns:a="http://schemas.openxmlformats.org/drawingml/2006/main" xmlns:thm15="http://schemas.microsoft.com/office/thememl/2012/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2.xml><?xml version="1.0" encoding="utf-8"?>
<ct:contentTypeSchema xmlns:ct="http://schemas.microsoft.com/office/2006/metadata/contentType" xmlns:ma="http://schemas.microsoft.com/office/2006/metadata/properties/metaAttributes" ct:_="" ma:_="" ma:contentTypeName="Documento" ma:contentTypeID="0x0101000CC961CE0EB86C4BAF5FBA22B52F24DB" ma:contentTypeVersion="17" ma:contentTypeDescription="Creare un nuovo documento." ma:contentTypeScope="" ma:versionID="0a5f7229cbb106ba2abe7c95b092b442">
  <xsd:schema xmlns:xsd="http://www.w3.org/2001/XMLSchema" xmlns:xs="http://www.w3.org/2001/XMLSchema" xmlns:p="http://schemas.microsoft.com/office/2006/metadata/properties" xmlns:ns2="56f694ce-0d8d-4140-af7b-51105567e791" xmlns:ns3="ad955218-927d-446f-bd94-718ac5e6255c" targetNamespace="http://schemas.microsoft.com/office/2006/metadata/properties" ma:root="true" ma:fieldsID="5e0b6d1355d1909234ea1c3671f66232" ns2:_="" ns3:_="">
    <xsd:import namespace="56f694ce-0d8d-4140-af7b-51105567e791"/>
    <xsd:import namespace="ad955218-927d-446f-bd94-718ac5e6255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f694ce-0d8d-4140-af7b-51105567e7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 immagine" ma:readOnly="false" ma:fieldId="{5cf76f15-5ced-4ddc-b409-7134ff3c332f}" ma:taxonomyMulti="true" ma:sspId="a3126849-ed39-4324-a057-c3f9becfefc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955218-927d-446f-bd94-718ac5e6255c" elementFormDefault="qualified">
    <xsd:import namespace="http://schemas.microsoft.com/office/2006/documentManagement/types"/>
    <xsd:import namespace="http://schemas.microsoft.com/office/infopath/2007/PartnerControls"/>
    <xsd:element name="SharedWithUsers" ma:index="10"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ondiviso con dettagli" ma:internalName="SharedWithDetails" ma:readOnly="true">
      <xsd:simpleType>
        <xsd:restriction base="dms:Note">
          <xsd:maxLength value="255"/>
        </xsd:restriction>
      </xsd:simpleType>
    </xsd:element>
    <xsd:element name="TaxCatchAll" ma:index="22" nillable="true" ma:displayName="Taxonomy Catch All Column" ma:hidden="true" ma:list="{2aca5ff2-35fa-4634-855e-35521b5f5a05}" ma:internalName="TaxCatchAll" ma:showField="CatchAllData" ma:web="ad955218-927d-446f-bd94-718ac5e625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6f694ce-0d8d-4140-af7b-51105567e791">
      <Terms xmlns="http://schemas.microsoft.com/office/infopath/2007/PartnerControls"/>
    </lcf76f155ced4ddcb4097134ff3c332f>
    <TaxCatchAll xmlns="ad955218-927d-446f-bd94-718ac5e6255c" xsi:nil="true"/>
  </documentManagement>
</p:properties>
</file>

<file path=customXml/itemProps1.xml><?xml version="1.0" encoding="utf-8"?>
<ds:datastoreItem xmlns:ds="http://schemas.openxmlformats.org/officeDocument/2006/customXml" ds:itemID="{BB0AA0DE-F95E-48A6-A386-1FF17D0AB3F2}">
  <ds:schemaRefs>
    <ds:schemaRef ds:uri="http://schemas.openxmlformats.org/officeDocument/2006/bibliography"/>
  </ds:schemaRefs>
</ds:datastoreItem>
</file>

<file path=customXml/itemProps2.xml><?xml version="1.0" encoding="utf-8"?>
<ds:datastoreItem xmlns:ds="http://schemas.openxmlformats.org/officeDocument/2006/customXml" ds:itemID="{F5A8B1E8-67FC-48F3-80DE-6E09F3797C2A}"/>
</file>

<file path=customXml/itemProps3.xml><?xml version="1.0" encoding="utf-8"?>
<ds:datastoreItem xmlns:ds="http://schemas.openxmlformats.org/officeDocument/2006/customXml" ds:itemID="{CC107ABC-960D-44AD-BFCA-9ECF2E83289D}">
  <ds:schemaRefs>
    <ds:schemaRef ds:uri="http://schemas.microsoft.com/sharepoint/v3/contenttype/forms"/>
  </ds:schemaRefs>
</ds:datastoreItem>
</file>

<file path=customXml/itemProps4.xml><?xml version="1.0" encoding="utf-8"?>
<ds:datastoreItem xmlns:ds="http://schemas.openxmlformats.org/officeDocument/2006/customXml" ds:itemID="{673B02D6-3A44-4F96-A66F-28D9C110DA91}">
  <ds:schemaRefs>
    <ds:schemaRef ds:uri="http://schemas.openxmlformats.org/package/2006/metadata/core-properties"/>
    <ds:schemaRef ds:uri="http://purl.org/dc/dcmitype/"/>
    <ds:schemaRef ds:uri="http://schemas.microsoft.com/office/2006/metadata/properties"/>
    <ds:schemaRef ds:uri="http://schemas.microsoft.com/office/2006/documentManagement/types"/>
    <ds:schemaRef ds:uri="http://schemas.microsoft.com/office/infopath/2007/PartnerControls"/>
    <ds:schemaRef ds:uri="ad955218-927d-446f-bd94-718ac5e6255c"/>
    <ds:schemaRef ds:uri="56f694ce-0d8d-4140-af7b-51105567e791"/>
    <ds:schemaRef ds:uri="http://www.w3.org/XML/1998/namespace"/>
    <ds:schemaRef ds:uri="http://purl.org/dc/terms/"/>
    <ds:schemaRef ds:uri="http://purl.org/dc/elements/1.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Autorizzazione Alessandro</ap:Template>
  <ap:Application>Microsoft Word for the web</ap:Application>
  <ap:DocSecurity>0</ap:DocSecurity>
  <ap:ScaleCrop>false</ap:ScaleCrop>
  <ap:Company>Proelia Sistemi Srl</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Ragione Sociale</dc:title>
  <dc:subject/>
  <dc:creator>Settembre Davide</dc:creator>
  <cp:keywords/>
  <dc:description/>
  <cp:lastModifiedBy>Luca Iattici</cp:lastModifiedBy>
  <cp:revision>81</cp:revision>
  <cp:lastPrinted>2018-04-19T13:54:00Z</cp:lastPrinted>
  <dcterms:created xsi:type="dcterms:W3CDTF">2018-04-19T13:56:00Z</dcterms:created>
  <dcterms:modified xsi:type="dcterms:W3CDTF">2025-09-25T14:00:07Z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0x0101000CC961CE0EB86C4BAF5FBA22B52F24DB</vt:lpwstr>
  </property>
  <property fmtid="{D5CDD505-2E9C-101B-9397-08002B2CF9AE}" pid="3" name="MediaServiceImageTags">
    <vt:lpwstr/>
  </property>
  <property fmtid="{D5CDD505-2E9C-101B-9397-08002B2CF9AE}" pid="5" name="docLang">
    <vt:lpwstr>it</vt:lpwstr>
  </property>
</Properties>
</file>