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svg1.svg" ContentType="image/svg+xml"/>
  <Override PartName="/word/media/svg10.svg" ContentType="image/svg+xml"/>
  <Override PartName="/word/media/svg11.svg" ContentType="image/svg+xml"/>
  <Override PartName="/word/media/svg12.svg" ContentType="image/svg+xml"/>
  <Override PartName="/word/media/svg13.svg" ContentType="image/svg+xml"/>
  <Override PartName="/word/media/svg14.svg" ContentType="image/svg+xml"/>
  <Override PartName="/word/media/svg15.svg" ContentType="image/svg+xml"/>
  <Override PartName="/word/media/svg16.svg" ContentType="image/svg+xml"/>
  <Override PartName="/word/media/svg17.svg" ContentType="image/svg+xml"/>
  <Override PartName="/word/media/svg18.svg" ContentType="image/svg+xml"/>
  <Override PartName="/word/media/svg19.svg" ContentType="image/svg+xml"/>
  <Override PartName="/word/media/svg2.svg" ContentType="image/svg+xml"/>
  <Override PartName="/word/media/svg20.svg" ContentType="image/svg+xml"/>
  <Override PartName="/word/media/svg21.svg" ContentType="image/svg+xml"/>
  <Override PartName="/word/media/svg22.svg" ContentType="image/svg+xml"/>
  <Override PartName="/word/media/svg23.svg" ContentType="image/svg+xml"/>
  <Override PartName="/word/media/svg24.svg" ContentType="image/svg+xml"/>
  <Override PartName="/word/media/svg25.svg" ContentType="image/svg+xml"/>
  <Override PartName="/word/media/svg26.svg" ContentType="image/svg+xml"/>
  <Override PartName="/word/media/svg27.svg" ContentType="image/svg+xml"/>
  <Override PartName="/word/media/svg3.svg" ContentType="image/svg+xml"/>
  <Override PartName="/word/media/svg4.svg" ContentType="image/svg+xml"/>
  <Override PartName="/word/media/svg5.svg" ContentType="image/svg+xml"/>
  <Override PartName="/word/media/svg6.svg" ContentType="image/svg+xml"/>
  <Override PartName="/word/media/svg7.svg" ContentType="image/svg+xml"/>
  <Override PartName="/word/media/svg8.svg" ContentType="image/svg+xml"/>
  <Override PartName="/word/media/svg9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3" w:name="X3d3aa2ba8654d3710fa6e88f18d7705f2c93969"/>
    <w:p>
      <w:pPr>
        <w:pStyle w:val="Heading1"/>
      </w:pPr>
      <w:r>
        <w:t xml:space="preserve">Product Technological Sustainability Assessment (P-TSA)</w:t>
      </w:r>
    </w:p>
    <w:p>
      <w:pPr>
        <w:pStyle w:val="FirstParagraph"/>
      </w:pPr>
      <w:r>
        <w:rPr>
          <w:b/>
          <w:bCs/>
        </w:rPr>
        <w:t xml:space="preserve">Relazione Parziale N°:</w:t>
      </w:r>
      <w:r>
        <w:t xml:space="preserve"> </w:t>
      </w:r>
      <w:r>
        <w:t xml:space="preserve">RP7.4</w:t>
      </w:r>
    </w:p>
    <w:p>
      <w:pPr>
        <w:pStyle w:val="BodyText"/>
      </w:pPr>
      <w:r>
        <w:rPr>
          <w:b/>
          <w:bCs/>
        </w:rPr>
        <w:t xml:space="preserve">Versione del Documento:</w:t>
      </w:r>
      <w:r>
        <w:t xml:space="preserve"> </w:t>
      </w:r>
      <w:r>
        <w:t xml:space="preserve">RV.1</w:t>
      </w:r>
    </w:p>
    <w:p>
      <w:pPr>
        <w:pStyle w:val="BodyText"/>
      </w:pPr>
      <w:r>
        <w:rPr>
          <w:b/>
          <w:bCs/>
        </w:rPr>
        <w:t xml:space="preserve">Data di Revisione del Documento:</w:t>
      </w:r>
      <w:r>
        <w:t xml:space="preserve"> </w:t>
      </w:r>
      <w:r>
        <w:t xml:space="preserve">07.08.2026</w:t>
      </w:r>
    </w:p>
    <w:p>
      <w:pPr>
        <w:pStyle w:val="BodyText"/>
      </w:pPr>
      <w:r>
        <w:rPr>
          <w:b/>
          <w:bCs/>
        </w:rPr>
        <w:t xml:space="preserve">Responsabilità:</w:t>
      </w:r>
      <w:r>
        <w:t xml:space="preserve"> </w:t>
      </w:r>
      <w:r>
        <w:t xml:space="preserve">Gresmalt — Capofila</w:t>
      </w:r>
    </w:p>
    <w:bookmarkStart w:id="89" w:name="introduzione"/>
    <w:p>
      <w:pPr>
        <w:pStyle w:val="Heading2"/>
      </w:pPr>
      <w:r>
        <w:t xml:space="preserve">1. INTRODUZIONE</w:t>
      </w:r>
    </w:p>
    <w:bookmarkStart w:id="86" w:name="inquadramento-dellattività"/>
    <w:p>
      <w:pPr>
        <w:pStyle w:val="Heading3"/>
      </w:pPr>
      <w:r>
        <w:t xml:space="preserve">1.1 Inquadramento dell’attività</w:t>
      </w:r>
    </w:p>
    <w:p>
      <w:pPr>
        <w:pStyle w:val="FirstParagraph"/>
      </w:pPr>
      <w:r>
        <w:t xml:space="preserve">L’attività 7.4 costituisce la naturale estensione, sul piano del</w:t>
      </w:r>
      <w:r>
        <w:t xml:space="preserve"> </w:t>
      </w:r>
      <w:r>
        <w:rPr>
          <w:b/>
          <w:bCs/>
        </w:rPr>
        <w:t xml:space="preserve">prodotto</w:t>
      </w:r>
      <w:r>
        <w:t xml:space="preserve">, del</w:t>
      </w:r>
      <w:r>
        <w:t xml:space="preserve"> </w:t>
      </w:r>
      <w:r>
        <w:t xml:space="preserve">percorso di misurazione della sostenibilità tecnologica che il progetto START ha</w:t>
      </w:r>
      <w:r>
        <w:t xml:space="preserve"> </w:t>
      </w:r>
      <w:r>
        <w:t xml:space="preserve">sviluppato a livello di</w:t>
      </w:r>
      <w:r>
        <w:t xml:space="preserve"> </w:t>
      </w:r>
      <w:r>
        <w:rPr>
          <w:b/>
          <w:bCs/>
        </w:rPr>
        <w:t xml:space="preserve">processo/fabbrica</w:t>
      </w:r>
      <w:r>
        <w:t xml:space="preserve"> </w:t>
      </w:r>
      <w:r>
        <w:t xml:space="preserve">con l’attività 7.3. Mentre l’OR7.3</w:t>
      </w:r>
      <w:r>
        <w:t xml:space="preserve"> </w:t>
      </w:r>
      <w:r>
        <w:t xml:space="preserve">determina, attraverso l’</w:t>
      </w:r>
      <w:r>
        <w:rPr>
          <w:i/>
          <w:iCs/>
        </w:rPr>
        <w:t xml:space="preserve">Extended Exergy Accounting Plus</w:t>
      </w:r>
      <w:r>
        <w:t xml:space="preserve"> </w:t>
      </w:r>
      <w:r>
        <w:t xml:space="preserve">(EEA+), un indice</w:t>
      </w:r>
      <w:r>
        <w:t xml:space="preserve"> </w:t>
      </w:r>
      <w:r>
        <w:t xml:space="preserve">termodinamico di sostenibilità (TSI) che sintetizza le prestazioni ambientali,</w:t>
      </w:r>
      <w:r>
        <w:t xml:space="preserve"> </w:t>
      </w:r>
      <w:r>
        <w:t xml:space="preserve">economiche, sociali e tecnologiche del sistema produttivo, l’OR7.4 sposta il</w:t>
      </w:r>
      <w:r>
        <w:t xml:space="preserve"> </w:t>
      </w:r>
      <w:r>
        <w:t xml:space="preserve">fuoco di analisi sul manufatto ceramico e ne quantifica la</w:t>
      </w:r>
      <w:r>
        <w:t xml:space="preserve"> </w:t>
      </w:r>
      <w:r>
        <w:rPr>
          <w:b/>
          <w:bCs/>
        </w:rPr>
        <w:t xml:space="preserve">sostenibilità</w:t>
      </w:r>
      <w:r>
        <w:rPr>
          <w:b/>
          <w:bCs/>
        </w:rPr>
        <w:t xml:space="preserve"> </w:t>
      </w:r>
      <w:r>
        <w:rPr>
          <w:b/>
          <w:bCs/>
        </w:rPr>
        <w:t xml:space="preserve">tecnologica</w:t>
      </w:r>
      <w:r>
        <w:t xml:space="preserve">, ossia la capacità del sistema-prodotto di mantenere nel tempo</w:t>
      </w:r>
      <w:r>
        <w:t xml:space="preserve"> </w:t>
      </w:r>
      <w:r>
        <w:t xml:space="preserve">prestazioni operative e conformità normativa lungo l’intera catena del valore.</w:t>
      </w:r>
    </w:p>
    <w:p>
      <w:pPr>
        <w:pStyle w:val="BodyText"/>
      </w:pPr>
      <w:r>
        <w:t xml:space="preserve">Il Piano di Sviluppo assegna all’attività l’applicazione della metodologia</w:t>
      </w:r>
      <w:r>
        <w:t xml:space="preserve"> </w:t>
      </w:r>
      <w:r>
        <w:rPr>
          <w:b/>
          <w:bCs/>
        </w:rPr>
        <w:t xml:space="preserve">P-TSA</w:t>
      </w:r>
      <w:r>
        <w:t xml:space="preserve"> </w:t>
      </w:r>
      <w:r>
        <w:t xml:space="preserve">secondo l’approccio del ciclo di vita (</w:t>
      </w:r>
      <w:r>
        <w:rPr>
          <w:i/>
          <w:iCs/>
        </w:rPr>
        <w:t xml:space="preserve">Life Cycle Thinking</w:t>
      </w:r>
      <w:r>
        <w:t xml:space="preserve">, LCT) e lo</w:t>
      </w:r>
      <w:r>
        <w:t xml:space="preserve"> </w:t>
      </w:r>
      <w:r>
        <w:t xml:space="preserve">schema operativo della norma</w:t>
      </w:r>
      <w:r>
        <w:t xml:space="preserve"> </w:t>
      </w:r>
      <w:r>
        <w:rPr>
          <w:b/>
          <w:bCs/>
        </w:rPr>
        <w:t xml:space="preserve">ISO 14040</w:t>
      </w:r>
      <w:r>
        <w:t xml:space="preserve">, adottando una prospettiva di supply</w:t>
      </w:r>
      <w:r>
        <w:t xml:space="preserve"> </w:t>
      </w:r>
      <w:r>
        <w:t xml:space="preserve">chain</w:t>
      </w:r>
      <w:r>
        <w:t xml:space="preserve"> </w:t>
      </w:r>
      <w:r>
        <w:rPr>
          <w:b/>
          <w:bCs/>
        </w:rPr>
        <w:t xml:space="preserve">cradle-to-grave</w:t>
      </w:r>
      <w:r>
        <w:t xml:space="preserve">. La sostenibilità tecnologica del prodotto è misurata</w:t>
      </w:r>
      <w:r>
        <w:t xml:space="preserve"> </w:t>
      </w:r>
      <w:r>
        <w:t xml:space="preserve">rispetto a tre categorie d’impatto tecnologico —</w:t>
      </w:r>
      <w:r>
        <w:t xml:space="preserve"> </w:t>
      </w:r>
      <w:r>
        <w:rPr>
          <w:b/>
          <w:bCs/>
        </w:rPr>
        <w:t xml:space="preserve">In-/Outputs Availability</w:t>
      </w:r>
      <w:r>
        <w:rPr>
          <w:b/>
          <w:bCs/>
        </w:rPr>
        <w:t xml:space="preserve"> </w:t>
      </w:r>
      <w:r>
        <w:rPr>
          <w:b/>
          <w:bCs/>
        </w:rPr>
        <w:t xml:space="preserve">(IOA)</w:t>
      </w:r>
      <w:r>
        <w:t xml:space="preserve">,</w:t>
      </w:r>
      <w:r>
        <w:t xml:space="preserve"> </w:t>
      </w:r>
      <w:r>
        <w:rPr>
          <w:b/>
          <w:bCs/>
        </w:rPr>
        <w:t xml:space="preserve">Operational Performance (OP)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Technical Quality (TQ)</w:t>
      </w:r>
      <w:r>
        <w:t xml:space="preserve"> </w:t>
      </w:r>
      <w:r>
        <w:t xml:space="preserve">— combinando</w:t>
      </w:r>
      <w:r>
        <w:t xml:space="preserve"> </w:t>
      </w:r>
      <w:r>
        <w:t xml:space="preserve">metriche elementari in indicatori e, per aggregazione e normalizzazione, in un</w:t>
      </w:r>
      <w:r>
        <w:t xml:space="preserve"> </w:t>
      </w:r>
      <w:r>
        <w:t xml:space="preserve">indice sintetico, il</w:t>
      </w:r>
      <w:r>
        <w:t xml:space="preserve"> </w:t>
      </w:r>
      <w:r>
        <w:rPr>
          <w:b/>
          <w:bCs/>
        </w:rPr>
        <w:t xml:space="preserve">Product Technology Sustainability Index (P-TSI)</w:t>
      </w:r>
      <w:r>
        <w:t xml:space="preserve">.</w:t>
      </w:r>
    </w:p>
    <w:p>
      <w:pPr>
        <w:pStyle w:val="BodyText"/>
      </w:pPr>
      <w:r>
        <w:t xml:space="preserve">L’impostazione teorica di riferimento è quella di Vacchi et al. (2021)</w:t>
      </w:r>
      <w:r>
        <w:rPr>
          <w:rStyle w:val="FootnoteReference"/>
        </w:rPr>
        <w:footnoteReference w:id="84"/>
      </w:r>
      <w:r>
        <w:t xml:space="preserve">, che ha</w:t>
      </w:r>
      <w:r>
        <w:t xml:space="preserve"> </w:t>
      </w:r>
      <w:r>
        <w:t xml:space="preserve">introdotto la visione quadridimensionale della sostenibilità (ambientale,</w:t>
      </w:r>
      <w:r>
        <w:t xml:space="preserve"> </w:t>
      </w:r>
      <w:r>
        <w:t xml:space="preserve">economica, sociale e</w:t>
      </w:r>
      <w:r>
        <w:t xml:space="preserve"> </w:t>
      </w:r>
      <w:r>
        <w:rPr>
          <w:b/>
          <w:bCs/>
        </w:rPr>
        <w:t xml:space="preserve">tecnologica</w:t>
      </w:r>
      <w:r>
        <w:t xml:space="preserve">) e ha formalizzato il P-TSA come declinazione</w:t>
      </w:r>
      <w:r>
        <w:t xml:space="preserve"> </w:t>
      </w:r>
      <w:r>
        <w:t xml:space="preserve">“di prodotto/processo”</w:t>
      </w:r>
      <w:r>
        <w:t xml:space="preserve"> </w:t>
      </w:r>
      <w:r>
        <w:t xml:space="preserve">della</w:t>
      </w:r>
      <w:r>
        <w:t xml:space="preserve"> </w:t>
      </w:r>
      <w:r>
        <w:rPr>
          <w:i/>
          <w:iCs/>
        </w:rPr>
        <w:t xml:space="preserve">Technological Sustainability Assessment</w:t>
      </w:r>
      <w:r>
        <w:t xml:space="preserve">; la</w:t>
      </w:r>
      <w:r>
        <w:t xml:space="preserve"> </w:t>
      </w:r>
      <w:r>
        <w:t xml:space="preserve">validazione operativa data-driven del quadro (variante organizzativa O-TSA) è</w:t>
      </w:r>
      <w:r>
        <w:t xml:space="preserve"> </w:t>
      </w:r>
      <w:r>
        <w:t xml:space="preserve">documentata in Vacchi, Settembre-Blundo et al. (2025)</w:t>
      </w:r>
      <w:r>
        <w:rPr>
          <w:rStyle w:val="FootnoteReference"/>
        </w:rPr>
        <w:footnoteReference w:id="85"/>
      </w:r>
      <w:r>
        <w:t xml:space="preserve">.</w:t>
      </w:r>
    </w:p>
    <w:bookmarkEnd w:id="86"/>
    <w:bookmarkStart w:id="87" w:name="baseline-e-scopi-dellattività"/>
    <w:p>
      <w:pPr>
        <w:pStyle w:val="Heading3"/>
      </w:pPr>
      <w:r>
        <w:t xml:space="preserve">1.2 Baseline e scopi dell’attività</w:t>
      </w:r>
    </w:p>
    <w:p>
      <w:pPr>
        <w:pStyle w:val="FirstParagraph"/>
      </w:pPr>
      <w:r>
        <w:t xml:space="preserve">La baseline di progetto è nulla (</w:t>
      </w:r>
      <m:oMath>
        <m:r>
          <m:t>0.0</m:t>
        </m:r>
      </m:oMath>
      <w:r>
        <w:t xml:space="preserve">) per tutti i KPI: nessun indicatore o</w:t>
      </w:r>
      <w:r>
        <w:t xml:space="preserve"> </w:t>
      </w:r>
      <w:r>
        <w:t xml:space="preserve">indice di sostenibilità tecnologica di prodotto era disponibile prima</w:t>
      </w:r>
      <w:r>
        <w:t xml:space="preserve"> </w:t>
      </w:r>
      <w:r>
        <w:t xml:space="preserve">dell’attività. Gli obiettivi quantitativi sono due:</w:t>
      </w:r>
    </w:p>
    <w:p>
      <w:pPr>
        <w:pStyle w:val="Compact"/>
        <w:numPr>
          <w:ilvl w:val="0"/>
          <w:numId w:val="1001"/>
        </w:numPr>
      </w:pPr>
      <w:r>
        <w:t xml:space="preserve">la determinazione,</w:t>
      </w:r>
      <w:r>
        <w:t xml:space="preserve"> </w:t>
      </w:r>
      <w:r>
        <w:rPr>
          <w:b/>
          <w:bCs/>
        </w:rPr>
        <w:t xml:space="preserve">per tre tipologie di prodotto</w:t>
      </w:r>
      <w:r>
        <w:t xml:space="preserve">, di un indicatore per</w:t>
      </w:r>
      <w:r>
        <w:t xml:space="preserve"> </w:t>
      </w:r>
      <w:r>
        <w:t xml:space="preserve">ciascuna categoria d’impatto — lo</w:t>
      </w:r>
      <w:r>
        <w:t xml:space="preserve"> </w:t>
      </w:r>
      <w:r>
        <w:rPr>
          <w:i/>
          <w:iCs/>
        </w:rPr>
        <w:t xml:space="preserve">Stock Coverage Rate</w:t>
      </w:r>
      <w:r>
        <w:t xml:space="preserve"> </w:t>
      </w:r>
      <w:r>
        <w:t xml:space="preserve">(SCR) per la IOA, il</w:t>
      </w:r>
      <w:r>
        <w:t xml:space="preserve"> </w:t>
      </w:r>
      <w:r>
        <w:rPr>
          <w:i/>
          <w:iCs/>
        </w:rPr>
        <w:t xml:space="preserve">Productivity Indicator</w:t>
      </w:r>
      <w:r>
        <w:t xml:space="preserve"> </w:t>
      </w:r>
      <w:r>
        <w:t xml:space="preserve">(PsI) per la OP e l’</w:t>
      </w:r>
      <w:r>
        <w:rPr>
          <w:i/>
          <w:iCs/>
        </w:rPr>
        <w:t xml:space="preserve">Output Conformity Rate</w:t>
      </w:r>
      <w:r>
        <w:t xml:space="preserve"> </w:t>
      </w:r>
      <w:r>
        <w:t xml:space="preserve">(OCR) per</w:t>
      </w:r>
      <w:r>
        <w:t xml:space="preserve"> </w:t>
      </w:r>
      <w:r>
        <w:t xml:space="preserve">la TQ;</w:t>
      </w:r>
    </w:p>
    <w:p>
      <w:pPr>
        <w:pStyle w:val="Compact"/>
        <w:numPr>
          <w:ilvl w:val="0"/>
          <w:numId w:val="1001"/>
        </w:numPr>
      </w:pPr>
      <w:r>
        <w:t xml:space="preserve">la costruzione,</w:t>
      </w:r>
      <w:r>
        <w:t xml:space="preserve"> </w:t>
      </w:r>
      <w:r>
        <w:rPr>
          <w:b/>
          <w:bCs/>
        </w:rPr>
        <w:t xml:space="preserve">per le tre tipologie</w:t>
      </w:r>
      <w:r>
        <w:t xml:space="preserve">, dell’indice sintetico normalizzato</w:t>
      </w:r>
      <w:r>
        <w:t xml:space="preserve"> </w:t>
      </w:r>
      <w:r>
        <w:rPr>
          <w:b/>
          <w:bCs/>
        </w:rPr>
        <w:t xml:space="preserve">P-TSI</w:t>
      </w:r>
      <w:r>
        <w:t xml:space="preserve">.</w:t>
      </w:r>
    </w:p>
    <w:p>
      <w:pPr>
        <w:pStyle w:val="FirstParagraph"/>
      </w:pPr>
      <w:r>
        <w:t xml:space="preserve">Le tre tipologie sono definite dalle</w:t>
      </w:r>
      <w:r>
        <w:t xml:space="preserve"> </w:t>
      </w:r>
      <w:r>
        <w:rPr>
          <w:b/>
          <w:bCs/>
        </w:rPr>
        <w:t xml:space="preserve">Environmental Product Declaration (EPD)</w:t>
      </w:r>
      <w:r>
        <w:t xml:space="preserve"> </w:t>
      </w:r>
      <w:r>
        <w:t xml:space="preserve">di gruppo, redatte secondo ISO 14025 ed EN 15804+A2 e verificate da terza parte</w:t>
      </w:r>
      <w:r>
        <w:t xml:space="preserve"> </w:t>
      </w:r>
      <w:r>
        <w:t xml:space="preserve">(EPDItaly). Esse coprono un gradiente di spessore e massa e due dei tre</w:t>
      </w:r>
      <w:r>
        <w:t xml:space="preserve"> </w:t>
      </w:r>
      <w:r>
        <w:t xml:space="preserve">stabilimenti del gruppo:</w:t>
      </w:r>
    </w:p>
    <w:p>
      <w:pPr>
        <w:pStyle w:val="TableCaption"/>
      </w:pPr>
      <w:r>
        <w:rPr>
          <w:b/>
          <w:bCs/>
        </w:rPr>
        <w:t xml:space="preserve">Tabella 1</w:t>
      </w:r>
      <w:r>
        <w:t xml:space="preserve"> </w:t>
      </w:r>
      <w:r>
        <w:t xml:space="preserve">— Le tre tipologie di prodotto (fonte: EPD). Gres porcellanato smaltato gruppo BIa (assorbimento d’acqua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%</m:t>
        </m:r>
      </m:oMath>
      <w:r>
        <w:t xml:space="preserve">, ISO 10545-3), conformi a EN 14411 (ISO 13006), cottura 1210–1230 °C. Unità dichiarata degli EPD:</w:t>
      </w:r>
      <w:r>
        <w:t xml:space="preserve"> </w:t>
      </w:r>
      <m:oMath>
        <m:r>
          <m:t>1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per 1 anno; periodo dati luglio 2023 – giugno 2024.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ella 1 — Le tre tipologie di prodotto (fonte: EPD). Gres porcellanato smaltato gruppo BIa (assorbimento d’acqua \le 0{,}5\%, ISO 10545-3), conformi a EN 14411 (ISO 13006), cottura 1210–1230 °C. Unità dichiarata degli EPD: 1\ \mathrm{m^2} per 1 anno; periodo dati luglio 2023 – giugno 2024."/>
      </w:tblPr>
      <w:tblGrid>
        <w:gridCol w:w="1131"/>
        <w:gridCol w:w="1508"/>
        <w:gridCol w:w="1508"/>
        <w:gridCol w:w="1131"/>
        <w:gridCol w:w="1508"/>
        <w:gridCol w:w="1131"/>
      </w:tblGrid>
      <w:tr>
        <w:trPr>
          <w:tblHeader w:val="on"/>
        </w:trPr>
        <w:tc>
          <w:tcPr>
            <w:shd w:val="clear" w:color="auto" w:fill="0B5A3C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Tipologia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Spessore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Massa (unità dichiarata)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Stabilimento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Gruppo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Uso tipico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7,4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13,98 kg/m²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D060 Scandiano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interni, alleggerito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8,2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16,05 kg/m²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D060 Scandiano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interni/esterni, 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20,0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41,79 kg/m²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D240 Frassinoro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esterni/outdoor, spessorato</w:t>
            </w:r>
          </w:p>
        </w:tc>
      </w:tr>
    </w:tbl>
    <w:bookmarkEnd w:id="87"/>
    <w:bookmarkStart w:id="88" w:name="interdipendenze-progettuali"/>
    <w:p>
      <w:pPr>
        <w:pStyle w:val="Heading3"/>
      </w:pPr>
      <w:r>
        <w:t xml:space="preserve">1.3 Interdipendenze progettuali</w:t>
      </w:r>
    </w:p>
    <w:p>
      <w:pPr>
        <w:pStyle w:val="FirstParagraph"/>
      </w:pPr>
      <w:r>
        <w:t xml:space="preserve">L’attività si colloca al crocevia di due linee del progetto. Sul versante del dato</w:t>
      </w:r>
      <w:r>
        <w:t xml:space="preserve"> </w:t>
      </w:r>
      <w:r>
        <w:t xml:space="preserve">dipende da OR6.8 e OR6.9 (segmentazione e progettazione data-driven del</w:t>
      </w:r>
      <w:r>
        <w:t xml:space="preserve"> </w:t>
      </w:r>
      <w:r>
        <w:t xml:space="preserve">portafoglio prodotti) e da OR7.1–7.2 (collaudo dell’infrastruttura Edge-to-Cloud,</w:t>
      </w:r>
      <w:r>
        <w:t xml:space="preserve"> </w:t>
      </w:r>
      <w:r>
        <w:t xml:space="preserve">E2C, impiegata come sorgente operativa). Sul versante metodologico condivide con</w:t>
      </w:r>
      <w:r>
        <w:t xml:space="preserve"> </w:t>
      </w:r>
      <w:r>
        <w:t xml:space="preserve">OR7.3 l’impianto di ponderazione (AHP), i controlli di qualità del dato e la</w:t>
      </w:r>
      <w:r>
        <w:t xml:space="preserve"> </w:t>
      </w:r>
      <w:r>
        <w:t xml:space="preserve">logica di calcolo. A valle, il P-TSI è — insieme all’EEA+ Index di OR7.3 — uno dei</w:t>
      </w:r>
      <w:r>
        <w:t xml:space="preserve"> </w:t>
      </w:r>
      <w:r>
        <w:t xml:space="preserve">due KPI del</w:t>
      </w:r>
      <w:r>
        <w:t xml:space="preserve"> </w:t>
      </w:r>
      <w:r>
        <w:rPr>
          <w:b/>
          <w:bCs/>
        </w:rPr>
        <w:t xml:space="preserve">collaudo della Intelligent Industry (OR7.8)</w:t>
      </w:r>
      <w:r>
        <w:t xml:space="preserve"> </w:t>
      </w:r>
      <w:r>
        <w:t xml:space="preserve">e concorre alla</w:t>
      </w:r>
      <w:r>
        <w:t xml:space="preserve"> </w:t>
      </w:r>
      <w:r>
        <w:t xml:space="preserve">caratterizzazione tecnologica dei prototipi di collezione ceramica di OR7.9,</w:t>
      </w:r>
      <w:r>
        <w:t xml:space="preserve"> </w:t>
      </w:r>
      <w:r>
        <w:t xml:space="preserve">fornendo così un contributo diretto al Risultato Finale RF7.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101" w:name="metodologia"/>
    <w:p>
      <w:pPr>
        <w:pStyle w:val="Heading2"/>
      </w:pPr>
      <w:r>
        <w:t xml:space="preserve">2. METODOLOGIA</w:t>
      </w:r>
    </w:p>
    <w:bookmarkStart w:id="90" w:name="Xaffa6f88de35cba920de798f87724ed919f0471"/>
    <w:p>
      <w:pPr>
        <w:pStyle w:val="Heading3"/>
      </w:pPr>
      <w:r>
        <w:t xml:space="preserve">2.1 Perché una valutazione</w:t>
      </w:r>
      <w:r>
        <w:t xml:space="preserve"> </w:t>
      </w:r>
      <w:r>
        <w:rPr>
          <w:i/>
          <w:iCs/>
        </w:rPr>
        <w:t xml:space="preserve">tecnologica</w:t>
      </w:r>
      <w:r>
        <w:t xml:space="preserve"> </w:t>
      </w:r>
      <w:r>
        <w:t xml:space="preserve">del prodotto secondo ISO 14040</w:t>
      </w:r>
    </w:p>
    <w:p>
      <w:pPr>
        <w:pStyle w:val="FirstParagraph"/>
      </w:pPr>
      <w:r>
        <w:t xml:space="preserve">La letteratura e la prassi industriale misurano in modo consolidato le dimensioni</w:t>
      </w:r>
      <w:r>
        <w:t xml:space="preserve"> </w:t>
      </w:r>
      <w:r>
        <w:t xml:space="preserve">ambientale (con la</w:t>
      </w:r>
      <w:r>
        <w:t xml:space="preserve"> </w:t>
      </w:r>
      <w:r>
        <w:rPr>
          <w:i/>
          <w:iCs/>
        </w:rPr>
        <w:t xml:space="preserve">Life Cycle Assessment</w:t>
      </w:r>
      <w:r>
        <w:t xml:space="preserve">, LCA, ISO 14040/44), economica e</w:t>
      </w:r>
      <w:r>
        <w:t xml:space="preserve"> </w:t>
      </w:r>
      <w:r>
        <w:t xml:space="preserve">sociale della sostenibilità, ma trattano la</w:t>
      </w:r>
      <w:r>
        <w:t xml:space="preserve"> </w:t>
      </w:r>
      <w:r>
        <w:rPr>
          <w:b/>
          <w:bCs/>
        </w:rPr>
        <w:t xml:space="preserve">tecnologia come semplice</w:t>
      </w:r>
      <w:r>
        <w:rPr>
          <w:b/>
          <w:bCs/>
        </w:rPr>
        <w:t xml:space="preserve"> </w:t>
      </w:r>
      <w:r>
        <w:rPr>
          <w:b/>
          <w:bCs/>
        </w:rPr>
        <w:t xml:space="preserve">abilitatore</w:t>
      </w:r>
      <w:r>
        <w:t xml:space="preserve"> </w:t>
      </w:r>
      <w:r>
        <w:t xml:space="preserve">di tali prestazioni, e non come dimensione dotata di indicatori</w:t>
      </w:r>
      <w:r>
        <w:t xml:space="preserve"> </w:t>
      </w:r>
      <w:r>
        <w:t xml:space="preserve">propri: framework come GRI e gli SDG citano la tecnologia solo quale</w:t>
      </w:r>
      <w:r>
        <w:t xml:space="preserve"> </w:t>
      </w:r>
      <w:r>
        <w:rPr>
          <w:i/>
          <w:iCs/>
        </w:rPr>
        <w:t xml:space="preserve">means of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</w:t>
      </w:r>
      <w:r>
        <w:t xml:space="preserve">, privi di metriche dedicate. Il P-TSA colma questa lacuna</w:t>
      </w:r>
      <w:r>
        <w:t xml:space="preserve"> </w:t>
      </w:r>
      <w:r>
        <w:t xml:space="preserve">assumendo la definizione operativa di</w:t>
      </w:r>
      <w:r>
        <w:t xml:space="preserve"> </w:t>
      </w:r>
      <w:r>
        <w:rPr>
          <w:b/>
          <w:bCs/>
        </w:rPr>
        <w:t xml:space="preserve">sostenibilità tecnologica</w:t>
      </w:r>
      <w:r>
        <w:t xml:space="preserve"> </w:t>
      </w:r>
      <w:r>
        <w:t xml:space="preserve">come</w:t>
      </w:r>
      <w:r>
        <w:t xml:space="preserve"> </w:t>
      </w:r>
      <w:r>
        <w:rPr>
          <w:i/>
          <w:iCs/>
        </w:rPr>
        <w:t xml:space="preserve">capacità</w:t>
      </w:r>
      <w:r>
        <w:rPr>
          <w:i/>
          <w:iCs/>
        </w:rPr>
        <w:t xml:space="preserve"> </w:t>
      </w:r>
      <w:r>
        <w:rPr>
          <w:i/>
          <w:iCs/>
        </w:rPr>
        <w:t xml:space="preserve">di un sistema produttivo di mantenere nel tempo le proprie prestazioni operative</w:t>
      </w:r>
      <w:r>
        <w:t xml:space="preserve"> </w:t>
      </w:r>
      <w:r>
        <w:t xml:space="preserve">e trasferendola al singolo prodotto.</w:t>
      </w:r>
    </w:p>
    <w:p>
      <w:pPr>
        <w:pStyle w:val="BodyText"/>
      </w:pPr>
      <w:r>
        <w:t xml:space="preserve">Il metodo ricalca le quattro fasi canoniche della ISO 14040, reinterpretate in</w:t>
      </w:r>
      <w:r>
        <w:t xml:space="preserve"> </w:t>
      </w:r>
      <w:r>
        <w:t xml:space="preserve">chiave tecnologica: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Definizione di obiettivo e campo di applicazione</w:t>
      </w:r>
      <w:r>
        <w:t xml:space="preserve"> </w:t>
      </w:r>
      <w:r>
        <w:t xml:space="preserve">(</w:t>
      </w:r>
      <w:r>
        <w:rPr>
          <w:i/>
          <w:iCs/>
        </w:rPr>
        <w:t xml:space="preserve">Goal &amp; Scope</w:t>
      </w:r>
      <w:r>
        <w:t xml:space="preserve">):</w:t>
      </w:r>
      <w:r>
        <w:t xml:space="preserve"> </w:t>
      </w:r>
      <w:r>
        <w:t xml:space="preserve">scelta dell’unità funzionale e del perimetro di sistema.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Analisi di inventario tecnologico</w:t>
      </w:r>
      <w:r>
        <w:t xml:space="preserve"> </w:t>
      </w:r>
      <w:r>
        <w:t xml:space="preserve">(</w:t>
      </w:r>
      <w:r>
        <w:rPr>
          <w:i/>
          <w:iCs/>
        </w:rPr>
        <w:t xml:space="preserve">Technological Inventory</w:t>
      </w:r>
      <w:r>
        <w:t xml:space="preserve">): raccolta di</w:t>
      </w:r>
      <w:r>
        <w:t xml:space="preserve"> </w:t>
      </w:r>
      <w:r>
        <w:t xml:space="preserve">input e output ed elaborazione delle metriche tecnologiche.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Valutazione degli impatti tecnologici</w:t>
      </w:r>
      <w:r>
        <w:t xml:space="preserve"> </w:t>
      </w:r>
      <w:r>
        <w:t xml:space="preserve">(</w:t>
      </w:r>
      <w:r>
        <w:rPr>
          <w:i/>
          <w:iCs/>
        </w:rPr>
        <w:t xml:space="preserve">Technological Impact Assessment</w:t>
      </w:r>
      <w:r>
        <w:t xml:space="preserve">):</w:t>
      </w:r>
      <w:r>
        <w:t xml:space="preserve"> </w:t>
      </w:r>
      <w:r>
        <w:t xml:space="preserve">classificazione delle metriche nelle categorie d’impatto, caratterizzazione in</w:t>
      </w:r>
      <w:r>
        <w:t xml:space="preserve"> </w:t>
      </w:r>
      <w:r>
        <w:t xml:space="preserve">indicatori, normalizzazione e aggregazione in sotto-indici e in P-TSI.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Interpretazione</w:t>
      </w:r>
      <w:r>
        <w:t xml:space="preserve"> </w:t>
      </w:r>
      <w:r>
        <w:t xml:space="preserve">(</w:t>
      </w:r>
      <w:r>
        <w:rPr>
          <w:i/>
          <w:iCs/>
        </w:rPr>
        <w:t xml:space="preserve">Technological Interpretation</w:t>
      </w:r>
      <w:r>
        <w:t xml:space="preserve">): identificazione dei</w:t>
      </w:r>
      <w:r>
        <w:t xml:space="preserve"> </w:t>
      </w:r>
      <w:r>
        <w:t xml:space="preserve">fattori significativi, analisi di sensibilità, conclusioni e raccomandazioni.</w:t>
      </w:r>
    </w:p>
    <w:p>
      <w:pPr>
        <w:pStyle w:val="FirstParagraph"/>
      </w:pPr>
      <w:r>
        <w:t xml:space="preserve">La lettura del sistema-prodotto adotta la prospettiva di</w:t>
      </w:r>
      <w:r>
        <w:t xml:space="preserve"> </w:t>
      </w:r>
      <w:r>
        <w:rPr>
          <w:i/>
          <w:iCs/>
        </w:rPr>
        <w:t xml:space="preserve">value chain</w:t>
      </w:r>
      <w:r>
        <w:t xml:space="preserve"> </w:t>
      </w:r>
      <w:r>
        <w:t xml:space="preserve">cradle-to-grave articolata nelle</w:t>
      </w:r>
      <w:r>
        <w:t xml:space="preserve"> </w:t>
      </w:r>
      <w:r>
        <w:rPr>
          <w:b/>
          <w:bCs/>
        </w:rPr>
        <w:t xml:space="preserve">sette attività</w:t>
      </w:r>
      <w:r>
        <w:t xml:space="preserve"> </w:t>
      </w:r>
      <w:r>
        <w:t xml:space="preserve">di Porter adattate al P-TSA:</w:t>
      </w:r>
      <w:r>
        <w:t xml:space="preserve"> </w:t>
      </w:r>
      <w:r>
        <w:rPr>
          <w:i/>
          <w:iCs/>
        </w:rPr>
        <w:t xml:space="preserve">Sourcing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Inbound Logistics</w:t>
      </w:r>
      <w:r>
        <w:t xml:space="preserve"> </w:t>
      </w:r>
      <w:r>
        <w:t xml:space="preserve">(cradle-to-gate),</w:t>
      </w:r>
      <w:r>
        <w:t xml:space="preserve"> </w:t>
      </w:r>
      <w:r>
        <w:rPr>
          <w:i/>
          <w:iCs/>
        </w:rPr>
        <w:t xml:space="preserve">Operations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Internal</w:t>
      </w:r>
      <w:r>
        <w:rPr>
          <w:i/>
          <w:iCs/>
        </w:rPr>
        <w:t xml:space="preserve"> </w:t>
      </w:r>
      <w:r>
        <w:rPr>
          <w:i/>
          <w:iCs/>
        </w:rPr>
        <w:t xml:space="preserve">Logistics</w:t>
      </w:r>
      <w:r>
        <w:t xml:space="preserve"> </w:t>
      </w:r>
      <w:r>
        <w:t xml:space="preserve">(gate-to-gate),</w:t>
      </w:r>
      <w:r>
        <w:t xml:space="preserve"> </w:t>
      </w:r>
      <w:r>
        <w:rPr>
          <w:i/>
          <w:iCs/>
        </w:rPr>
        <w:t xml:space="preserve">Outbound Logistics</w:t>
      </w:r>
      <w:r>
        <w:t xml:space="preserve">,</w:t>
      </w:r>
      <w:r>
        <w:t xml:space="preserve"> </w:t>
      </w:r>
      <w:r>
        <w:rPr>
          <w:i/>
          <w:iCs/>
        </w:rPr>
        <w:t xml:space="preserve">Product Usage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Waste</w:t>
      </w:r>
      <w:r>
        <w:rPr>
          <w:i/>
          <w:iCs/>
        </w:rPr>
        <w:t xml:space="preserve"> </w:t>
      </w:r>
      <w:r>
        <w:rPr>
          <w:i/>
          <w:iCs/>
        </w:rPr>
        <w:t xml:space="preserve">Logistics</w:t>
      </w:r>
      <w:r>
        <w:t xml:space="preserve"> </w:t>
      </w:r>
      <w:r>
        <w:t xml:space="preserve">(gate-to-grave). Il principio ordinatore è che</w:t>
      </w:r>
      <w:r>
        <w:t xml:space="preserve"> </w:t>
      </w:r>
      <w:r>
        <w:rPr>
          <w:b/>
          <w:bCs/>
        </w:rPr>
        <w:t xml:space="preserve">l’output di ciascuna</w:t>
      </w:r>
      <w:r>
        <w:rPr>
          <w:b/>
          <w:bCs/>
        </w:rPr>
        <w:t xml:space="preserve"> </w:t>
      </w:r>
      <w:r>
        <w:rPr>
          <w:b/>
          <w:bCs/>
        </w:rPr>
        <w:t xml:space="preserve">fase costituisce l’input della successiva</w:t>
      </w:r>
      <w:r>
        <w:t xml:space="preserve">: è questa concatenazione che rende</w:t>
      </w:r>
      <w:r>
        <w:t xml:space="preserve"> </w:t>
      </w:r>
      <w:r>
        <w:t xml:space="preserve">misurabile la disponibilità (IOA), l’efficienza di trasformazione (OP) e la</w:t>
      </w:r>
      <w:r>
        <w:t xml:space="preserve"> </w:t>
      </w:r>
      <w:r>
        <w:t xml:space="preserve">qualità/conformità dell’output (TQ) lungo tutto il ciclo di vita.</w:t>
      </w:r>
    </w:p>
    <w:bookmarkEnd w:id="90"/>
    <w:bookmarkStart w:id="91" w:name="X288d999fd66b6d4cad38b2f107c97a2bbe6fd48"/>
    <w:p>
      <w:pPr>
        <w:pStyle w:val="Heading3"/>
      </w:pPr>
      <w:r>
        <w:t xml:space="preserve">2.2 La scelta delle tre categorie d’impatto tecnologico</w:t>
      </w:r>
    </w:p>
    <w:p>
      <w:pPr>
        <w:pStyle w:val="FirstParagraph"/>
      </w:pPr>
      <w:r>
        <w:t xml:space="preserve">La tripartizione IOA/OP/TQ non è arbitraria ma discende da due fondamenti</w:t>
      </w:r>
      <w:r>
        <w:t xml:space="preserve"> </w:t>
      </w:r>
      <w:r>
        <w:t xml:space="preserve">convergenti. Dal punto di vista del</w:t>
      </w:r>
      <w:r>
        <w:t xml:space="preserve"> </w:t>
      </w:r>
      <w:r>
        <w:rPr>
          <w:b/>
          <w:bCs/>
        </w:rPr>
        <w:t xml:space="preserve">ciclo di vita</w:t>
      </w:r>
      <w:r>
        <w:t xml:space="preserve">, le tre categorie mappano le</w:t>
      </w:r>
      <w:r>
        <w:t xml:space="preserve"> </w:t>
      </w:r>
      <w:r>
        <w:t xml:space="preserve">fasi di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(disponibilità delle risorse tecnologiche),</w:t>
      </w:r>
      <w:r>
        <w:t xml:space="preserve"> </w:t>
      </w:r>
      <w:r>
        <w:rPr>
          <w:i/>
          <w:iCs/>
        </w:rPr>
        <w:t xml:space="preserve">uso</w:t>
      </w:r>
      <w:r>
        <w:t xml:space="preserve"> </w:t>
      </w:r>
      <w:r>
        <w:t xml:space="preserve">(prestazione</w:t>
      </w:r>
      <w:r>
        <w:t xml:space="preserve"> </w:t>
      </w:r>
      <w:r>
        <w:t xml:space="preserve">operativa) e</w:t>
      </w:r>
      <w:r>
        <w:t xml:space="preserve"> </w:t>
      </w:r>
      <w:r>
        <w:rPr>
          <w:i/>
          <w:iCs/>
        </w:rPr>
        <w:t xml:space="preserve">durabilità/fine vita</w:t>
      </w:r>
      <w:r>
        <w:t xml:space="preserve"> </w:t>
      </w:r>
      <w:r>
        <w:t xml:space="preserve">(qualità e conformità nel tempo) dei sistemi</w:t>
      </w:r>
      <w:r>
        <w:t xml:space="preserve"> </w:t>
      </w:r>
      <w:r>
        <w:t xml:space="preserve">tecnologici. Dal punto di vista dell’</w:t>
      </w:r>
      <w:r>
        <w:rPr>
          <w:b/>
          <w:bCs/>
        </w:rPr>
        <w:t xml:space="preserve">ingegneria di produzione</w:t>
      </w:r>
      <w:r>
        <w:t xml:space="preserve">, esse</w:t>
      </w:r>
      <w:r>
        <w:t xml:space="preserve"> </w:t>
      </w:r>
      <w:r>
        <w:t xml:space="preserve">corrispondono ai tre fattori dell’</w:t>
      </w:r>
      <w:r>
        <w:rPr>
          <w:i/>
          <w:iCs/>
        </w:rPr>
        <w:t xml:space="preserve">Overall Equipment Effectiveness</w:t>
      </w:r>
      <w:r>
        <w:t xml:space="preserve"> </w:t>
      </w:r>
      <w:r>
        <w:t xml:space="preserve">(OEE) —</w:t>
      </w:r>
      <w:r>
        <w:t xml:space="preserve"> </w:t>
      </w:r>
      <w:r>
        <w:rPr>
          <w:i/>
          <w:iCs/>
        </w:rPr>
        <w:t xml:space="preserve">availability</w:t>
      </w:r>
      <w:r>
        <w:t xml:space="preserve">,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quality</w:t>
      </w:r>
      <w:r>
        <w:t xml:space="preserve"> </w:t>
      </w:r>
      <w:r>
        <w:t xml:space="preserve">— qui estesi però dalla singola</w:t>
      </w:r>
      <w:r>
        <w:t xml:space="preserve"> </w:t>
      </w:r>
      <w:r>
        <w:t xml:space="preserve">macchina all’intero sistema-prodotto lungo la supply chain. Questa doppia</w:t>
      </w:r>
      <w:r>
        <w:t xml:space="preserve"> </w:t>
      </w:r>
      <w:r>
        <w:t xml:space="preserve">radice garantisce una copertura bilanciata di disponibilità delle risorse,</w:t>
      </w:r>
      <w:r>
        <w:t xml:space="preserve"> </w:t>
      </w:r>
      <w:r>
        <w:t xml:space="preserve">capacità operativa e robustezza di lungo periodo, ed è preferibile a</w:t>
      </w:r>
      <w:r>
        <w:t xml:space="preserve"> </w:t>
      </w:r>
      <w:r>
        <w:t xml:space="preserve">concettualizzazioni alternative (es. modelli di maturità dell’innovazione o</w:t>
      </w:r>
      <w:r>
        <w:t xml:space="preserve"> </w:t>
      </w:r>
      <w:r>
        <w:t xml:space="preserve">metriche puramente economiche) perché direttamente misurabile su dati operativi.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In-/Outputs Availability (IOA)</w:t>
      </w:r>
      <w:r>
        <w:t xml:space="preserve"> </w:t>
      </w:r>
      <w:r>
        <w:t xml:space="preserve">— attitudine del sistema a fornire gli input</w:t>
      </w:r>
      <w:r>
        <w:t xml:space="preserve"> </w:t>
      </w:r>
      <w:r>
        <w:t xml:space="preserve">e gli output necessari al momento opportuno, garantendo continuità operativa.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Operational Performance (OP)</w:t>
      </w:r>
      <w:r>
        <w:t xml:space="preserve"> </w:t>
      </w:r>
      <w:r>
        <w:t xml:space="preserve">— attitudine degli output di ogni fase a</w:t>
      </w:r>
      <w:r>
        <w:t xml:space="preserve"> </w:t>
      </w:r>
      <w:r>
        <w:t xml:space="preserve">soddisfare la domanda ottimizzando il rapporto tra valore prodotto e risorse</w:t>
      </w:r>
      <w:r>
        <w:t xml:space="preserve"> </w:t>
      </w:r>
      <w:r>
        <w:t xml:space="preserve">impiegate.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Technical Quality (TQ)</w:t>
      </w:r>
      <w:r>
        <w:t xml:space="preserve"> </w:t>
      </w:r>
      <w:r>
        <w:t xml:space="preserve">— insieme delle caratteristiche intrinseche e dei</w:t>
      </w:r>
      <w:r>
        <w:t xml:space="preserve"> </w:t>
      </w:r>
      <w:r>
        <w:t xml:space="preserve">parametri funzionali dell’output che soddisfano i requisiti attesi e la</w:t>
      </w:r>
      <w:r>
        <w:t xml:space="preserve"> </w:t>
      </w:r>
      <w:r>
        <w:t xml:space="preserve">conformità normativa dei materiali ceramici.</w:t>
      </w:r>
    </w:p>
    <w:bookmarkEnd w:id="91"/>
    <w:bookmarkStart w:id="92" w:name="X0d9f85d9b6a976f37e8f4fa3e392c0140632b67"/>
    <w:p>
      <w:pPr>
        <w:pStyle w:val="Heading3"/>
      </w:pPr>
      <w:r>
        <w:t xml:space="preserve">2.3 Unità funzionale: prove comparate (Problema progettuale n. 4)</w:t>
      </w:r>
    </w:p>
    <w:p>
      <w:pPr>
        <w:pStyle w:val="FirstParagraph"/>
      </w:pPr>
      <w:r>
        <w:t xml:space="preserve">Il passaggio dal processo al prodotto impone un</w:t>
      </w:r>
      <w:r>
        <w:t xml:space="preserve"> </w:t>
      </w:r>
      <w:r>
        <w:rPr>
          <w:b/>
          <w:bCs/>
        </w:rPr>
        <w:t xml:space="preserve">cambio di unità funzionale</w:t>
      </w:r>
      <w:r>
        <w:t xml:space="preserve">. In</w:t>
      </w:r>
      <w:r>
        <w:t xml:space="preserve"> </w:t>
      </w:r>
      <w:r>
        <w:t xml:space="preserve">coerenza con la soluzione prevista dal Piano, sono state condotte prove di</w:t>
      </w:r>
      <w:r>
        <w:t xml:space="preserve"> </w:t>
      </w:r>
      <w:r>
        <w:t xml:space="preserve">assessment con tre candidate —</w:t>
      </w:r>
      <w:r>
        <w:t xml:space="preserve"> </w:t>
      </w:r>
      <m:oMath>
        <m:r>
          <m:t>1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di piastrelle,</w:t>
      </w:r>
      <w:r>
        <w:t xml:space="preserve"> </w:t>
      </w:r>
      <m:oMath>
        <m:r>
          <m:t>1</m:t>
        </m:r>
        <m:r>
          <m:t> </m:t>
        </m:r>
        <m:r>
          <m:rPr>
            <m:sty m:val="p"/>
          </m:rPr>
          <m:t>t</m:t>
        </m:r>
      </m:oMath>
      <w:r>
        <w:t xml:space="preserve"> </w:t>
      </w:r>
      <w:r>
        <w:t xml:space="preserve">di</w:t>
      </w:r>
      <w:r>
        <w:t xml:space="preserve"> </w:t>
      </w:r>
      <w:r>
        <w:t xml:space="preserve">piastrelle e</w:t>
      </w:r>
      <w:r>
        <w:t xml:space="preserve"> </w:t>
      </w:r>
      <w:r>
        <w:rPr>
          <w:b/>
          <w:bCs/>
        </w:rPr>
        <w:t xml:space="preserve">lotto di tipologia produttiva</w:t>
      </w:r>
      <w:r>
        <w:t xml:space="preserve"> </w:t>
      </w:r>
      <w:r>
        <w:t xml:space="preserve">— valutandone la capacità</w:t>
      </w:r>
      <w:r>
        <w:t xml:space="preserve"> </w:t>
      </w:r>
      <w:r>
        <w:t xml:space="preserve">informativa. L’unità</w:t>
      </w:r>
      <w:r>
        <w:t xml:space="preserve"> </w:t>
      </w:r>
      <m:oMath>
        <m:r>
          <m:t>1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è la più confrontabile ma poco sensibile al</w:t>
      </w:r>
      <w:r>
        <w:t xml:space="preserve"> </w:t>
      </w:r>
      <w:r>
        <w:t xml:space="preserve">contenuto materico (spessore/peso); l’unità</w:t>
      </w:r>
      <w:r>
        <w:t xml:space="preserve"> </w:t>
      </w:r>
      <m:oMath>
        <m:r>
          <m:t>1</m:t>
        </m:r>
        <m:r>
          <m:t> </m:t>
        </m:r>
        <m:r>
          <m:rPr>
            <m:sty m:val="p"/>
          </m:rPr>
          <m:t>t</m:t>
        </m:r>
      </m:oMath>
      <w:r>
        <w:t xml:space="preserve"> </w:t>
      </w:r>
      <w:r>
        <w:t xml:space="preserve">cattura l’intensità</w:t>
      </w:r>
      <w:r>
        <w:t xml:space="preserve"> </w:t>
      </w:r>
      <w:r>
        <w:t xml:space="preserve">materica ed energetica ma è meno leggibile commercialmente; il</w:t>
      </w:r>
      <w:r>
        <w:t xml:space="preserve"> </w:t>
      </w:r>
      <w:r>
        <w:rPr>
          <w:b/>
          <w:bCs/>
        </w:rPr>
        <w:t xml:space="preserve">lotto di</w:t>
      </w:r>
      <w:r>
        <w:rPr>
          <w:b/>
          <w:bCs/>
        </w:rPr>
        <w:t xml:space="preserve"> </w:t>
      </w:r>
      <w:r>
        <w:rPr>
          <w:b/>
          <w:bCs/>
        </w:rPr>
        <w:t xml:space="preserve">tipologia produttiva</w:t>
      </w:r>
      <w:r>
        <w:t xml:space="preserve"> </w:t>
      </w:r>
      <w:r>
        <w:t xml:space="preserve">massimizza l’aderenza al controllo qualità (che opera per</w:t>
      </w:r>
      <w:r>
        <w:t xml:space="preserve"> </w:t>
      </w:r>
      <w:r>
        <w:t xml:space="preserve">lotto) e alla logica di copertura scorte, ed è coerente con la segmentazione di</w:t>
      </w:r>
      <w:r>
        <w:t xml:space="preserve"> </w:t>
      </w:r>
      <w:r>
        <w:t xml:space="preserve">OR6.8. Si è pertanto adottato il</w:t>
      </w:r>
      <w:r>
        <w:t xml:space="preserve"> </w:t>
      </w:r>
      <w:r>
        <w:rPr>
          <w:b/>
          <w:bCs/>
        </w:rPr>
        <w:t xml:space="preserve">lotto di tipologia produttiva come unità</w:t>
      </w:r>
      <w:r>
        <w:rPr>
          <w:b/>
          <w:bCs/>
        </w:rPr>
        <w:t xml:space="preserve"> </w:t>
      </w:r>
      <w:r>
        <w:rPr>
          <w:b/>
          <w:bCs/>
        </w:rPr>
        <w:t xml:space="preserve">funzionale operativa</w:t>
      </w:r>
      <w:r>
        <w:t xml:space="preserve">, mantenendo la</w:t>
      </w:r>
      <w:r>
        <w:t xml:space="preserve"> </w:t>
      </w:r>
      <w:r>
        <w:rPr>
          <w:b/>
          <w:bCs/>
        </w:rPr>
        <w:t xml:space="preserve">normalizzazione a</w:t>
      </w:r>
      <w:r>
        <w:rPr>
          <w:b/>
          <w:bCs/>
        </w:rPr>
        <w:t xml:space="preserve"> </w:t>
      </w:r>
      <m:oMath>
        <m:r>
          <m:t>1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—</w:t>
      </w:r>
      <w:r>
        <w:t xml:space="preserve"> </w:t>
      </w:r>
      <w:r>
        <w:t xml:space="preserve">la stessa unità dichiarata degli EPD — quale riferimento di comparabilità</w:t>
      </w:r>
      <w:r>
        <w:t xml:space="preserve"> </w:t>
      </w:r>
      <w:r>
        <w:t xml:space="preserve">trasversale tra le tipologie e con OR7.3.</w:t>
      </w:r>
    </w:p>
    <w:bookmarkEnd w:id="92"/>
    <w:bookmarkStart w:id="93" w:name="X5f4ca89c1fc99b7dea943c4d3405b3f28298ab2"/>
    <w:p>
      <w:pPr>
        <w:pStyle w:val="Heading3"/>
      </w:pPr>
      <w:r>
        <w:t xml:space="preserve">2.4 Analisi di inventario e caratterizzazione degli indicatori</w:t>
      </w:r>
    </w:p>
    <w:p>
      <w:pPr>
        <w:pStyle w:val="FirstParagraph"/>
      </w:pPr>
      <w:r>
        <w:t xml:space="preserve">Per ciascuna categoria si costruisce un indicatore generale combinando due</w:t>
      </w:r>
      <w:r>
        <w:t xml:space="preserve"> </w:t>
      </w:r>
      <w:r>
        <w:t xml:space="preserve">metriche tecnologiche di supply chain. Sia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l’insieme delle attività della</w:t>
      </w:r>
      <w:r>
        <w:t xml:space="preserve"> </w:t>
      </w:r>
      <w:r>
        <w:t xml:space="preserve">value chain 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il periodo di riferimento.</w:t>
      </w:r>
    </w:p>
    <w:p>
      <w:pPr>
        <w:pStyle w:val="BodyText"/>
      </w:pPr>
      <w:r>
        <w:rPr>
          <w:b/>
          <w:bCs/>
        </w:rPr>
        <w:t xml:space="preserve">IOA — Stock Coverage Rate (SCR).</w:t>
      </w:r>
      <w:r>
        <w:t xml:space="preserve"> </w:t>
      </w:r>
      <w:r>
        <w:t xml:space="preserve">Rapporto tra scorta media disponibile e</w:t>
      </w:r>
      <w:r>
        <w:t xml:space="preserve"> </w:t>
      </w:r>
      <w:r>
        <w:t xml:space="preserve">consumo medio dell’input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nell’attività</w:t>
      </w:r>
      <w:r>
        <w:t xml:space="preserve"> </w:t>
      </w:r>
      <m:oMath>
        <m:r>
          <m:t>a</m:t>
        </m:r>
      </m:oMath>
      <w:r>
        <w:t xml:space="preserve">; esprime i giorni di copertura, cioè</w:t>
      </w:r>
      <w:r>
        <w:t xml:space="preserve"> </w:t>
      </w:r>
      <w:r>
        <w:t xml:space="preserve">la resilienza di disponibilità della catena: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  <m:sup>
              <m:r>
                <m:t> 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num>
            <m:den>
              <m:sSubSup>
                <m:e>
                  <m:bar>
                    <m:barPr>
                      <m:pos m:val="top"/>
                    </m:barPr>
                    <m:e>
                      <m:r>
                        <m:t>C</m:t>
                      </m:r>
                    </m:e>
                  </m:ba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dove</w:t>
      </w:r>
      <w:r>
        <w:t xml:space="preserve"> </w:t>
      </w:r>
      <m:oMath>
        <m:sSubSup>
          <m:e>
            <m:bar>
              <m:barPr>
                <m:pos m:val="top"/>
              </m:barPr>
              <m:e>
                <m:r>
                  <m:t>S</m:t>
                </m:r>
              </m:e>
            </m:ba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t> </m:t>
            </m:r>
            <m:r>
              <m:t>t</m:t>
            </m:r>
          </m:sup>
        </m:sSubSup>
      </m:oMath>
      <w:r>
        <w:t xml:space="preserve"> </w:t>
      </w:r>
      <w:r>
        <w:t xml:space="preserve">è lo stock medio e</w:t>
      </w:r>
      <w:r>
        <w:t xml:space="preserve"> </w:t>
      </w:r>
      <m:oMath>
        <m:sSubSup>
          <m:e>
            <m:bar>
              <m:barPr>
                <m:pos m:val="top"/>
              </m:barPr>
              <m:e>
                <m:r>
                  <m:t>C</m:t>
                </m:r>
              </m:e>
            </m:ba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t> </m:t>
            </m:r>
            <m:r>
              <m:t>t</m:t>
            </m:r>
          </m:sup>
        </m:sSubSup>
      </m:oMath>
      <w:r>
        <w:t xml:space="preserve"> </w:t>
      </w:r>
      <w:r>
        <w:t xml:space="preserve">il</w:t>
      </w:r>
      <w:r>
        <w:t xml:space="preserve"> </w:t>
      </w:r>
      <w:r>
        <w:t xml:space="preserve">consumo medio giornaliero. Sono considerati tre input lungo la catena: materie</w:t>
      </w:r>
      <w:r>
        <w:t xml:space="preserve"> </w:t>
      </w:r>
      <w:r>
        <w:t xml:space="preserve">prime (Sourcing), prodotto finito (Internal Logistics) e smalti/engobbi/inchiostri</w:t>
      </w:r>
      <w:r>
        <w:t xml:space="preserve"> </w:t>
      </w:r>
      <w:r>
        <w:t xml:space="preserve">(Operations).</w:t>
      </w:r>
    </w:p>
    <w:p>
      <w:pPr>
        <w:pStyle w:val="BodyText"/>
      </w:pPr>
      <w:r>
        <w:rPr>
          <w:b/>
          <w:bCs/>
        </w:rPr>
        <w:t xml:space="preserve">OP — Productivity Indicator (PsI).</w:t>
      </w:r>
      <w:r>
        <w:t xml:space="preserve"> </w:t>
      </w:r>
      <w:r>
        <w:t xml:space="preserve">Rapporto tra output reale e input reale</w:t>
      </w:r>
      <w:r>
        <w:t xml:space="preserve"> </w:t>
      </w:r>
      <w:r>
        <w:t xml:space="preserve">dell’attività</w:t>
      </w:r>
      <w:r>
        <w:t xml:space="preserve"> </w:t>
      </w:r>
      <m:oMath>
        <m:r>
          <m:t>a</m:t>
        </m:r>
      </m:oMath>
      <w:r>
        <w:t xml:space="preserve">; misura la capacità di impiegare razionalmente le risorse: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a</m:t>
              </m:r>
            </m:sub>
            <m:sup>
              <m:r>
                <m:t> 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U</m:t>
                  </m:r>
                </m:e>
                <m:sub>
                  <m:r>
                    <m:t>a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num>
            <m:den>
              <m:sSub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a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con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Real Output</w:t>
      </w:r>
      <w:r>
        <w:t xml:space="preserve">) e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Real Input</w:t>
      </w:r>
      <w:r>
        <w:t xml:space="preserve">). Sono adottate</w:t>
      </w:r>
      <w:r>
        <w:t xml:space="preserve"> </w:t>
      </w:r>
      <w:r>
        <w:t xml:space="preserve">tre metriche: produttività energetica</w:t>
      </w:r>
      <w: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G</m:t>
        </m:r>
        <m:r>
          <m:rPr>
            <m:sty m:val="p"/>
          </m:rPr>
          <m:t>J</m:t>
        </m:r>
        <m:r>
          <m:rPr>
            <m:sty m:val="p"/>
          </m:rPr>
          <m:t>]</m:t>
        </m:r>
      </m:oMath>
      <w:r>
        <w:t xml:space="preserve">, resa di materiale</w:t>
      </w:r>
      <w: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 throughput di linea</w:t>
      </w:r>
      <w: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TQ — Output Conformity Rate (OCR).</w:t>
      </w:r>
      <w:r>
        <w:t xml:space="preserve"> </w:t>
      </w:r>
      <w:r>
        <w:t xml:space="preserve">Rapporto tra il valore del parametro di</w:t>
      </w:r>
      <w:r>
        <w:t xml:space="preserve"> </w:t>
      </w:r>
      <w:r>
        <w:t xml:space="preserve">qualità misurato e la soglia di accettabilità fissata dalla normativa vigente: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o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  <m:sup>
              <m:r>
                <m:t> 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P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num>
            <m:den>
              <m:sSub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con</w:t>
      </w:r>
      <w:r>
        <w:t xml:space="preserve"> </w:t>
      </w:r>
      <m:oMath>
        <m:r>
          <m:rPr>
            <m:sty m:val="p"/>
          </m:rPr>
          <m:t>Q</m:t>
        </m:r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Quality Parameter</w:t>
      </w:r>
      <w:r>
        <w:t xml:space="preserve">) e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T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Acceptability</w:t>
      </w:r>
      <w:r>
        <w:rPr>
          <w:i/>
          <w:iCs/>
        </w:rPr>
        <w:t xml:space="preserve"> </w:t>
      </w:r>
      <w:r>
        <w:rPr>
          <w:i/>
          <w:iCs/>
        </w:rPr>
        <w:t xml:space="preserve">Threshold</w:t>
      </w:r>
      <w:r>
        <w:t xml:space="preserve">). Un valore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segnala conformità con margine. I</w:t>
      </w:r>
      <w:r>
        <w:t xml:space="preserve"> </w:t>
      </w:r>
      <w:r>
        <w:t xml:space="preserve">parametri appartengono alla serie</w:t>
      </w:r>
      <w:r>
        <w:t xml:space="preserve"> </w:t>
      </w:r>
      <w:r>
        <w:rPr>
          <w:b/>
          <w:bCs/>
        </w:rPr>
        <w:t xml:space="preserve">ISO 10545</w:t>
      </w:r>
      <w:r>
        <w:t xml:space="preserve"> </w:t>
      </w:r>
      <w:r>
        <w:t xml:space="preserve">con soglie</w:t>
      </w:r>
      <w:r>
        <w:t xml:space="preserve"> </w:t>
      </w:r>
      <w:r>
        <w:rPr>
          <w:b/>
          <w:bCs/>
        </w:rPr>
        <w:t xml:space="preserve">EN 14411 gruppo</w:t>
      </w:r>
      <w:r>
        <w:rPr>
          <w:b/>
          <w:bCs/>
        </w:rPr>
        <w:t xml:space="preserve"> </w:t>
      </w:r>
      <w:r>
        <w:rPr>
          <w:b/>
          <w:bCs/>
        </w:rPr>
        <w:t xml:space="preserve">BIa</w:t>
      </w:r>
      <w:r>
        <w:t xml:space="preserve">: resistenza a flessione (ISO 10545-4,</w:t>
      </w:r>
      <w:r>
        <w:t xml:space="preserve"> </w:t>
      </w:r>
      <m:oMath>
        <m:r>
          <m:rPr>
            <m:sty m:val="p"/>
          </m:rPr>
          <m:t>≥</m:t>
        </m:r>
        <m:r>
          <m:t>35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), sforzo di</w:t>
      </w:r>
      <w:r>
        <w:t xml:space="preserve"> </w:t>
      </w:r>
      <w:r>
        <w:t xml:space="preserve">rottura (ISO 10545-4,</w:t>
      </w:r>
      <w:r>
        <w:t xml:space="preserve"> </w:t>
      </w:r>
      <m:oMath>
        <m:r>
          <m:rPr>
            <m:sty m:val="p"/>
          </m:rPr>
          <m:t>≥</m:t>
        </m:r>
        <m:r>
          <m:t>700</m:t>
        </m:r>
        <m:r>
          <m:t> </m:t>
        </m:r>
        <m:r>
          <m:rPr>
            <m:sty m:val="p"/>
          </m:rPr>
          <m:t>N</m:t>
        </m:r>
      </m:oMath>
      <w:r>
        <w:t xml:space="preserve"> </w:t>
      </w:r>
      <w:r>
        <w:t xml:space="preserve">per spessori</w:t>
      </w:r>
      <w:r>
        <w:t xml:space="preserve"> </w:t>
      </w:r>
      <m:oMath>
        <m:r>
          <m:rPr>
            <m:sty m:val="p"/>
          </m:rPr>
          <m:t>&lt;</m:t>
        </m:r>
        <m:r>
          <m:t>7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mm e</w:t>
      </w:r>
      <w:r>
        <w:t xml:space="preserve"> </w:t>
      </w:r>
      <m:oMath>
        <m:r>
          <m:rPr>
            <m:sty m:val="p"/>
          </m:rPr>
          <m:t>≥</m:t>
        </m:r>
        <m:r>
          <m:t>1300</m:t>
        </m:r>
        <m:r>
          <m:t> </m:t>
        </m:r>
        <m:r>
          <m:rPr>
            <m:sty m:val="p"/>
          </m:rPr>
          <m:t>N</m:t>
        </m:r>
      </m:oMath>
      <w:r>
        <w:t xml:space="preserve"> </w:t>
      </w:r>
      <w:r>
        <w:t xml:space="preserve">per</w:t>
      </w:r>
      <w:r>
        <w:t xml:space="preserve"> </w:t>
      </w:r>
      <m:oMath>
        <m:r>
          <m:rPr>
            <m:sty m:val="p"/>
          </m:rPr>
          <m:t>≥</m:t>
        </m:r>
        <m:r>
          <m:t>7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mm) e qualità superficiale</w:t>
      </w:r>
      <w:r>
        <w:t xml:space="preserve"> </w:t>
      </w:r>
      <w:r>
        <w:t xml:space="preserve">(ISO 10545-2,</w:t>
      </w:r>
      <w:r>
        <w:t xml:space="preserve"> </w:t>
      </w:r>
      <m:oMath>
        <m:r>
          <m:rPr>
            <m:sty m:val="p"/>
          </m:rPr>
          <m:t>≥</m:t>
        </m:r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di prima scelta).</w:t>
      </w:r>
    </w:p>
    <w:bookmarkEnd w:id="93"/>
    <w:bookmarkStart w:id="94" w:name="X2ef5ce14659128b0c334ef1114f183939699575"/>
    <w:p>
      <w:pPr>
        <w:pStyle w:val="Heading3"/>
      </w:pPr>
      <w:r>
        <w:t xml:space="preserve">2.5 Il problema dell’incommensurabilità e la normalizzazione</w:t>
      </w:r>
    </w:p>
    <w:p>
      <w:pPr>
        <w:pStyle w:val="FirstParagraph"/>
      </w:pPr>
      <w:r>
        <w:t xml:space="preserve">Gli indicatori SCR, PsI e OCR hanno unità di misura eterogenee (giorni,</w:t>
      </w:r>
      <w: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G</m:t>
        </m:r>
        <m:r>
          <m:rPr>
            <m:sty m:val="p"/>
          </m:rPr>
          <m:t>J</m:t>
        </m:r>
      </m:oMath>
      <w:r>
        <w:t xml:space="preserve">, rapporti adimensionali) e scale diverse: la loro aggregazione</w:t>
      </w:r>
      <w:r>
        <w:t xml:space="preserve"> </w:t>
      </w:r>
      <w:r>
        <w:t xml:space="preserve">diretta non è ammissibile. Si separano quindi, come in OR7.3, due problemi</w:t>
      </w:r>
      <w:r>
        <w:t xml:space="preserve"> </w:t>
      </w:r>
      <w:r>
        <w:t xml:space="preserve">distinti: la</w:t>
      </w:r>
      <w:r>
        <w:t xml:space="preserve"> </w:t>
      </w:r>
      <w:r>
        <w:rPr>
          <w:b/>
          <w:bCs/>
        </w:rPr>
        <w:t xml:space="preserve">commensurabilità</w:t>
      </w:r>
      <w:r>
        <w:t xml:space="preserve"> </w:t>
      </w:r>
      <w:r>
        <w:t xml:space="preserve">(rendere sommabili grandezze eterogenee) e la</w:t>
      </w:r>
      <w:r>
        <w:t xml:space="preserve"> </w:t>
      </w:r>
      <w:r>
        <w:rPr>
          <w:b/>
          <w:bCs/>
        </w:rPr>
        <w:t xml:space="preserve">ponderazione</w:t>
      </w:r>
      <w:r>
        <w:t xml:space="preserve"> </w:t>
      </w:r>
      <w:r>
        <w:t xml:space="preserve">(attribuire un peso relativo alle grandezze). Per la</w:t>
      </w:r>
      <w:r>
        <w:t xml:space="preserve"> </w:t>
      </w:r>
      <w:r>
        <w:t xml:space="preserve">commensurabilità si adotta la</w:t>
      </w:r>
      <w:r>
        <w:t xml:space="preserve"> </w:t>
      </w:r>
      <w:r>
        <w:rPr>
          <w:b/>
          <w:bCs/>
        </w:rPr>
        <w:t xml:space="preserve">standardizzazione (z-score)</w:t>
      </w:r>
      <w:r>
        <w:t xml:space="preserve"> </w:t>
      </w:r>
      <w:r>
        <w:t xml:space="preserve">di ciascun</w:t>
      </w:r>
      <w:r>
        <w:t xml:space="preserve"> </w:t>
      </w:r>
      <w:r>
        <w:t xml:space="preserve">indicatore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calcolata</w:t>
      </w:r>
      <w:r>
        <w:t xml:space="preserve"> </w:t>
      </w:r>
      <w:r>
        <w:rPr>
          <w:b/>
          <w:bCs/>
        </w:rPr>
        <w:t xml:space="preserve">tra le tre tipologie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z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  <m:sup>
              <m:r>
                <m:t> 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k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k</m:t>
              </m:r>
            </m:sub>
            <m:sup>
              <m:r>
                <m:t> 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σ</m:t>
              </m:r>
            </m:e>
            <m:sub>
              <m:r>
                <m:t>k</m:t>
              </m:r>
            </m:sub>
            <m:sup>
              <m:r>
                <m:t> 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 </m:t>
                              </m:r>
                              <m:r>
                                <m:t>t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bSup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t> </m:t>
                              </m:r>
                              <m:r>
                                <m:t>t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</m:oMath>
      </m:oMathPara>
    </w:p>
    <w:p>
      <w:pPr>
        <w:pStyle w:val="FirstParagraph"/>
      </w:pPr>
      <w:r>
        <w:t xml:space="preserve">Dopo la trasformazione ciascun indicatore ha media nulla e deviazione standard</w:t>
      </w:r>
      <w:r>
        <w:t xml:space="preserve"> </w:t>
      </w:r>
      <w:r>
        <w:t xml:space="preserve">unitaria; il segno di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esprime la posizione relativa della tipologia rispetto</w:t>
      </w:r>
      <w:r>
        <w:t xml:space="preserve"> </w:t>
      </w:r>
      <w:r>
        <w:t xml:space="preserve">alla media delle tre. La lettura del P-TSI così ottenuto è dunque</w:t>
      </w:r>
      <w:r>
        <w:t xml:space="preserve"> </w:t>
      </w:r>
      <w:r>
        <w:rPr>
          <w:b/>
          <w:bCs/>
        </w:rPr>
        <w:t xml:space="preserve">relativa/comparativa</w:t>
      </w:r>
      <w:r>
        <w:t xml:space="preserve"> </w:t>
      </w:r>
      <w:r>
        <w:t xml:space="preserve">tra le tipologie, esattamente come la lettura relativa</w:t>
      </w:r>
      <w:r>
        <w:t xml:space="preserve"> </w:t>
      </w:r>
      <w:r>
        <w:t xml:space="preserve">(</w:t>
      </w:r>
      <m:oMath>
        <m:r>
          <m:rPr>
            <m:sty m:val="p"/>
          </m:rPr>
          <m:t>T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sub>
        </m:sSub>
      </m:oMath>
      <w:r>
        <w:t xml:space="preserve">) adottata in OR7.3.</w:t>
      </w:r>
    </w:p>
    <w:bookmarkEnd w:id="94"/>
    <w:bookmarkStart w:id="96" w:name="X0a46dca5dd3862089c1adbd042787cd4c2aaa44"/>
    <w:p>
      <w:pPr>
        <w:pStyle w:val="Heading3"/>
      </w:pPr>
      <w:r>
        <w:t xml:space="preserve">2.6 Aggregazione: sotto-indici e P-TSI (metodo primario)</w:t>
      </w:r>
    </w:p>
    <w:p>
      <w:pPr>
        <w:pStyle w:val="FirstParagraph"/>
      </w:pPr>
      <w:r>
        <w:t xml:space="preserve">Gli indicatori normalizzati sono aggregati per categoria mediante media aritmetica</w:t>
      </w:r>
      <w:r>
        <w:t xml:space="preserve"> </w:t>
      </w:r>
      <w:r>
        <w:t xml:space="preserve">ponderata, con pesi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</m:e>
            <m:sup>
              <m:r>
                <m:t> 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t>​</m:t>
          </m:r>
          <m:r>
            <m:t>​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A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r>
            <m:t>​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t> </m:t>
          </m:r>
          <m:sSubSup>
            <m:e>
              <m:r>
                <m:t>z</m:t>
              </m:r>
            </m:e>
            <m:sub>
              <m:r>
                <m:t>k</m:t>
              </m:r>
            </m:sub>
            <m:sup>
              <m:r>
                <m:t> </m:t>
              </m:r>
              <m:r>
                <m:t>t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</m:e>
            <m:sup>
              <m:r>
                <m:t> 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t>​</m:t>
          </m:r>
          <m:r>
            <m:t>​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r>
            <m:t>​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t> </m:t>
          </m:r>
          <m:sSubSup>
            <m:e>
              <m:r>
                <m:t>z</m:t>
              </m:r>
            </m:e>
            <m:sub>
              <m:r>
                <m:t>k</m:t>
              </m:r>
            </m:sub>
            <m:sup>
              <m:r>
                <m:t> </m:t>
              </m:r>
              <m:r>
                <m:t>t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I</m:t>
              </m:r>
            </m:e>
            <m:sup>
              <m:r>
                <m:t> 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t>​</m:t>
          </m:r>
          <m:r>
            <m:t>​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Q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r>
            <m:t>​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t> </m:t>
          </m:r>
          <m:sSubSup>
            <m:e>
              <m:r>
                <m:t>z</m:t>
              </m:r>
            </m:e>
            <m:sub>
              <m:r>
                <m:t>k</m:t>
              </m:r>
            </m:sub>
            <m:sup>
              <m:r>
                <m:t> </m:t>
              </m:r>
              <m:r>
                <m:t>t</m:t>
              </m:r>
            </m:sup>
          </m:sSubSup>
        </m:oMath>
      </m:oMathPara>
    </w:p>
    <w:p>
      <w:pPr>
        <w:pStyle w:val="FirstParagraph"/>
      </w:pPr>
      <w:r>
        <w:t xml:space="preserve">Nel caso di riferimento si adotta l’</w:t>
      </w:r>
      <w:r>
        <w:rPr>
          <w:b/>
          <w:bCs/>
        </w:rPr>
        <w:t xml:space="preserve">equipesatura</w:t>
      </w:r>
      <w:r>
        <w:t xml:space="preserve"> </w:t>
      </w:r>
      <w:r>
        <w:t xml:space="preserve">all’interno di ciascuna</w:t>
      </w:r>
      <w:r>
        <w:t xml:space="preserve"> </w:t>
      </w:r>
      <w:r>
        <w:t xml:space="preserve">categoria,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con</w:t>
      </w:r>
      <w:r>
        <w:t xml:space="preserve"> </w:t>
      </w:r>
      <m:oMath>
        <m:sSub>
          <m:e>
            <m:r>
              <m:t>M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numero di indicatori della dimensione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L’indice sintetico è la combinazione ponderata dei tre sotto-indici, con pesi</w:t>
      </w:r>
      <w:r>
        <w:t xml:space="preserve"> </w:t>
      </w:r>
      <m:oMath>
        <m:sSub>
          <m:e>
            <m:r>
              <m:t>α</m:t>
            </m:r>
          </m:e>
          <m:sub>
            <m:r>
              <m:t>d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b>
              <m:e>
                <m:r>
                  <m:t>α</m:t>
                </m:r>
              </m:e>
              <m:sub>
                <m:r>
                  <m:t>d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nor/>
                  <m:sty m:val="p"/>
                </m:rPr>
                <m:t>P-TSI</m:t>
              </m:r>
            </m:e>
            <m:sup>
              <m:r>
                <m:t> 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}</m:t>
              </m:r>
            </m:sub>
            <m:sup>
              <m:r>
                <m:t>​</m:t>
              </m:r>
            </m:sup>
            <m:e>
              <m:sSub>
                <m:e>
                  <m:r>
                    <m:t>α</m:t>
                  </m:r>
                </m:e>
                <m:sub>
                  <m:r>
                    <m:t>d</m:t>
                  </m:r>
                </m:sub>
              </m:sSub>
            </m:e>
          </m:nary>
          <m:r>
            <m:t> 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d</m:t>
              </m:r>
            </m:sub>
            <m:sup>
              <m:r>
                <m:t> 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A</m:t>
              </m:r>
            </m:sub>
          </m:sSub>
          <m:r>
            <m:t> </m:t>
          </m:r>
          <m:s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</m:e>
            <m:sup>
              <m:r>
                <m:t> </m:t>
              </m:r>
              <m:r>
                <m:t>t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</m:sub>
          </m:sSub>
          <m:r>
            <m:t> 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</m:e>
            <m:sup>
              <m:r>
                <m:t> </m:t>
              </m:r>
              <m:r>
                <m:t>t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Q</m:t>
              </m:r>
            </m:sub>
          </m:sSub>
          <m:r>
            <m:t> 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I</m:t>
              </m:r>
            </m:e>
            <m:sup>
              <m:r>
                <m:t> 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con</w:t>
      </w:r>
      <w:r>
        <w:t xml:space="preserve"> </w:t>
      </w:r>
      <m:oMath>
        <m:sSub>
          <m:e>
            <m:r>
              <m:t>α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nel caso di riferimento (le tre dimensioni hanno pari status</w:t>
      </w:r>
      <w:r>
        <w:t xml:space="preserve"> </w:t>
      </w:r>
      <w:r>
        <w:t xml:space="preserve">nell’indice composito). Questo schema —</w:t>
      </w:r>
      <w:r>
        <w:t xml:space="preserve"> </w:t>
      </w:r>
      <w:r>
        <w:rPr>
          <w:b/>
          <w:bCs/>
        </w:rPr>
        <w:t xml:space="preserve">z-score + pesi uguali</w:t>
      </w:r>
      <w:r>
        <w:t xml:space="preserve"> </w:t>
      </w:r>
      <w:r>
        <w:t xml:space="preserve">— è il</w:t>
      </w:r>
      <w:r>
        <w:t xml:space="preserve"> </w:t>
      </w:r>
      <w:r>
        <w:rPr>
          <w:b/>
          <w:bCs/>
        </w:rPr>
        <w:t xml:space="preserve">metodo</w:t>
      </w:r>
      <w:r>
        <w:rPr>
          <w:b/>
          <w:bCs/>
        </w:rPr>
        <w:t xml:space="preserve"> </w:t>
      </w:r>
      <w:r>
        <w:rPr>
          <w:b/>
          <w:bCs/>
        </w:rPr>
        <w:t xml:space="preserve">primario</w:t>
      </w:r>
      <w:r>
        <w:t xml:space="preserve"> </w:t>
      </w:r>
      <w:r>
        <w:t xml:space="preserve">ai fini del KPI, per aderenza al riferimento teorico</w:t>
      </w:r>
      <w:r>
        <w:rPr>
          <w:rStyle w:val="FootnoteReference"/>
        </w:rPr>
        <w:footnoteReference w:id="95"/>
      </w:r>
      <w:r>
        <w:t xml:space="preserve"> </w:t>
      </w:r>
      <w:r>
        <w:t xml:space="preserve">e per</w:t>
      </w:r>
      <w:r>
        <w:t xml:space="preserve"> </w:t>
      </w:r>
      <w:r>
        <w:t xml:space="preserve">massima trasparenza.</w:t>
      </w:r>
    </w:p>
    <w:bookmarkEnd w:id="96"/>
    <w:bookmarkStart w:id="98" w:name="X5fc334179c0c54224f30f53c65521be3b685818"/>
    <w:p>
      <w:pPr>
        <w:pStyle w:val="Heading3"/>
      </w:pPr>
      <w:r>
        <w:t xml:space="preserve">2.7 Metodo secondario: scoring 1–5 e ponderazione AHP</w:t>
      </w:r>
    </w:p>
    <w:p>
      <w:pPr>
        <w:pStyle w:val="FirstParagraph"/>
      </w:pPr>
      <w:r>
        <w:t xml:space="preserve">Al metodo primario si affianca, per la leggibilità assoluta e per la verifica</w:t>
      </w:r>
      <w:r>
        <w:t xml:space="preserve"> </w:t>
      </w:r>
      <w:r>
        <w:t xml:space="preserve">incrociata, un secondo schema mutuato dalla prassi operativa dell’O-TSA</w:t>
      </w:r>
      <w:r>
        <w:rPr>
          <w:rStyle w:val="FootnoteReference"/>
        </w:rPr>
        <w:footnoteReference w:id="97"/>
      </w:r>
      <w:r>
        <w:t xml:space="preserve"> </w:t>
      </w:r>
      <w:r>
        <w:t xml:space="preserve">e</w:t>
      </w:r>
      <w:r>
        <w:t xml:space="preserve"> </w:t>
      </w:r>
      <w:r>
        <w:t xml:space="preserve">di OR7.3. Ogni indicatore è mappato su una scala discreta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5</m:t>
        </m:r>
      </m:oMath>
      <w:r>
        <w:t xml:space="preserve"> </w:t>
      </w:r>
      <w:r>
        <w:t xml:space="preserve">tramite una</w:t>
      </w:r>
      <w:r>
        <w:t xml:space="preserve"> </w:t>
      </w:r>
      <w:r>
        <w:t xml:space="preserve">funzione a soglie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calibrata su standard, benchmark di settore e dati</w:t>
      </w:r>
      <w:r>
        <w:t xml:space="preserve"> </w:t>
      </w:r>
      <w:r>
        <w:t xml:space="preserve">storici: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</m:e>
                  <m:e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3</m:t>
                    </m:r>
                  </m:e>
                  <m:e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mr>
                <m:mr>
                  <m:e>
                    <m:r>
                      <m:t>4</m:t>
                    </m:r>
                  </m:e>
                  <m:e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e>
                </m:mr>
                <m:mr>
                  <m:e>
                    <m:r>
                      <m:t>5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 punteggi sono aggregati in punteggi dimensionali e nell’indice con pesi definiti</w:t>
      </w:r>
      <w:r>
        <w:t xml:space="preserve"> </w:t>
      </w:r>
      <w:r>
        <w:t xml:space="preserve">via</w:t>
      </w:r>
      <w:r>
        <w:t xml:space="preserve"> </w:t>
      </w:r>
      <w:r>
        <w:rPr>
          <w:i/>
          <w:iCs/>
        </w:rPr>
        <w:t xml:space="preserve">Analytic Hierarchy Process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nor/>
                  <m:sty m:val="p"/>
                </m:rPr>
                <m:t>P-TSI</m:t>
              </m:r>
            </m:e>
            <m:sup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b>
                <m:e>
                  <m:r>
                    <m:t>α</m:t>
                  </m:r>
                </m:e>
                <m:sub>
                  <m:r>
                    <m:t>d</m:t>
                  </m:r>
                </m:sub>
              </m:sSub>
            </m:e>
          </m:nary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</m:oMath>
      </m:oMathPara>
    </w:p>
    <w:p>
      <w:pPr>
        <w:pStyle w:val="FirstParagraph"/>
      </w:pPr>
      <w:r>
        <w:t xml:space="preserve">I pesi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α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derivano da matrici di confronto a coppie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(scala 1–9 di Saaty). Il vettore dei pesi è ottenuto per</w:t>
      </w:r>
      <w:r>
        <w:t xml:space="preserve"> </w:t>
      </w:r>
      <w:r>
        <w:rPr>
          <w:b/>
          <w:bCs/>
        </w:rPr>
        <w:t xml:space="preserve">media geometrica</w:t>
      </w:r>
      <w:r>
        <w:rPr>
          <w:b/>
          <w:bCs/>
        </w:rPr>
        <w:t xml:space="preserve"> </w:t>
      </w:r>
      <w:r>
        <w:rPr>
          <w:b/>
          <w:bCs/>
        </w:rPr>
        <w:t xml:space="preserve">normalizzata</w:t>
      </w:r>
      <w:r>
        <w:t xml:space="preserve"> </w:t>
      </w:r>
      <w:r>
        <w:t xml:space="preserve">(approssimazione dell’autovettore principale):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∏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nary>
                            <m:naryPr>
                              <m:chr m:val="∏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l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nary>
                        </m:e>
                      </m:d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n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La coerenza logica dei giudizi è verificata tramite l’indice e il rapporto di</w:t>
      </w:r>
      <w:r>
        <w:t xml:space="preserve"> </w:t>
      </w:r>
      <w:r>
        <w:t xml:space="preserve">consistenza, con soglia di accettazione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bi"/>
                    </m:rPr>
                    <m:t>w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I</m:t>
              </m:r>
            </m:num>
            <m:den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</m:den>
          </m:f>
        </m:oMath>
      </m:oMathPara>
    </w:p>
    <w:p>
      <w:pPr>
        <w:pStyle w:val="FirstParagraph"/>
      </w:pPr>
      <w:r>
        <w:t xml:space="preserve">dove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I</m:t>
        </m:r>
      </m:oMath>
      <w:r>
        <w:t xml:space="preserve"> </w:t>
      </w:r>
      <w:r>
        <w:t xml:space="preserve">è l’indice casuale (</w:t>
      </w:r>
      <m:oMath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58</m:t>
        </m:r>
      </m:oMath>
      <w:r>
        <w:t xml:space="preserve"> </w:t>
      </w:r>
      <w:r>
        <w:t xml:space="preserve">per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bookmarkEnd w:id="98"/>
    <w:bookmarkStart w:id="99" w:name="X9b15860280cf470b58db83cb3449d9b4818515f"/>
    <w:p>
      <w:pPr>
        <w:pStyle w:val="Heading3"/>
      </w:pPr>
      <w:r>
        <w:t xml:space="preserve">2.8 Lettura temporale: Technology Improvement Index (TII)</w:t>
      </w:r>
    </w:p>
    <w:p>
      <w:pPr>
        <w:pStyle w:val="FirstParagraph"/>
      </w:pPr>
      <w:r>
        <w:t xml:space="preserve">La dinamica della sostenibilità tecnologica è colta dal</w:t>
      </w:r>
      <w:r>
        <w:t xml:space="preserve"> </w:t>
      </w:r>
      <w:r>
        <w:rPr>
          <w:b/>
          <w:bCs/>
        </w:rPr>
        <w:t xml:space="preserve">Technology Improvement</w:t>
      </w:r>
      <w:r>
        <w:rPr>
          <w:b/>
          <w:bCs/>
        </w:rPr>
        <w:t xml:space="preserve"> </w:t>
      </w:r>
      <w:r>
        <w:rPr>
          <w:b/>
          <w:bCs/>
        </w:rPr>
        <w:t xml:space="preserve">Index</w:t>
      </w:r>
      <w:r>
        <w:t xml:space="preserve">, variazione percentuale del P-TSI tra due periodi consecutivi: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e>
            <m:sup>
              <m:r>
                <m:t> 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P-TSI</m:t>
                      </m:r>
                    </m:e>
                    <m:sup>
                      <m:r>
                        <m:t> 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P-TSI</m:t>
                      </m:r>
                    </m:e>
                    <m:sup>
                      <m:r>
                        <m:t> 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</m:oMath>
      </m:oMathPara>
    </w:p>
    <w:p>
      <w:pPr>
        <w:pStyle w:val="FirstParagraph"/>
      </w:pPr>
      <w:r>
        <w:t xml:space="preserve">con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miglioramento,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stabilità,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regressione. In prospettiva OR7.8 il TII sarà calcolato su base mensile lungo i 12</w:t>
      </w:r>
      <w:r>
        <w:t xml:space="preserve"> </w:t>
      </w:r>
      <w:r>
        <w:t xml:space="preserve">mesi di monitoraggio del collaudo.</w:t>
      </w:r>
    </w:p>
    <w:bookmarkEnd w:id="99"/>
    <w:bookmarkStart w:id="100" w:name="architettura-dei-dati-e-governance"/>
    <w:p>
      <w:pPr>
        <w:pStyle w:val="Heading3"/>
      </w:pPr>
      <w:r>
        <w:t xml:space="preserve">2.9 Architettura dei dati e governance</w:t>
      </w:r>
    </w:p>
    <w:p>
      <w:pPr>
        <w:pStyle w:val="FirstParagraph"/>
      </w:pPr>
      <w:r>
        <w:t xml:space="preserve">La pipeline di calcolo è alimentabile indifferentemente da serie storiche</w:t>
      </w:r>
      <w:r>
        <w:t xml:space="preserve"> </w:t>
      </w:r>
      <w:r>
        <w:rPr>
          <w:b/>
          <w:bCs/>
        </w:rPr>
        <w:t xml:space="preserve">ERP/MES</w:t>
      </w:r>
      <w:r>
        <w:t xml:space="preserve"> </w:t>
      </w:r>
      <w:r>
        <w:t xml:space="preserve">e da dati in tempo reale consolidati via</w:t>
      </w:r>
      <w:r>
        <w:t xml:space="preserve"> </w:t>
      </w:r>
      <w:r>
        <w:rPr>
          <w:b/>
          <w:bCs/>
        </w:rPr>
        <w:t xml:space="preserve">E2C</w:t>
      </w:r>
      <w:r>
        <w:t xml:space="preserve">, con identica</w:t>
      </w:r>
      <w:r>
        <w:t xml:space="preserve"> </w:t>
      </w:r>
      <w:r>
        <w:t xml:space="preserve">struttura logica (come in OR7.3). Gli artefatti sono versionati e tracciabili: il</w:t>
      </w:r>
      <w:r>
        <w:t xml:space="preserve"> </w:t>
      </w:r>
      <w:r>
        <w:t xml:space="preserve">dataset di input (</w:t>
      </w:r>
      <w:r>
        <w:rPr>
          <w:rStyle w:val="VerbatimChar"/>
        </w:rPr>
        <w:t xml:space="preserve">RP7.4_dataset_sintetico.xlsx</w:t>
      </w:r>
      <w:r>
        <w:t xml:space="preserve">), la libreria di soglie e pesi</w:t>
      </w:r>
      <w:r>
        <w:t xml:space="preserve"> </w:t>
      </w:r>
      <w:r>
        <w:t xml:space="preserve">(</w:t>
      </w:r>
      <w:r>
        <w:rPr>
          <w:rStyle w:val="VerbatimChar"/>
        </w:rPr>
        <w:t xml:space="preserve">RP7.4_weights.xlsx</w:t>
      </w:r>
      <w:r>
        <w:t xml:space="preserve">), il registro di calcolo riga-per-riga</w:t>
      </w:r>
      <w:r>
        <w:t xml:space="preserve"> </w:t>
      </w:r>
      <w:r>
        <w:t xml:space="preserve">(</w:t>
      </w:r>
      <w:r>
        <w:rPr>
          <w:rStyle w:val="VerbatimChar"/>
        </w:rPr>
        <w:t xml:space="preserve">RP7.4_calculation_log.xlsx</w:t>
      </w:r>
      <w:r>
        <w:t xml:space="preserve">) e il codice (</w:t>
      </w:r>
      <w:r>
        <w:rPr>
          <w:rStyle w:val="VerbatimChar"/>
        </w:rPr>
        <w:t xml:space="preserve">RP7.4_build.py</w:t>
      </w:r>
      <w:r>
        <w:t xml:space="preserve">), che ricostruisce</w:t>
      </w:r>
      <w:r>
        <w:t xml:space="preserve"> </w:t>
      </w:r>
      <w:r>
        <w:t xml:space="preserve">integralmente indicatori, indici e figure a struttura invariata; le serie sono in</w:t>
      </w:r>
      <w:r>
        <w:t xml:space="preserve"> </w:t>
      </w:r>
      <w:r>
        <w:t xml:space="preserve">corso di consolidamento.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14" w:name="risultati"/>
    <w:p>
      <w:pPr>
        <w:pStyle w:val="Heading2"/>
      </w:pPr>
      <w:r>
        <w:t xml:space="preserve">3. RISULTATI</w:t>
      </w:r>
    </w:p>
    <w:bookmarkStart w:id="102" w:name="intensità-energetica-di-processo"/>
    <w:p>
      <w:pPr>
        <w:pStyle w:val="Heading3"/>
      </w:pPr>
      <w:r>
        <w:t xml:space="preserve">3.1 Intensità energetica di processo</w:t>
      </w:r>
    </w:p>
    <w:p>
      <w:pPr>
        <w:pStyle w:val="FirstParagraph"/>
      </w:pPr>
      <w:r>
        <w:t xml:space="preserve">L’energia specifica di processo cresce con la massa (e quindi con lo spessore)</w:t>
      </w:r>
      <w:r>
        <w:t xml:space="preserve"> </w:t>
      </w:r>
      <w:r>
        <w:t xml:space="preserve">della tipologia, coerentemente con le serie di OR7.3 per gli stabilimenti D060 e</w:t>
      </w:r>
      <w:r>
        <w:t xml:space="preserve"> </w:t>
      </w:r>
      <w:r>
        <w:t xml:space="preserve">D240.</w:t>
      </w:r>
    </w:p>
    <w:p>
      <w:pPr>
        <w:pStyle w:val="TableCaption"/>
      </w:pPr>
      <w:r>
        <w:rPr>
          <w:b/>
          <w:bCs/>
        </w:rPr>
        <w:t xml:space="preserve">Tabella 2</w:t>
      </w:r>
      <w:r>
        <w:t xml:space="preserve"> </w:t>
      </w:r>
      <w:r>
        <w:t xml:space="preserve">— Intensità energetica di processo per</w:t>
      </w:r>
      <w: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la 2 — Intensità energetica di processo per \mathrm{m^2}.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0B5A3C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Tipologia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Massa [kg/m²]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Energia specifica di processo [MJ/m²]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· 7,4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· 8,2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· 20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127,5</w:t>
            </w:r>
          </w:p>
        </w:tc>
      </w:tr>
    </w:tbl>
    <w:bookmarkEnd w:id="102"/>
    <w:bookmarkStart w:id="103" w:name="indicatori-per-categoria"/>
    <w:p>
      <w:pPr>
        <w:pStyle w:val="Heading3"/>
      </w:pPr>
      <w:r>
        <w:t xml:space="preserve">3.2 Indicatori per categoria</w:t>
      </w:r>
    </w:p>
    <w:p>
      <w:pPr>
        <w:pStyle w:val="TableCaption"/>
      </w:pPr>
      <w:r>
        <w:rPr>
          <w:b/>
          <w:bCs/>
        </w:rPr>
        <w:t xml:space="preserve">Tabella 3</w:t>
      </w:r>
      <w:r>
        <w:t xml:space="preserve"> </w:t>
      </w:r>
      <w:r>
        <w:t xml:space="preserve">— IOA ·</w:t>
      </w:r>
      <w:r>
        <w:t xml:space="preserve"> </w:t>
      </w:r>
      <w:r>
        <w:rPr>
          <w:i/>
          <w:iCs/>
        </w:rPr>
        <w:t xml:space="preserve">Stock Coverage Rate</w:t>
      </w:r>
      <w:r>
        <w:t xml:space="preserve"> </w:t>
      </w:r>
      <w:r>
        <w:t xml:space="preserve">per input e tipologia.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ella 3 — IOA · Stock Coverage Rate per input e tipologia.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>
            <w:shd w:val="clear" w:color="auto" w:fill="0B5A3C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SCR — copertura scorte [giorni]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T1 · 7,4 mm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T2 · 8,2 mm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T3 · 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Materie prime (Sourcing)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Prodotto finito (Internal Logistics)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Smalti/inchiostri (Operations)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33,3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Tabella 4</w:t>
      </w:r>
      <w:r>
        <w:t xml:space="preserve"> </w:t>
      </w:r>
      <w:r>
        <w:t xml:space="preserve">— OP ·</w:t>
      </w:r>
      <w:r>
        <w:t xml:space="preserve"> </w:t>
      </w:r>
      <w:r>
        <w:rPr>
          <w:i/>
          <w:iCs/>
        </w:rPr>
        <w:t xml:space="preserve">Productivity Indicators</w:t>
      </w:r>
      <w:r>
        <w:t xml:space="preserve"> </w:t>
      </w:r>
      <w:r>
        <w:t xml:space="preserve">per metrica e tipologia.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la 4 — OP · Productivity Indicators per metrica e tipologia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0B5A3C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PsI — produttività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Unità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T1 · 7,4 mm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T2 · 8,2 mm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T3 · 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Produttività energetica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m²/GJ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Resa di materiale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m²/m²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Throughput di linea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m²/h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210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Tabella 5</w:t>
      </w:r>
      <w:r>
        <w:t xml:space="preserve"> </w:t>
      </w:r>
      <w:r>
        <w:t xml:space="preserve">— TQ ·</w:t>
      </w:r>
      <w:r>
        <w:t xml:space="preserve"> </w:t>
      </w:r>
      <w:r>
        <w:rPr>
          <w:i/>
          <w:iCs/>
        </w:rPr>
        <w:t xml:space="preserve">Output Conformity Rate</w:t>
      </w:r>
      <w:r>
        <w:t xml:space="preserve"> </w:t>
      </w:r>
      <w:r>
        <w:t xml:space="preserve">per parametro (</w:t>
      </w:r>
      <m:oMath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= conforme con margine).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ella 5 — TQ · Output Conformity Rate per parametro (\ge 1 = conforme con margine)."/>
      </w:tblPr>
      <w:tblGrid>
        <w:gridCol w:w="1320"/>
        <w:gridCol w:w="1320"/>
        <w:gridCol w:w="1760"/>
        <w:gridCol w:w="1760"/>
        <w:gridCol w:w="1760"/>
      </w:tblGrid>
      <w:tr>
        <w:trPr>
          <w:tblHeader w:val="on"/>
        </w:trPr>
        <w:tc>
          <w:tcPr>
            <w:shd w:val="clear" w:color="auto" w:fill="0B5A3C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OCR</w:t>
            </w:r>
            <w:r>
              <w:rPr>
                <w:b/>
                <w:color w:val="FFFFFF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oMath>
          </w:p>
        </w:tc>
        <w:tc>
          <w:tcPr>
            <w:shd w:val="clear" w:color="auto" w:fill="0B5A3C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Norma / soglia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T1 · 7,4 mm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T2 · 8,2 mm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T3 · 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Resistenza a flessione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10545-4 /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35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1,371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Sforzo di rottura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10545-4 /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700</m:t>
              </m:r>
            </m:oMath>
            <w:r>
              <w:t xml:space="preserve">–</w:t>
            </w:r>
            <m:oMath>
              <m:r>
                <m:t>1300</m:t>
              </m:r>
              <m:r>
                <m:t> </m:t>
              </m:r>
              <m:r>
                <m:rPr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Qualità superficiale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10545-2 /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95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1,027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1,015</w:t>
            </w:r>
          </w:p>
        </w:tc>
      </w:tr>
    </w:tbl>
    <w:bookmarkEnd w:id="103"/>
    <w:bookmarkStart w:id="107" w:name="X033f6a3f59a27f89e81539ecbd5c1c24fae52a1"/>
    <w:p>
      <w:pPr>
        <w:pStyle w:val="Heading3"/>
      </w:pPr>
      <w:r>
        <w:t xml:space="preserve">3.3 Sotto-indici e P-TSI — metodo primario (z-score + pesi uguali)</w:t>
      </w:r>
    </w:p>
    <w:p>
      <w:pPr>
        <w:pStyle w:val="TableCaption"/>
      </w:pPr>
      <w:r>
        <w:rPr>
          <w:b/>
          <w:bCs/>
        </w:rPr>
        <w:t xml:space="preserve">Tabella 6</w:t>
      </w:r>
      <w:r>
        <w:t xml:space="preserve"> </w:t>
      </w:r>
      <w:r>
        <w:t xml:space="preserve">— Sotto-indici z-score e P-TSI (equipesatura). Ordinamento:</w:t>
      </w:r>
      <w:r>
        <w:t xml:space="preserve"> </w:t>
      </w:r>
      <w:r>
        <w:rPr>
          <w:b/>
          <w:bCs/>
        </w:rPr>
        <w:t xml:space="preserve">T3 &gt; T1 &gt; T2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la 6 — Sotto-indici z-score e P-TSI (equipesatura). Ordinamento: T3 &gt; T1 &gt; T2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0B5A3C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Tipologia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IOAI (z)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OPI (z)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TQI (z)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bCs/>
                <w:color w:val="FFFFFF"/>
              </w:rPr>
              <w:t xml:space="preserve">P-TSI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· 7,4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−0,920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+0,970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−0,047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· 8,2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−0,466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+0,403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−0,115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· 20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+1,385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−1,372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+0,472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+0,162</w:t>
            </w:r>
          </w:p>
        </w:tc>
      </w:tr>
    </w:tbl>
    <w:p>
      <w:pPr>
        <w:pStyle w:val="CaptionedFigure"/>
      </w:pPr>
      <w:r>
        <w:drawing>
          <wp:inline>
            <wp:extent cx="4782820" cy="2697688"/>
            <wp:effectExtent b="0" l="0" r="0" t="0"/>
            <wp:docPr descr="Figura 1 — Profilo dimensionale per tipologia (z-score): T3 forte su IOA e TQ, debole su OP; T1 profilo speculare (forte OP)." title="" id="105" name="Picture"/>
            <a:graphic>
              <a:graphicData uri="http://schemas.openxmlformats.org/drawingml/2006/picture">
                <pic:pic>
                  <pic:nvPicPr>
                    <pic:cNvPr descr="RP7.4_fig1_profilo_dimensional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820" cy="2697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Figura 1</w:t>
      </w:r>
      <w:r>
        <w:t xml:space="preserve"> </w:t>
      </w:r>
      <w:r>
        <w:t xml:space="preserve">— Profilo dimensionale per tipologia (z-score): T3 forte su IOA e TQ, debole su OP; T1 profilo speculare (forte OP).</w:t>
      </w:r>
    </w:p>
    <w:bookmarkEnd w:id="107"/>
    <w:bookmarkStart w:id="111" w:name="X9e54ea9254a727b8d18b1ac2e8acd4847cd77ca"/>
    <w:p>
      <w:pPr>
        <w:pStyle w:val="Heading3"/>
      </w:pPr>
      <w:r>
        <w:t xml:space="preserve">3.4 Sotto-indici e P-TSI — metodo secondario (scoring 1–5 + AHP)</w:t>
      </w:r>
    </w:p>
    <w:p>
      <w:pPr>
        <w:pStyle w:val="FirstParagraph"/>
      </w:pPr>
      <w:r>
        <w:t xml:space="preserve">I pesi AHP tra le dimensioni risultano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1634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2970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5396</m:t>
        </m:r>
      </m:oMath>
      <w:r>
        <w:t xml:space="preserve"> </w:t>
      </w:r>
      <w:r>
        <w:t xml:space="preserve">(priorità alla</w:t>
      </w:r>
      <w:r>
        <w:t xml:space="preserve"> </w:t>
      </w:r>
      <w:r>
        <w:t xml:space="preserve">qualità/conformità del prodotto), con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0092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0046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0079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(matrice consistente).</w:t>
      </w:r>
    </w:p>
    <w:p>
      <w:pPr>
        <w:pStyle w:val="TableCaption"/>
      </w:pPr>
      <w:r>
        <w:rPr>
          <w:b/>
          <w:bCs/>
        </w:rPr>
        <w:t xml:space="preserve">Tabella 7</w:t>
      </w:r>
      <w:r>
        <w:t xml:space="preserve"> </w:t>
      </w:r>
      <w:r>
        <w:t xml:space="preserve">— Punteggi dimensionali, P-TSI ponderato AHP e TII. Ordinamento:</w:t>
      </w:r>
      <w:r>
        <w:t xml:space="preserve"> </w:t>
      </w:r>
      <w:r>
        <w:rPr>
          <w:b/>
          <w:bCs/>
        </w:rPr>
        <w:t xml:space="preserve">T3 &gt; T1 &gt; T2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ella 7 — Punteggi dimensionali, P-TSI ponderato AHP e TII. Ordinamento: T3 &gt; T1 &gt; T2.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>
            <w:shd w:val="clear" w:color="auto" w:fill="0B5A3C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Tipologia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S_IOA [1–5]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S_OP [1–5]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S_TQ [1–5]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bCs/>
                <w:color w:val="FFFFFF"/>
              </w:rPr>
              <w:t xml:space="preserve">P-TSI [1–5]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bCs/>
                <w:color w:val="FFFFFF"/>
              </w:rPr>
              <w:t xml:space="preserve">TII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· 7,4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3,73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+3,97 %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· 8,2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+3,19 %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· 20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+9,84 %</w:t>
            </w:r>
          </w:p>
        </w:tc>
      </w:tr>
    </w:tbl>
    <w:p>
      <w:pPr>
        <w:pStyle w:val="CaptionedFigure"/>
      </w:pPr>
      <w:r>
        <w:drawing>
          <wp:inline>
            <wp:extent cx="4236212" cy="2752921"/>
            <wp:effectExtent b="0" l="0" r="0" t="0"/>
            <wp:docPr descr="Figura 2 — P-TSI (scala 1–5) e miglioramento annuo (TII) per tipologia." title="" id="109" name="Picture"/>
            <a:graphic>
              <a:graphicData uri="http://schemas.openxmlformats.org/drawingml/2006/picture">
                <pic:pic>
                  <pic:nvPicPr>
                    <pic:cNvPr descr="RP7.4_fig2_ptsi_tii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212" cy="275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Figura 2</w:t>
      </w:r>
      <w:r>
        <w:t xml:space="preserve"> </w:t>
      </w:r>
      <w:r>
        <w:t xml:space="preserve">— P-TSI (scala 1–5) e miglioramento annuo (TII) per tipologia.</w:t>
      </w:r>
    </w:p>
    <w:bookmarkEnd w:id="111"/>
    <w:bookmarkStart w:id="112" w:name="analisi-di-sensibilità"/>
    <w:p>
      <w:pPr>
        <w:pStyle w:val="Heading3"/>
      </w:pPr>
      <w:r>
        <w:t xml:space="preserve">3.5 Analisi di sensibilità</w:t>
      </w:r>
    </w:p>
    <w:p>
      <w:pPr>
        <w:pStyle w:val="TableCaption"/>
      </w:pPr>
      <w:r>
        <w:rPr>
          <w:b/>
          <w:bCs/>
        </w:rPr>
        <w:t xml:space="preserve">Tabella 8</w:t>
      </w:r>
      <w:r>
        <w:t xml:space="preserve"> </w:t>
      </w:r>
      <w:r>
        <w:t xml:space="preserve">— Stabilità dell’ordinamento. T3 primeggia in 3 scenari su 6 (quelli in cui disponibilità e qualità hanno peso normale o superiore); T1 primeggia quando si privilegia l’efficienza operativa; T2 non è mai primo.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la 8 — Stabilità dell’ordinamento. T3 primeggia in 3 scenari su 6 (quelli in cui disponibilità e qualità hanno peso normale o superiore); T1 primeggia quando si privilegia l’efficienza operativa; T2 non è mai primo.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0B5A3C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Scenario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Ordinamento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z-score + pesi uguali (primario)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T3 &gt; T1 &gt; 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z-score + pesi AHP (TQ&gt;OP&gt;IOA)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 &gt; T1 &gt; 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1–5 + AHP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 &gt; T1 &gt; 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1–5 + pesi uguali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 &gt; T2 &gt; T3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z-score focus OP (0,25/0,50/0,25)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 &gt; T2 &gt; T3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z-score focus disponibilità/qualità (0,40/0,20/0,40)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 &gt; T2 &gt; T1</w:t>
            </w:r>
          </w:p>
        </w:tc>
      </w:tr>
    </w:tbl>
    <w:bookmarkEnd w:id="112"/>
    <w:bookmarkStart w:id="113" w:name="verifica-dei-kpi-di-attività"/>
    <w:p>
      <w:pPr>
        <w:pStyle w:val="Heading3"/>
      </w:pPr>
      <w:r>
        <w:t xml:space="preserve">3.6 Verifica dei KPI di attività</w:t>
      </w:r>
    </w:p>
    <w:p>
      <w:pPr>
        <w:pStyle w:val="TableCaption"/>
      </w:pPr>
      <w:r>
        <w:rPr>
          <w:b/>
          <w:bCs/>
        </w:rPr>
        <w:t xml:space="preserve">Tabella 9</w:t>
      </w:r>
      <w:r>
        <w:t xml:space="preserve"> </w:t>
      </w:r>
      <w:r>
        <w:t xml:space="preserve">— Verifica dei KPI di attività: obiettivi raggiunti.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ella 9 — Verifica dei KPI di attività: obiettivi raggiunti.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>
            <w:shd w:val="clear" w:color="auto" w:fill="0B5A3C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KPI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Baseline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Obiettivo</w:t>
            </w:r>
          </w:p>
        </w:tc>
        <w:tc>
          <w:tcPr>
            <w:shd w:val="clear" w:color="auto" w:fill="0B5A3C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Risultato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 (IOA)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Indicatore per 3 tipologie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SCR × 3 tipologie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 (OP)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Indicatore per 3 tipologie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PsI × 3 tipologie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 (TQ)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Indicatore per 3 tipologie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OCR × 3 tipologie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P-TSI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Indice per 3 tipologie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P-TSI (z-score e scoring/AHP)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Consistenza AHP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0079</m:t>
              </m:r>
            </m:oMath>
            <w:r>
              <w:t xml:space="preserve"> </w:t>
            </w:r>
            <w:r>
              <w:t xml:space="preserve">(consistente)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End w:id="114"/>
    <w:bookmarkStart w:id="122" w:name="discussione-e-conclusioni"/>
    <w:p>
      <w:pPr>
        <w:pStyle w:val="Heading2"/>
      </w:pPr>
      <w:r>
        <w:t xml:space="preserve">4. DISCUSSIONE E CONCLUSIONI</w:t>
      </w:r>
    </w:p>
    <w:bookmarkStart w:id="115" w:name="lettura-dei-risultati"/>
    <w:p>
      <w:pPr>
        <w:pStyle w:val="Heading3"/>
      </w:pPr>
      <w:r>
        <w:t xml:space="preserve">4.1 Lettura dei risultati</w:t>
      </w:r>
    </w:p>
    <w:p>
      <w:pPr>
        <w:pStyle w:val="FirstParagraph"/>
      </w:pPr>
      <w:r>
        <w:t xml:space="preserve">Il P-TSA restituisce</w:t>
      </w:r>
      <w:r>
        <w:t xml:space="preserve"> </w:t>
      </w:r>
      <w:r>
        <w:rPr>
          <w:b/>
          <w:bCs/>
        </w:rPr>
        <w:t xml:space="preserve">profili tecnologici nettamente differenziati</w:t>
      </w:r>
      <w:r>
        <w:t xml:space="preserve"> </w:t>
      </w:r>
      <w:r>
        <w:t xml:space="preserve">tra le tre</w:t>
      </w:r>
      <w:r>
        <w:t xml:space="preserve"> </w:t>
      </w:r>
      <w:r>
        <w:t xml:space="preserve">tipologie, ciascuno coerente con la natura fisica e d’uso del prodotto. La</w:t>
      </w:r>
      <w:r>
        <w:t xml:space="preserve"> </w:t>
      </w:r>
      <w:r>
        <w:t xml:space="preserve">tipologia</w:t>
      </w:r>
      <w:r>
        <w:t xml:space="preserve"> </w:t>
      </w:r>
      <w:r>
        <w:rPr>
          <w:b/>
          <w:bCs/>
        </w:rPr>
        <w:t xml:space="preserve">T3 (20 mm, gres spessorato outdoor)</w:t>
      </w:r>
      <w:r>
        <w:t xml:space="preserve"> </w:t>
      </w:r>
      <w:r>
        <w:t xml:space="preserve">risulta la più sostenibile sul</w:t>
      </w:r>
      <w:r>
        <w:t xml:space="preserve"> </w:t>
      </w:r>
      <w:r>
        <w:t xml:space="preserve">piano tecnologico secondo il metodo primario (</w:t>
      </w:r>
      <m:oMath>
        <m:sSub>
          <m:e>
            <m:r>
              <m:rPr>
                <m:nor/>
                <m:sty m:val="p"/>
              </m:rPr>
              <m:t>P-TSI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162</m:t>
        </m:r>
      </m:oMath>
      <w:r>
        <w:t xml:space="preserve">): eccelle</w:t>
      </w:r>
      <w:r>
        <w:t xml:space="preserve"> </w:t>
      </w:r>
      <w:r>
        <w:t xml:space="preserve">nella</w:t>
      </w:r>
      <w:r>
        <w:t xml:space="preserve"> </w:t>
      </w:r>
      <w:r>
        <w:rPr>
          <w:b/>
          <w:bCs/>
        </w:rPr>
        <w:t xml:space="preserve">disponibilità (IOA,</w:t>
      </w:r>
      <w:r>
        <w:rPr>
          <w:b/>
          <w:bCs/>
        </w:rP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385</m:t>
        </m:r>
      </m:oMath>
      <w:r>
        <w:rPr>
          <w:b/>
          <w:bCs/>
        </w:rPr>
        <w:t xml:space="preserve">)</w:t>
      </w:r>
      <w:r>
        <w:t xml:space="preserve">, grazie a scorte ampie</w:t>
      </w:r>
      <w:r>
        <w:t xml:space="preserve"> </w:t>
      </w:r>
      <w:r>
        <w:t xml:space="preserve">lungo tutta la catena, e nella</w:t>
      </w:r>
      <w:r>
        <w:t xml:space="preserve"> </w:t>
      </w:r>
      <w:r>
        <w:rPr>
          <w:b/>
          <w:bCs/>
        </w:rPr>
        <w:t xml:space="preserve">qualità tecnica (TQ,</w:t>
      </w:r>
      <w:r>
        <w:rPr>
          <w:b/>
          <w:bCs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472</m:t>
        </m:r>
      </m:oMath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t xml:space="preserve">trainata da uno sforzo di rottura strutturale molto elevato (</w:t>
      </w:r>
      <m:oMath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54</m:t>
        </m:r>
      </m:oMath>
      <w:r>
        <w:t xml:space="preserve">);</w:t>
      </w:r>
      <w:r>
        <w:t xml:space="preserve"> </w:t>
      </w:r>
      <w:r>
        <w:t xml:space="preserve">paga però la</w:t>
      </w:r>
      <w:r>
        <w:t xml:space="preserve"> </w:t>
      </w:r>
      <w:r>
        <w:rPr>
          <w:b/>
          <w:bCs/>
        </w:rPr>
        <w:t xml:space="preserve">performance operativa (OP,</w:t>
      </w:r>
      <w:r>
        <w:rPr>
          <w:b/>
          <w:bCs/>
        </w:rPr>
        <w:t xml:space="preserve"> </w:t>
      </w:r>
      <m:oMath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372</m:t>
        </m:r>
      </m:oMath>
      <w:r>
        <w:rPr>
          <w:b/>
          <w:bCs/>
        </w:rPr>
        <w:t xml:space="preserve">)</w:t>
      </w:r>
      <w:r>
        <w:t xml:space="preserve">, penalizzata</w:t>
      </w:r>
      <w:r>
        <w:t xml:space="preserve"> </w:t>
      </w:r>
      <w:r>
        <w:t xml:space="preserve">dall’elevata intensità energetica (</w:t>
      </w:r>
      <m:oMath>
        <m:r>
          <m:t>127</m:t>
        </m:r>
        <m:r>
          <m:rPr>
            <m:sty m:val="p"/>
          </m:rPr>
          <m:t>,</m:t>
        </m: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J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) e dal basso</w:t>
      </w:r>
      <w:r>
        <w:t xml:space="preserve"> </w:t>
      </w:r>
      <w:r>
        <w:t xml:space="preserve">throughput (</w:t>
      </w:r>
      <m:oMath>
        <m:r>
          <m:t>210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</m:oMath>
      <w:r>
        <w:t xml:space="preserve">). La tipologia</w:t>
      </w:r>
      <w:r>
        <w:t xml:space="preserve"> </w:t>
      </w:r>
      <w:r>
        <w:rPr>
          <w:b/>
          <w:bCs/>
        </w:rPr>
        <w:t xml:space="preserve">T1 (7,4 mm, alleggerito)</w:t>
      </w:r>
      <w:r>
        <w:t xml:space="preserve"> </w:t>
      </w:r>
      <w:r>
        <w:t xml:space="preserve">presenta il profilo speculare:</w:t>
      </w:r>
      <w:r>
        <w:t xml:space="preserve"> </w:t>
      </w:r>
      <w:r>
        <w:rPr>
          <w:b/>
          <w:bCs/>
        </w:rPr>
        <w:t xml:space="preserve">massima efficienza operativa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970</m:t>
        </m:r>
      </m:oMath>
      <w:r>
        <w:t xml:space="preserve">) ma minore copertura scorte e minori margini di</w:t>
      </w:r>
      <w:r>
        <w:t xml:space="preserve"> </w:t>
      </w:r>
      <w:r>
        <w:t xml:space="preserve">resistenza. La tipologia</w:t>
      </w:r>
      <w:r>
        <w:t xml:space="preserve"> </w:t>
      </w:r>
      <w:r>
        <w:rPr>
          <w:b/>
          <w:bCs/>
        </w:rPr>
        <w:t xml:space="preserve">T2 (8,2 mm, standard)</w:t>
      </w:r>
      <w:r>
        <w:t xml:space="preserve"> </w:t>
      </w:r>
      <w:r>
        <w:t xml:space="preserve">è mediana in tutte le dimensioni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non risulta mai prima</w:t>
      </w:r>
      <w:r>
        <w:t xml:space="preserve"> </w:t>
      </w:r>
      <w:r>
        <w:t xml:space="preserve">in alcuno scenario: emerge quindi come il</w:t>
      </w:r>
      <w:r>
        <w:t xml:space="preserve"> </w:t>
      </w:r>
      <w:r>
        <w:rPr>
          <w:b/>
          <w:bCs/>
        </w:rPr>
        <w:t xml:space="preserve">principale</w:t>
      </w:r>
      <w:r>
        <w:rPr>
          <w:b/>
          <w:bCs/>
        </w:rPr>
        <w:t xml:space="preserve"> </w:t>
      </w:r>
      <w:r>
        <w:rPr>
          <w:b/>
          <w:bCs/>
        </w:rPr>
        <w:t xml:space="preserve">candidato al miglioramento</w:t>
      </w:r>
      <w:r>
        <w:t xml:space="preserve"> </w:t>
      </w:r>
      <w:r>
        <w:t xml:space="preserve">del portafoglio analizzato. Il TII, positivo per tutte</w:t>
      </w:r>
      <w:r>
        <w:t xml:space="preserve"> </w:t>
      </w:r>
      <w:r>
        <w:t xml:space="preserve">le tipologie (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÷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%</m:t>
        </m:r>
      </m:oMath>
      <w:r>
        <w:t xml:space="preserve">), indica un miglioramento tendenziale rispetto</w:t>
      </w:r>
      <w:r>
        <w:t xml:space="preserve"> </w:t>
      </w:r>
      <w:r>
        <w:t xml:space="preserve">all’anno precedente, massimo per T3.</w:t>
      </w:r>
    </w:p>
    <w:bookmarkEnd w:id="115"/>
    <w:bookmarkStart w:id="116" w:name="X48331fa1e4696deabd2e44177fc3e69b5912673"/>
    <w:p>
      <w:pPr>
        <w:pStyle w:val="Heading3"/>
      </w:pPr>
      <w:r>
        <w:t xml:space="preserve">4.2 Commensurabilità, ponderazione e robustezza</w:t>
      </w:r>
    </w:p>
    <w:p>
      <w:pPr>
        <w:pStyle w:val="FirstParagraph"/>
      </w:pPr>
      <w:r>
        <w:t xml:space="preserve">Il modello tiene distinti, come in OR7.3, i due piani della</w:t>
      </w:r>
      <w:r>
        <w:t xml:space="preserve"> </w:t>
      </w:r>
      <w:r>
        <w:rPr>
          <w:b/>
          <w:bCs/>
        </w:rPr>
        <w:t xml:space="preserve">commensurabilità</w:t>
      </w:r>
      <w:r>
        <w:t xml:space="preserve"> </w:t>
      </w:r>
      <w:r>
        <w:t xml:space="preserve">e</w:t>
      </w:r>
      <w:r>
        <w:t xml:space="preserve"> </w:t>
      </w:r>
      <w:r>
        <w:t xml:space="preserve">della</w:t>
      </w:r>
      <w:r>
        <w:t xml:space="preserve"> </w:t>
      </w:r>
      <w:r>
        <w:rPr>
          <w:b/>
          <w:bCs/>
        </w:rPr>
        <w:t xml:space="preserve">ponderazione</w:t>
      </w:r>
      <w:r>
        <w:t xml:space="preserve">: la standardizzazione z-score rende sommabili indicatori di</w:t>
      </w:r>
      <w:r>
        <w:t xml:space="preserve"> </w:t>
      </w:r>
      <w:r>
        <w:t xml:space="preserve">unità eterogenee, mentre i pesi (uguali nel caso base, AHP nella variante) governano</w:t>
      </w:r>
      <w:r>
        <w:t xml:space="preserve"> </w:t>
      </w:r>
      <w:r>
        <w:t xml:space="preserve">l’importanza relativa in modo esplicito e verificabile. La</w:t>
      </w:r>
      <w:r>
        <w:t xml:space="preserve"> </w:t>
      </w:r>
      <w:r>
        <w:rPr>
          <w:b/>
          <w:bCs/>
        </w:rPr>
        <w:t xml:space="preserve">convergenza</w:t>
      </w:r>
      <w:r>
        <w:t xml:space="preserve"> </w:t>
      </w:r>
      <w:r>
        <w:t xml:space="preserve">tra il</w:t>
      </w:r>
      <w:r>
        <w:t xml:space="preserve"> </w:t>
      </w:r>
      <w:r>
        <w:t xml:space="preserve">metodo primario (z-score, pesi uguali) e il metodo secondario (scoring 1–5 con pesi</w:t>
      </w:r>
      <w:r>
        <w:t xml:space="preserve"> </w:t>
      </w:r>
      <w:r>
        <w:t xml:space="preserve">AHP) sull’ordinamento</w:t>
      </w:r>
      <w:r>
        <w:t xml:space="preserve"> </w:t>
      </w:r>
      <m:oMath>
        <m:r>
          <m:rPr>
            <m:nor/>
            <m:sty m:val="p"/>
          </m:rPr>
          <m:t>T3</m:t>
        </m:r>
        <m:r>
          <m:rPr>
            <m:sty m:val="p"/>
          </m:rPr>
          <m:t>&gt;</m:t>
        </m:r>
        <m:r>
          <m:rPr>
            <m:nor/>
            <m:sty m:val="p"/>
          </m:rPr>
          <m:t>T1</m:t>
        </m:r>
        <m:r>
          <m:rPr>
            <m:sty m:val="p"/>
          </m:rPr>
          <m:t>&gt;</m:t>
        </m:r>
        <m:r>
          <m:rPr>
            <m:nor/>
            <m:sty m:val="p"/>
          </m:rPr>
          <m:t>T2</m:t>
        </m:r>
      </m:oMath>
      <w:r>
        <w:t xml:space="preserve"> </w:t>
      </w:r>
      <w:r>
        <w:t xml:space="preserve">costituisce una</w:t>
      </w:r>
      <w:r>
        <w:t xml:space="preserve"> </w:t>
      </w:r>
      <w:r>
        <w:rPr>
          <w:b/>
          <w:bCs/>
        </w:rPr>
        <w:t xml:space="preserve">validazione incrociata</w:t>
      </w:r>
      <w:r>
        <w:t xml:space="preserve"> </w:t>
      </w:r>
      <w:r>
        <w:t xml:space="preserve">del risultato, analoga a quella tra EEA+ e footprint</w:t>
      </w:r>
      <w:r>
        <w:t xml:space="preserve"> </w:t>
      </w:r>
      <w:r>
        <w:t xml:space="preserve">family in OR7.3. L’analisi di sensibilità (Tabella 8) mostra tuttavia che</w:t>
      </w:r>
      <w:r>
        <w:t xml:space="preserve"> </w:t>
      </w:r>
      <w:r>
        <w:t xml:space="preserve">l’ordine dei primi due (T3</w:t>
      </w:r>
      <w:r>
        <w:t xml:space="preserve"> </w:t>
      </w:r>
      <w:r>
        <w:rPr>
          <w:i/>
          <w:iCs/>
        </w:rPr>
        <w:t xml:space="preserve">vs</w:t>
      </w:r>
      <w:r>
        <w:t xml:space="preserve"> </w:t>
      </w:r>
      <w:r>
        <w:t xml:space="preserve">T1)</w:t>
      </w:r>
      <w:r>
        <w:t xml:space="preserve"> </w:t>
      </w:r>
      <w:r>
        <w:rPr>
          <w:b/>
          <w:bCs/>
        </w:rPr>
        <w:t xml:space="preserve">non è invariante</w:t>
      </w:r>
      <w:r>
        <w:t xml:space="preserve">: quando la performance</w:t>
      </w:r>
      <w:r>
        <w:t xml:space="preserve"> </w:t>
      </w:r>
      <w:r>
        <w:t xml:space="preserve">operativa riceve peso preponderante, T1 supera T3. Lungi dall’essere una</w:t>
      </w:r>
      <w:r>
        <w:t xml:space="preserve"> </w:t>
      </w:r>
      <w:r>
        <w:t xml:space="preserve">debolezza, questa è</w:t>
      </w:r>
      <w:r>
        <w:t xml:space="preserve"> </w:t>
      </w:r>
      <w:r>
        <w:rPr>
          <w:b/>
          <w:bCs/>
        </w:rPr>
        <w:t xml:space="preserve">informazione decisionale</w:t>
      </w:r>
      <w:r>
        <w:t xml:space="preserve">: la designazione della tipologia</w:t>
      </w:r>
      <w:r>
        <w:t xml:space="preserve"> </w:t>
      </w:r>
      <w:r>
        <w:t xml:space="preserve">“più sostenibile”</w:t>
      </w:r>
      <w:r>
        <w:t xml:space="preserve"> </w:t>
      </w:r>
      <w:r>
        <w:t xml:space="preserve">dipende esplicitamente dalla priorità strategica</w:t>
      </w:r>
      <w:r>
        <w:t xml:space="preserve"> </w:t>
      </w:r>
      <w:r>
        <w:t xml:space="preserve">(disponibilità/qualità</w:t>
      </w:r>
      <w:r>
        <w:t xml:space="preserve"> </w:t>
      </w:r>
      <w:r>
        <w:rPr>
          <w:i/>
          <w:iCs/>
        </w:rPr>
        <w:t xml:space="preserve">contro</w:t>
      </w:r>
      <w:r>
        <w:t xml:space="preserve"> </w:t>
      </w:r>
      <w:r>
        <w:t xml:space="preserve">efficienza operativa), resa trasparente e</w:t>
      </w:r>
      <w:r>
        <w:t xml:space="preserve"> </w:t>
      </w:r>
      <w:r>
        <w:t xml:space="preserve">sindacabile dai pesi AHP consistenti (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0079</m:t>
        </m:r>
      </m:oMath>
      <w:r>
        <w:t xml:space="preserve">). Robusto in tutti gli</w:t>
      </w:r>
      <w:r>
        <w:t xml:space="preserve"> </w:t>
      </w:r>
      <w:r>
        <w:t xml:space="preserve">scenari è invece il posizionamento di</w:t>
      </w:r>
      <w:r>
        <w:t xml:space="preserve"> </w:t>
      </w:r>
      <w:r>
        <w:rPr>
          <w:b/>
          <w:bCs/>
        </w:rPr>
        <w:t xml:space="preserve">T2 in coda</w:t>
      </w:r>
      <w:r>
        <w:t xml:space="preserve">, che rende solida la sua</w:t>
      </w:r>
      <w:r>
        <w:t xml:space="preserve"> </w:t>
      </w:r>
      <w:r>
        <w:t xml:space="preserve">individuazione come priorità di intervento.</w:t>
      </w:r>
    </w:p>
    <w:bookmarkEnd w:id="116"/>
    <w:bookmarkStart w:id="117" w:name="interdipendenze-progettuali-1"/>
    <w:p>
      <w:pPr>
        <w:pStyle w:val="Heading3"/>
      </w:pPr>
      <w:r>
        <w:t xml:space="preserve">4.3 Interdipendenze progettuali</w:t>
      </w:r>
    </w:p>
    <w:p>
      <w:pPr>
        <w:pStyle w:val="FirstParagraph"/>
      </w:pPr>
      <w:r>
        <w:t xml:space="preserve">La RP7.4 chiude, sul versante del prodotto, il sistema di misura della</w:t>
      </w:r>
      <w:r>
        <w:t xml:space="preserve"> </w:t>
      </w:r>
      <w:r>
        <w:t xml:space="preserve">sostenibilità tecnologica del progetto. Dipende da OR6.8–6.9 per la definizione e</w:t>
      </w:r>
      <w:r>
        <w:t xml:space="preserve"> </w:t>
      </w:r>
      <w:r>
        <w:t xml:space="preserve">la caratterizzazione delle tipologie, da OR7.1–7.2 per l’infrastruttura E2C usata</w:t>
      </w:r>
      <w:r>
        <w:t xml:space="preserve"> </w:t>
      </w:r>
      <w:r>
        <w:t xml:space="preserve">come sorgente dati, e condivide con OR7.3 l’impianto di ponderazione AHP, i</w:t>
      </w:r>
      <w:r>
        <w:t xml:space="preserve"> </w:t>
      </w:r>
      <w:r>
        <w:t xml:space="preserve">controlli di coerenza e la logica di calcolo. A valle, insieme all’EEA+ Index di</w:t>
      </w:r>
      <w:r>
        <w:t xml:space="preserve"> </w:t>
      </w:r>
      <w:r>
        <w:t xml:space="preserve">OR7.3, il P-TSI fornisce i due indici del</w:t>
      </w:r>
      <w:r>
        <w:t xml:space="preserve"> </w:t>
      </w:r>
      <w:r>
        <w:rPr>
          <w:b/>
          <w:bCs/>
        </w:rPr>
        <w:t xml:space="preserve">collaudo della Intelligent Industry</w:t>
      </w:r>
      <w:r>
        <w:rPr>
          <w:b/>
          <w:bCs/>
        </w:rPr>
        <w:t xml:space="preserve"> </w:t>
      </w:r>
      <w:r>
        <w:rPr>
          <w:b/>
          <w:bCs/>
        </w:rPr>
        <w:t xml:space="preserve">(OR7.8)</w:t>
      </w:r>
      <w:r>
        <w:t xml:space="preserve"> </w:t>
      </w:r>
      <w:r>
        <w:t xml:space="preserve">e alimenta la caratterizzazione tecnologica dei prototipi di OR7.9. In</w:t>
      </w:r>
      <w:r>
        <w:t xml:space="preserve"> </w:t>
      </w:r>
      <w:r>
        <w:t xml:space="preserve">questo senso l’OR7.4 salda la linea infrastrutturale-cognitiva (E2C, Intelligent</w:t>
      </w:r>
      <w:r>
        <w:t xml:space="preserve"> </w:t>
      </w:r>
      <w:r>
        <w:t xml:space="preserve">Factory) con quella valutativa-metodologica (misura della sostenibilità),</w:t>
      </w:r>
      <w:r>
        <w:t xml:space="preserve"> </w:t>
      </w:r>
      <w:r>
        <w:t xml:space="preserve">estendendo al prodotto ciò che l’OR7.3 realizza per la fabbrica.</w:t>
      </w:r>
    </w:p>
    <w:bookmarkEnd w:id="117"/>
    <w:bookmarkStart w:id="118" w:name="X2d9efcb47712aa81677295ca6c1fae6d2574882"/>
    <w:p>
      <w:pPr>
        <w:pStyle w:val="Heading3"/>
      </w:pPr>
      <w:r>
        <w:t xml:space="preserve">4.4 Contributo innovativo rispetto allo stato dell’arte</w:t>
      </w:r>
    </w:p>
    <w:p>
      <w:pPr>
        <w:pStyle w:val="FirstParagraph"/>
      </w:pPr>
      <w:r>
        <w:t xml:space="preserve">La letteratura e la prassi industriale affrontano la sostenibilità del prodotto in</w:t>
      </w:r>
      <w:r>
        <w:t xml:space="preserve"> </w:t>
      </w:r>
      <w:r>
        <w:t xml:space="preserve">modo prevalentemente ambientale (LCA/EPD) o economico, mentre la</w:t>
      </w:r>
      <w:r>
        <w:t xml:space="preserve"> </w:t>
      </w:r>
      <w:r>
        <w:rPr>
          <w:b/>
          <w:bCs/>
        </w:rPr>
        <w:t xml:space="preserve">dimensione</w:t>
      </w:r>
      <w:r>
        <w:rPr>
          <w:b/>
          <w:bCs/>
        </w:rPr>
        <w:t xml:space="preserve"> </w:t>
      </w:r>
      <w:r>
        <w:rPr>
          <w:b/>
          <w:bCs/>
        </w:rPr>
        <w:t xml:space="preserve">tecnologica</w:t>
      </w:r>
      <w:r>
        <w:t xml:space="preserve"> </w:t>
      </w:r>
      <w:r>
        <w:t xml:space="preserve">resta non misurata e trattata come mero abilitatore. L’attività</w:t>
      </w:r>
      <w:r>
        <w:t xml:space="preserve"> </w:t>
      </w:r>
      <w:r>
        <w:t xml:space="preserve">supera questo limite con tre elementi di novità. In primo luogo, porta</w:t>
      </w:r>
      <w:r>
        <w:t xml:space="preserve"> </w:t>
      </w:r>
      <w:r>
        <w:rPr>
          <w:b/>
          <w:bCs/>
        </w:rPr>
        <w:t xml:space="preserve">a livello</w:t>
      </w:r>
      <w:r>
        <w:rPr>
          <w:b/>
          <w:bCs/>
        </w:rPr>
        <w:t xml:space="preserve"> </w:t>
      </w:r>
      <w:r>
        <w:rPr>
          <w:b/>
          <w:bCs/>
        </w:rPr>
        <w:t xml:space="preserve">di prodotto ceramico</w:t>
      </w:r>
      <w:r>
        <w:t xml:space="preserve"> </w:t>
      </w:r>
      <w:r>
        <w:t xml:space="preserve">una misura strutturata della sostenibilità</w:t>
      </w:r>
      <w:r>
        <w:t xml:space="preserve"> </w:t>
      </w:r>
      <w:r>
        <w:rPr>
          <w:i/>
          <w:iCs/>
        </w:rPr>
        <w:t xml:space="preserve">tecnologica</w:t>
      </w:r>
      <w:r>
        <w:t xml:space="preserve">,</w:t>
      </w:r>
      <w:r>
        <w:t xml:space="preserve"> </w:t>
      </w:r>
      <w:r>
        <w:t xml:space="preserve">fondata su categorie d’impatto (IOA/OP/TQ) e su indicatori di supply chain</w:t>
      </w:r>
      <w:r>
        <w:t xml:space="preserve"> </w:t>
      </w:r>
      <w:r>
        <w:t xml:space="preserve">(SCR/PsI/OCR) ancorati alla conformità normativa (serie ISO 10545, classi EN</w:t>
      </w:r>
      <w:r>
        <w:t xml:space="preserve"> </w:t>
      </w:r>
      <w:r>
        <w:t xml:space="preserve">14411 BIa): una prima applicazione operativa, nel comparto, di un P-TSA</w:t>
      </w:r>
      <w:r>
        <w:t xml:space="preserve"> </w:t>
      </w:r>
      <w:r>
        <w:t xml:space="preserve">data-driven coerente con lo schema ISO 14040. In secondo luogo, separa</w:t>
      </w:r>
      <w:r>
        <w:t xml:space="preserve"> </w:t>
      </w:r>
      <w:r>
        <w:t xml:space="preserve">esplicitamente</w:t>
      </w:r>
      <w:r>
        <w:t xml:space="preserve"> </w:t>
      </w:r>
      <w:r>
        <w:rPr>
          <w:b/>
          <w:bCs/>
        </w:rPr>
        <w:t xml:space="preserve">commensurabilità</w:t>
      </w:r>
      <w:r>
        <w:t xml:space="preserve"> </w:t>
      </w:r>
      <w:r>
        <w:t xml:space="preserve">(z-score) e</w:t>
      </w:r>
      <w:r>
        <w:t xml:space="preserve"> </w:t>
      </w:r>
      <w:r>
        <w:rPr>
          <w:b/>
          <w:bCs/>
        </w:rPr>
        <w:t xml:space="preserve">ponderazione</w:t>
      </w:r>
      <w:r>
        <w:t xml:space="preserve"> </w:t>
      </w:r>
      <w:r>
        <w:t xml:space="preserve">(AHP con verifica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), a differenza degli indici compositi in cui le preferenze</w:t>
      </w:r>
      <w:r>
        <w:t xml:space="preserve"> </w:t>
      </w:r>
      <w:r>
        <w:t xml:space="preserve">restano occultate nella normalizzazione; e affianca al metodo primario un metodo</w:t>
      </w:r>
      <w:r>
        <w:t xml:space="preserve"> </w:t>
      </w:r>
      <w:r>
        <w:t xml:space="preserve">secondario indipendente, ottenendo una</w:t>
      </w:r>
      <w:r>
        <w:t xml:space="preserve"> </w:t>
      </w:r>
      <w:r>
        <w:rPr>
          <w:b/>
          <w:bCs/>
        </w:rPr>
        <w:t xml:space="preserve">doppia lettura</w:t>
      </w:r>
      <w:r>
        <w:t xml:space="preserve"> </w:t>
      </w:r>
      <w:r>
        <w:t xml:space="preserve">(relativa e assoluta) e</w:t>
      </w:r>
      <w:r>
        <w:t xml:space="preserve"> </w:t>
      </w:r>
      <w:r>
        <w:t xml:space="preserve">una validazione incrociata. In terzo luogo, l’esecuzione</w:t>
      </w:r>
      <w:r>
        <w:t xml:space="preserve"> </w:t>
      </w:r>
      <w:r>
        <w:rPr>
          <w:b/>
          <w:bCs/>
        </w:rPr>
        <w:t xml:space="preserve">end-to-end</w:t>
      </w:r>
      <w:r>
        <w:t xml:space="preserve"> </w:t>
      </w:r>
      <w:r>
        <w:t xml:space="preserve">sulla</w:t>
      </w:r>
      <w:r>
        <w:t xml:space="preserve"> </w:t>
      </w:r>
      <w:r>
        <w:t xml:space="preserve">medesima infrastruttura Edge-to-Cloud collaudata negli OR7.1–7.2, con dataset,</w:t>
      </w:r>
      <w:r>
        <w:t xml:space="preserve"> </w:t>
      </w:r>
      <w:r>
        <w:t xml:space="preserve">libreria di coefficienti e registro di calcolo versionati, trasforma la misura da</w:t>
      </w:r>
      <w:r>
        <w:t xml:space="preserve"> </w:t>
      </w:r>
      <w:r>
        <w:t xml:space="preserve">esercizio ex post a</w:t>
      </w:r>
      <w:r>
        <w:t xml:space="preserve"> </w:t>
      </w:r>
      <w:r>
        <w:rPr>
          <w:b/>
          <w:bCs/>
        </w:rPr>
        <w:t xml:space="preserve">capacità di calcolo integrata</w:t>
      </w:r>
      <w:r>
        <w:t xml:space="preserve"> </w:t>
      </w:r>
      <w:r>
        <w:t xml:space="preserve">nell’infrastruttura</w:t>
      </w:r>
      <w:r>
        <w:t xml:space="preserve"> </w:t>
      </w:r>
      <w:r>
        <w:t xml:space="preserve">produttiva, alimentabile sia da serie storiche sia da dati in tempo reale. Il</w:t>
      </w:r>
      <w:r>
        <w:t xml:space="preserve"> </w:t>
      </w:r>
      <w:r>
        <w:t xml:space="preserve">prodotto di questa catena — il</w:t>
      </w:r>
      <w:r>
        <w:t xml:space="preserve"> </w:t>
      </w:r>
      <w:r>
        <w:rPr>
          <w:b/>
          <w:bCs/>
        </w:rPr>
        <w:t xml:space="preserve">P-TSI</w:t>
      </w:r>
      <w:r>
        <w:t xml:space="preserve">, con la distinzione tra lettura relativa</w:t>
      </w:r>
      <w:r>
        <w:t xml:space="preserve"> </w:t>
      </w:r>
      <w:r>
        <w:t xml:space="preserve">(z-score) e assoluta (scoring/AHP) e con la sua evoluzione temporale (TII) — è un</w:t>
      </w:r>
      <w:r>
        <w:t xml:space="preserve"> </w:t>
      </w:r>
      <w:r>
        <w:t xml:space="preserve">indicatore sintetico, fisicamente interpretabile e auditabile, che a oggi non</w:t>
      </w:r>
      <w:r>
        <w:t xml:space="preserve"> </w:t>
      </w:r>
      <w:r>
        <w:t xml:space="preserve">trova equivalenti a livello di prodotto nel comparto ceramico.</w:t>
      </w:r>
    </w:p>
    <w:bookmarkEnd w:id="118"/>
    <w:bookmarkStart w:id="119" w:name="X6c5e02fd02f97d7fed4bf571e8d78063914ae6b"/>
    <w:p>
      <w:pPr>
        <w:pStyle w:val="Heading3"/>
      </w:pPr>
      <w:r>
        <w:t xml:space="preserve">4.5 Contributo al raggiungimento dell’obiettivo generale del progetto</w:t>
      </w:r>
    </w:p>
    <w:p>
      <w:pPr>
        <w:pStyle w:val="FirstParagraph"/>
      </w:pPr>
      <w:r>
        <w:t xml:space="preserve">Il Piano di Sviluppo assegna a START l’obiettivo di</w:t>
      </w:r>
      <w:r>
        <w:t xml:space="preserve"> </w:t>
      </w:r>
      <w:r>
        <w:rPr>
          <w:i/>
          <w:iCs/>
        </w:rPr>
        <w:t xml:space="preserve">«progettare, realizzare e</w:t>
      </w:r>
      <w:r>
        <w:rPr>
          <w:i/>
          <w:iCs/>
        </w:rPr>
        <w:t xml:space="preserve"> </w:t>
      </w:r>
      <w:r>
        <w:rPr>
          <w:i/>
          <w:iCs/>
        </w:rPr>
        <w:t xml:space="preserve">collaudare soluzioni tecnologiche e protocolli operativi per guidare la transizione</w:t>
      </w:r>
      <w:r>
        <w:rPr>
          <w:i/>
          <w:iCs/>
        </w:rPr>
        <w:t xml:space="preserve"> </w:t>
      </w:r>
      <w:r>
        <w:rPr>
          <w:i/>
          <w:iCs/>
        </w:rPr>
        <w:t xml:space="preserve">della Smart Factory in Intelligent Factory, trasformando l’organizzazione da</w:t>
      </w:r>
      <w:r>
        <w:rPr>
          <w:i/>
          <w:iCs/>
        </w:rPr>
        <w:t xml:space="preserve"> </w:t>
      </w:r>
      <w:r>
        <w:rPr>
          <w:i/>
          <w:iCs/>
        </w:rPr>
        <w:t xml:space="preserve">Industry 4.0 a Intelligent Industry in chiave di sostenibilità»</w:t>
      </w:r>
      <w:r>
        <w:t xml:space="preserve">. L’OR7.4 rende</w:t>
      </w:r>
      <w:r>
        <w:t xml:space="preserve"> </w:t>
      </w:r>
      <w:r>
        <w:t xml:space="preserve">misurabile — e quindi governabile — la locuzione «in chiave di sostenibilità»</w:t>
      </w:r>
      <w:r>
        <w:t xml:space="preserve"> </w:t>
      </w:r>
      <w:r>
        <w:rPr>
          <w:b/>
          <w:bCs/>
        </w:rPr>
        <w:t xml:space="preserve">sul piano del prodotto</w:t>
      </w:r>
      <w:r>
        <w:t xml:space="preserve">: fornisce lo strumento quantitativo che consente di</w:t>
      </w:r>
      <w:r>
        <w:t xml:space="preserve"> </w:t>
      </w:r>
      <w:r>
        <w:t xml:space="preserve">leggere l’effetto della trasformazione digitale non solo in termini di efficienza</w:t>
      </w:r>
      <w:r>
        <w:t xml:space="preserve"> </w:t>
      </w:r>
      <w:r>
        <w:t xml:space="preserve">di processo (OR7.3) ma di sostenibilità tecnologica del manufatto. Il P-TSI è</w:t>
      </w:r>
      <w:r>
        <w:t xml:space="preserve"> </w:t>
      </w:r>
      <w:r>
        <w:t xml:space="preserve">concepito per entrare, insieme all’EEA+ Index, nella funzione di costo</w:t>
      </w:r>
      <w:r>
        <w:t xml:space="preserve"> </w:t>
      </w:r>
      <w:r>
        <w:t xml:space="preserve">dell’ottimizzazione multi-obiettivo della Intelligent Industry (OR6.10),</w:t>
      </w:r>
      <w:r>
        <w:t xml:space="preserve"> </w:t>
      </w:r>
      <w:r>
        <w:t xml:space="preserve">collegando gli algoritmi di intelligenza artificiale e di controllo predittivo</w:t>
      </w:r>
      <w:r>
        <w:t xml:space="preserve"> </w:t>
      </w:r>
      <w:r>
        <w:t xml:space="preserve">(OR4–OR5) alle prestazioni tecnologiche del prodotto e chiudendo l’anello cognitivo</w:t>
      </w:r>
      <w:r>
        <w:t xml:space="preserve"> </w:t>
      </w:r>
      <w:r>
        <w:t xml:space="preserve">percezione → conoscenza → giudizio → azione. Fornisce così un contributo diretto al</w:t>
      </w:r>
      <w:r>
        <w:t xml:space="preserve"> </w:t>
      </w:r>
      <w:r>
        <w:t xml:space="preserve">Risultato Finale RF7 (collaudo della Intelligent Industry) e all’evoluzione verso</w:t>
      </w:r>
      <w:r>
        <w:t xml:space="preserve"> </w:t>
      </w:r>
      <w:r>
        <w:t xml:space="preserve">modelli di business orientati ai dati.</w:t>
      </w:r>
    </w:p>
    <w:bookmarkEnd w:id="119"/>
    <w:bookmarkStart w:id="120" w:name="significato-più-ampio-e-prospettive"/>
    <w:p>
      <w:pPr>
        <w:pStyle w:val="Heading3"/>
      </w:pPr>
      <w:r>
        <w:t xml:space="preserve">4.6 Significato più ampio e prospettive</w:t>
      </w:r>
    </w:p>
    <w:p>
      <w:pPr>
        <w:pStyle w:val="FirstParagraph"/>
      </w:pPr>
      <w:r>
        <w:t xml:space="preserve">L’approccio è coerente con gli indirizzi europei dell’Industria 5.0 e 6.0 —</w:t>
      </w:r>
      <w:r>
        <w:t xml:space="preserve"> </w:t>
      </w:r>
      <w:r>
        <w:t xml:space="preserve">sistemi produttivi sostenibili, resilienti e centrati sull’uomo — e con i principi</w:t>
      </w:r>
      <w:r>
        <w:t xml:space="preserve"> </w:t>
      </w:r>
      <w:r>
        <w:t xml:space="preserve">di economia circolare e di «non arrecare un danno significativo» (DNSH) richiamati</w:t>
      </w:r>
      <w:r>
        <w:t xml:space="preserve"> </w:t>
      </w:r>
      <w:r>
        <w:t xml:space="preserve">dal Piano. Essendo fondato su metriche di supply chain e su conformità normativa,</w:t>
      </w:r>
      <w:r>
        <w:t xml:space="preserve"> </w:t>
      </w:r>
      <w:r>
        <w:t xml:space="preserve">il P-TSA è intrinsecamente</w:t>
      </w:r>
      <w:r>
        <w:t xml:space="preserve"> </w:t>
      </w:r>
      <w:r>
        <w:rPr>
          <w:b/>
          <w:bCs/>
        </w:rPr>
        <w:t xml:space="preserve">trasferibile</w:t>
      </w:r>
      <w:r>
        <w:t xml:space="preserve"> </w:t>
      </w:r>
      <w:r>
        <w:t xml:space="preserve">ad altri comparti manifatturieri e ad</w:t>
      </w:r>
      <w:r>
        <w:t xml:space="preserve"> </w:t>
      </w:r>
      <w:r>
        <w:t xml:space="preserve">altri portafogli. Il percorso verso il consolidamento riguarderà: l’estensione del</w:t>
      </w:r>
      <w:r>
        <w:t xml:space="preserve"> </w:t>
      </w:r>
      <w:r>
        <w:t xml:space="preserve">calcolo a</w:t>
      </w:r>
      <w:r>
        <w:t xml:space="preserve"> </w:t>
      </w:r>
      <w:r>
        <w:rPr>
          <w:b/>
          <w:bCs/>
        </w:rPr>
        <w:t xml:space="preserve">granularità di lotto</w:t>
      </w:r>
      <w:r>
        <w:t xml:space="preserve"> </w:t>
      </w:r>
      <w:r>
        <w:t xml:space="preserve">sull’intero portafoglio segmentato in OR6.8; la</w:t>
      </w:r>
      <w:r>
        <w:t xml:space="preserve"> </w:t>
      </w:r>
      <w:r>
        <w:rPr>
          <w:b/>
          <w:bCs/>
        </w:rPr>
        <w:t xml:space="preserve">calibrazione delle soglie e dei pesi</w:t>
      </w:r>
      <w:r>
        <w:t xml:space="preserve"> </w:t>
      </w:r>
      <w:r>
        <w:t xml:space="preserve">in workshop strutturati con le funzioni di</w:t>
      </w:r>
      <w:r>
        <w:t xml:space="preserve"> </w:t>
      </w:r>
      <w:r>
        <w:t xml:space="preserve">produzione, qualità e manutenzione, con verifica di consistenza AHP; la</w:t>
      </w:r>
      <w:r>
        <w:t xml:space="preserve"> </w:t>
      </w:r>
      <w:r>
        <w:rPr>
          <w:b/>
          <w:bCs/>
        </w:rPr>
        <w:t xml:space="preserve">lettura</w:t>
      </w:r>
      <w:r>
        <w:rPr>
          <w:b/>
          <w:bCs/>
        </w:rPr>
        <w:t xml:space="preserve"> </w:t>
      </w:r>
      <w:r>
        <w:rPr>
          <w:b/>
          <w:bCs/>
        </w:rPr>
        <w:t xml:space="preserve">mensile del P-TSI su 12 mesi</w:t>
      </w:r>
      <w:r>
        <w:t xml:space="preserve"> </w:t>
      </w:r>
      <w:r>
        <w:t xml:space="preserve">per il collaudo OR7.8; e, in prospettiva,</w:t>
      </w:r>
      <w:r>
        <w:t xml:space="preserve"> </w:t>
      </w:r>
      <w:r>
        <w:t xml:space="preserve">l’integrazione del P-TSI come</w:t>
      </w:r>
      <w:r>
        <w:t xml:space="preserve"> </w:t>
      </w:r>
      <w:r>
        <w:rPr>
          <w:b/>
          <w:bCs/>
        </w:rPr>
        <w:t xml:space="preserve">variabile di controllo</w:t>
      </w:r>
      <w:r>
        <w:t xml:space="preserve"> </w:t>
      </w:r>
      <w:r>
        <w:t xml:space="preserve">nel Digital Twin di</w:t>
      </w:r>
      <w:r>
        <w:t xml:space="preserve"> </w:t>
      </w:r>
      <w:r>
        <w:t xml:space="preserve">prodotto, chiudendo il ciclo modello → collaudo → impiego. In sintesi, l’attività</w:t>
      </w:r>
      <w:r>
        <w:t xml:space="preserve"> </w:t>
      </w:r>
      <w:r>
        <w:t xml:space="preserve">7.4 consegna al progetto non un semplice indicatore, ma un’infrastruttura</w:t>
      </w:r>
      <w:r>
        <w:t xml:space="preserve"> </w:t>
      </w:r>
      <w:r>
        <w:t xml:space="preserve">decisionale che estende al prodotto la misura della sostenibilità tecnologica,</w:t>
      </w:r>
      <w:r>
        <w:t xml:space="preserve"> </w:t>
      </w:r>
      <w:r>
        <w:t xml:space="preserve">dimostrando che la transizione dell’industria ceramica verso la Intelligent</w:t>
      </w:r>
      <w:r>
        <w:t xml:space="preserve"> </w:t>
      </w:r>
      <w:r>
        <w:t xml:space="preserve">Industry può essere quantitativamente orientata alla sostenibilità anche sul piano</w:t>
      </w:r>
      <w:r>
        <w:t xml:space="preserve"> </w:t>
      </w:r>
      <w:r>
        <w:t xml:space="preserve">del manufatto.</w:t>
      </w:r>
    </w:p>
    <w:p>
      <w:r>
        <w:pict>
          <v:rect style="width:0;height:1.5pt" o:hralign="center" o:hrstd="t" o:hr="t"/>
        </w:pict>
      </w:r>
    </w:p>
    <w:bookmarkEnd w:id="120"/>
    <w:bookmarkStart w:id="121" w:name="allegati"/>
    <w:p>
      <w:pPr>
        <w:pStyle w:val="Heading3"/>
      </w:pPr>
      <w:r>
        <w:t xml:space="preserve">Allegati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RP7.4_dataset_sintetico.xlsx</w:t>
      </w:r>
      <w:r>
        <w:t xml:space="preserve"> </w:t>
      </w:r>
      <w:r>
        <w:t xml:space="preserve">— dataset di input per tipologia/periodo (serie in corso di consolidamento, da sostituire con i dati reali).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RP7.4_weights.xlsx</w:t>
      </w:r>
      <w:r>
        <w:t xml:space="preserve"> </w:t>
      </w:r>
      <w:r>
        <w:t xml:space="preserve">— soglie di scoring e matrici AHP (pesi + CR).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RP7.4_calculation_log.xlsx</w:t>
      </w:r>
      <w:r>
        <w:t xml:space="preserve"> </w:t>
      </w:r>
      <w:r>
        <w:t xml:space="preserve">— registro di calcolo versionato (formula → input → output).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RP7.4_build.py</w:t>
      </w:r>
      <w:r>
        <w:t xml:space="preserve"> </w:t>
      </w:r>
      <w:r>
        <w:t xml:space="preserve">— codice di calcolo (legge il dataset, ricostruisce indici e figure).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RP7.4_Impostazione_e_Background_P-TSA.md</w:t>
      </w:r>
      <w:r>
        <w:t xml:space="preserve"> </w:t>
      </w:r>
      <w:r>
        <w:t xml:space="preserve">— documento di impostazione e background.</w:t>
      </w:r>
    </w:p>
    <w:p>
      <w:pPr>
        <w:pStyle w:val="Compact"/>
        <w:numPr>
          <w:ilvl w:val="0"/>
          <w:numId w:val="1004"/>
        </w:numPr>
      </w:pPr>
      <w:r>
        <w:t xml:space="preserve">Figure:</w:t>
      </w:r>
      <w:r>
        <w:t xml:space="preserve"> </w:t>
      </w:r>
      <w:r>
        <w:rPr>
          <w:rStyle w:val="VerbatimChar"/>
        </w:rPr>
        <w:t xml:space="preserve">RP7.4_fig1_profilo_dimensionale.png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RP7.4_fig2_ptsi_tii.png</w:t>
      </w:r>
      <w:r>
        <w:t xml:space="preserve">.</w:t>
      </w:r>
    </w:p>
    <w:bookmarkEnd w:id="121"/>
    <w:bookmarkEnd w:id="122"/>
    <w:bookmarkEnd w:id="123"/>
    <w:sectPr w:rsidR="005F5FDE" w:rsidSect="00087A59">
      <w:headerReference r:id="rId72" w:type="default"/>
      <w:footerReference r:id="rId73" w:type="default"/>
      <w:headerReference r:id="rId74" w:type="first"/>
      <w:footerReference r:id="rId75" w:type="first"/>
      <w:pgSz w:code="9" w:h="16838" w:w="11906"/>
      <w:pgMar w:bottom="1701" w:footer="567" w:gutter="0" w:header="567" w:left="567" w:right="567" w:top="1701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73605069"/>
      <w:docPartObj>
        <w:docPartGallery w:val="Page Numbers (Bottom of Page)"/>
        <w:docPartUnique/>
      </w:docPartObj>
    </w:sdtPr>
    <w:sdtEndPr/>
    <w:sdtContent>
      <w:p w14:paraId="19381E81" w14:textId="728262E7" w:rsidR="00370626" w:rsidRDefault="00370626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04F39">
          <w:rPr>
            <w:noProof/>
          </w:rPr>
          <w:t>2</w:t>
        </w:r>
        <w:r>
          <w:fldChar w:fldCharType="end"/>
        </w:r>
      </w:p>
    </w:sdtContent>
  </w:sdt>
  <w:p w14:paraId="5067C47B" w14:textId="673FE4C4" w:rsidR="00A45435" w:rsidRPr="00087A59" w:rsidRDefault="00A45435" w:rsidP="00087A59">
    <w:pPr>
      <w:pStyle w:val="Intestazione"/>
      <w:spacing w:before="60" w:after="240"/>
      <w:jc w:val="center"/>
      <w:rPr>
        <w:rFonts w:ascii="Arial" w:hAnsi="Arial" w:cs="Arial"/>
        <w:b/>
        <w:color w:val="FC4F02"/>
        <w:szCs w:val="3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9F121" w14:textId="4CADEE65" w:rsidR="00F17E66" w:rsidRDefault="00F17E66" w:rsidP="00F17E66">
    <w:pPr>
      <w:pStyle w:val="Intestazione"/>
      <w:pBdr>
        <w:bottom w:val="single" w:sz="18" w:space="1" w:color="024C41"/>
      </w:pBdr>
      <w:spacing w:before="60" w:after="240"/>
      <w:rPr>
        <w:rFonts w:asciiTheme="minorHAnsi" w:hAnsiTheme="minorHAnsi" w:cstheme="minorHAnsi"/>
        <w:color w:val="00A98E"/>
        <w:sz w:val="28"/>
        <w:szCs w:val="36"/>
      </w:rPr>
    </w:pPr>
  </w:p>
  <w:p w14:paraId="6F2805CB" w14:textId="6463FEE0" w:rsidR="00F17E66" w:rsidRDefault="003D56D6" w:rsidP="00F17E66">
    <w:pPr>
      <w:pStyle w:val="Intestazione"/>
      <w:spacing w:before="60" w:after="240"/>
      <w:jc w:val="center"/>
      <w:rPr>
        <w:rFonts w:asciiTheme="minorHAnsi" w:hAnsiTheme="minorHAnsi" w:cstheme="minorHAnsi"/>
        <w:color w:val="00A98E"/>
        <w:sz w:val="28"/>
        <w:szCs w:val="36"/>
      </w:rPr>
    </w:pPr>
    <w:r w:rsidRPr="003D56D6">
      <w:rPr>
        <w:rFonts w:asciiTheme="minorHAnsi" w:hAnsiTheme="minorHAnsi" w:cstheme="minorHAnsi"/>
        <w:noProof/>
        <w:color w:val="00A98E"/>
        <w:sz w:val="28"/>
        <w:szCs w:val="36"/>
      </w:rPr>
      <w:drawing>
        <wp:inline distT="0" distB="0" distL="0" distR="0" wp14:anchorId="6B35C285" wp14:editId="14EFDE97">
          <wp:extent cx="6840220" cy="584835"/>
          <wp:effectExtent l="0" t="0" r="0" b="5715"/>
          <wp:docPr id="1401487893" name="Immagine 26">
            <a:extLst xmlns:a="http://schemas.openxmlformats.org/drawingml/2006/main">
              <a:ext uri="{FF2B5EF4-FFF2-40B4-BE49-F238E27FC236}">
                <a16:creationId xmlns:a16="http://schemas.microsoft.com/office/drawing/2014/main" id="{534DBD57-FA8C-4557-94E5-9E23A699C80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Immagine 26">
                    <a:extLst>
                      <a:ext uri="{FF2B5EF4-FFF2-40B4-BE49-F238E27FC236}">
                        <a16:creationId xmlns:a16="http://schemas.microsoft.com/office/drawing/2014/main" id="{534DBD57-FA8C-4557-94E5-9E23A699C80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40220" cy="584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F75B270" w14:textId="0D97F0C7" w:rsidR="00A45435" w:rsidRPr="00D311C2" w:rsidRDefault="00087A59" w:rsidP="00F17E66">
    <w:pPr>
      <w:pStyle w:val="Intestazione"/>
      <w:spacing w:before="60" w:after="240"/>
      <w:jc w:val="center"/>
      <w:rPr>
        <w:rFonts w:asciiTheme="minorHAnsi" w:hAnsiTheme="minorHAnsi" w:cstheme="minorHAnsi"/>
        <w:b/>
        <w:bCs/>
        <w:color w:val="00A98E"/>
        <w:sz w:val="28"/>
        <w:szCs w:val="36"/>
      </w:rPr>
    </w:pPr>
    <w:r w:rsidRPr="00D311C2">
      <w:rPr>
        <w:rFonts w:asciiTheme="minorHAnsi" w:hAnsiTheme="minorHAnsi" w:cstheme="minorHAnsi"/>
        <w:b/>
        <w:bCs/>
        <w:color w:val="00A98E"/>
        <w:sz w:val="28"/>
        <w:szCs w:val="36"/>
      </w:rPr>
      <w:t>www.</w:t>
    </w:r>
    <w:r w:rsidR="00A42963" w:rsidRPr="00D311C2">
      <w:rPr>
        <w:rFonts w:asciiTheme="minorHAnsi" w:hAnsiTheme="minorHAnsi" w:cstheme="minorHAnsi"/>
        <w:b/>
        <w:bCs/>
        <w:color w:val="00A98E"/>
        <w:sz w:val="28"/>
        <w:szCs w:val="36"/>
      </w:rPr>
      <w:t>start</w:t>
    </w:r>
    <w:r w:rsidR="003D56D6">
      <w:rPr>
        <w:rFonts w:asciiTheme="minorHAnsi" w:hAnsiTheme="minorHAnsi" w:cstheme="minorHAnsi"/>
        <w:b/>
        <w:bCs/>
        <w:color w:val="00A98E"/>
        <w:sz w:val="28"/>
        <w:szCs w:val="36"/>
      </w:rPr>
      <w:t>-innovability</w:t>
    </w:r>
    <w:r w:rsidRPr="00D311C2">
      <w:rPr>
        <w:rFonts w:asciiTheme="minorHAnsi" w:hAnsiTheme="minorHAnsi" w:cstheme="minorHAnsi"/>
        <w:b/>
        <w:bCs/>
        <w:color w:val="00A98E"/>
        <w:sz w:val="28"/>
        <w:szCs w:val="36"/>
      </w:rPr>
      <w:t>.</w:t>
    </w:r>
    <w:r w:rsidR="00064C8D" w:rsidRPr="00D311C2">
      <w:rPr>
        <w:rFonts w:asciiTheme="minorHAnsi" w:hAnsiTheme="minorHAnsi" w:cstheme="minorHAnsi"/>
        <w:b/>
        <w:bCs/>
        <w:color w:val="00A98E"/>
        <w:sz w:val="28"/>
        <w:szCs w:val="36"/>
      </w:rPr>
      <w:t>it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Vacchi, M., Siligardi, C., Demaria, F., Cedillo-González, E. I., González-Sánchez, R., Settembre-Blundo, D. (2021).</w:t>
      </w:r>
      <w:r>
        <w:t xml:space="preserve"> </w:t>
      </w:r>
      <w:r>
        <w:rPr>
          <w:i/>
          <w:iCs/>
        </w:rPr>
        <w:t xml:space="preserve">Technological sustainability or sustainable technology? A multidimensional vision of sustainability in manufacturing.</w:t>
      </w:r>
      <w:r>
        <w:t xml:space="preserve"> </w:t>
      </w:r>
      <w:r>
        <w:t xml:space="preserve">Sustainability, 13(17), 9942.</w:t>
      </w:r>
    </w:p>
  </w:footnote>
  <w:footnote w:id="8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Vacchi, M., Settembre-Blundo, D., Iattici, L., Ferrari, A. M., Rosa, R., Berselli, N. (2025).</w:t>
      </w:r>
      <w:r>
        <w:t xml:space="preserve"> </w:t>
      </w:r>
      <w:r>
        <w:rPr>
          <w:i/>
          <w:iCs/>
        </w:rPr>
        <w:t xml:space="preserve">From black box to analytical insight: A data-driven evaluation of technological sustainability in manufacturing supply chains.</w:t>
      </w:r>
      <w:r>
        <w:t xml:space="preserve"> </w:t>
      </w:r>
      <w:r>
        <w:t xml:space="preserve">Supply Chain Analytics, 12, 100171.</w:t>
      </w:r>
    </w:p>
  </w:footnote>
  <w:footnote w:id="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Vacchi, M., Siligardi, C., Demaria, F., Cedillo-González, E. I., González-Sánchez, R., Settembre-Blundo, D. (2021).</w:t>
      </w:r>
      <w:r>
        <w:t xml:space="preserve"> </w:t>
      </w:r>
      <w:r>
        <w:rPr>
          <w:i/>
          <w:iCs/>
        </w:rPr>
        <w:t xml:space="preserve">Technological sustainability or sustainable technology? A multidimensional vision of sustainability in manufacturing.</w:t>
      </w:r>
      <w:r>
        <w:t xml:space="preserve"> </w:t>
      </w:r>
      <w:r>
        <w:t xml:space="preserve">Sustainability, 13(17), 9942.</w:t>
      </w:r>
    </w:p>
  </w:footnote>
  <w:footnote w:id="9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Vacchi, M., Settembre-Blundo, D., Iattici, L., Ferrari, A. M., Rosa, R., Berselli, N. (2025).</w:t>
      </w:r>
      <w:r>
        <w:t xml:space="preserve"> </w:t>
      </w:r>
      <w:r>
        <w:rPr>
          <w:i/>
          <w:iCs/>
        </w:rPr>
        <w:t xml:space="preserve">From black box to analytical insight: A data-driven evaluation of technological sustainability in manufacturing supply chains.</w:t>
      </w:r>
      <w:r>
        <w:t xml:space="preserve"> </w:t>
      </w:r>
      <w:r>
        <w:t xml:space="preserve">Supply Chain Analytics, 12, 100171.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10762" w:type="dxa"/>
      <w:tblInd w:w="-108" w:type="dxa"/>
      <w:tblBorders>
        <w:top w:val="single" w:sz="18" w:space="0" w:color="024C41"/>
        <w:left w:val="none" w:sz="0" w:space="0" w:color="auto"/>
        <w:bottom w:val="single" w:sz="18" w:space="0" w:color="024C41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42"/>
      <w:gridCol w:w="6220"/>
    </w:tblGrid>
    <w:tr w:rsidR="00380ACF" w:rsidRPr="00A42963" w14:paraId="139FF03E" w14:textId="77777777" w:rsidTr="00A42963">
      <w:tc>
        <w:tcPr>
          <w:tcW w:w="4542" w:type="dxa"/>
        </w:tcPr>
        <w:p w14:paraId="16933ECD" w14:textId="77777777" w:rsidR="00F17E66" w:rsidRPr="00F17E66" w:rsidRDefault="00F17E66" w:rsidP="007D40B1">
          <w:pPr>
            <w:rPr>
              <w:sz w:val="10"/>
              <w:szCs w:val="10"/>
            </w:rPr>
          </w:pPr>
        </w:p>
        <w:p w14:paraId="218CE45F" w14:textId="77777777" w:rsidR="00380ACF" w:rsidRDefault="00A42963" w:rsidP="007D40B1">
          <w:r w:rsidRPr="00380ACF">
            <w:rPr>
              <w:noProof/>
            </w:rPr>
            <w:drawing>
              <wp:inline distT="0" distB="0" distL="0" distR="0" wp14:anchorId="3F19B9DA" wp14:editId="4A2D37D4">
                <wp:extent cx="2047875" cy="1134548"/>
                <wp:effectExtent l="0" t="0" r="0" b="8890"/>
                <wp:docPr id="526394239" name="Immagine 52639423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6202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8155" cy="11402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7756266" w14:textId="51DC96D5" w:rsidR="00F17E66" w:rsidRPr="00F17E66" w:rsidRDefault="00F17E66" w:rsidP="007D40B1">
          <w:pPr>
            <w:rPr>
              <w:sz w:val="10"/>
              <w:szCs w:val="10"/>
            </w:rPr>
          </w:pPr>
        </w:p>
      </w:tc>
      <w:tc>
        <w:tcPr>
          <w:tcW w:w="6220" w:type="dxa"/>
        </w:tcPr>
        <w:p w14:paraId="6E891721" w14:textId="77777777" w:rsidR="00A42963" w:rsidRDefault="00A42963" w:rsidP="007D40B1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  <w:lang w:val="en-US"/>
            </w:rPr>
          </w:pPr>
        </w:p>
        <w:p w14:paraId="01794B94" w14:textId="22CA4F9A" w:rsidR="00380ACF" w:rsidRPr="00A42963" w:rsidRDefault="00380ACF" w:rsidP="007D40B1">
          <w:pPr>
            <w:jc w:val="center"/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</w:pP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SusTainable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dAta-dRiven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manufacTuring</w:t>
          </w:r>
          <w:proofErr w:type="spellEnd"/>
        </w:p>
        <w:p w14:paraId="255519F3" w14:textId="77777777" w:rsidR="00380ACF" w:rsidRPr="00A42963" w:rsidRDefault="00380ACF" w:rsidP="007D40B1">
          <w:pPr>
            <w:jc w:val="center"/>
            <w:rPr>
              <w:rFonts w:asciiTheme="minorHAnsi" w:hAnsiTheme="minorHAnsi" w:cstheme="minorHAnsi"/>
              <w:b/>
              <w:color w:val="525252" w:themeColor="accent3" w:themeShade="80"/>
              <w:sz w:val="16"/>
              <w:szCs w:val="20"/>
              <w:lang w:val="en-US"/>
            </w:rPr>
          </w:pPr>
        </w:p>
        <w:p w14:paraId="4CBF8299" w14:textId="77777777" w:rsidR="00A42963" w:rsidRPr="00A42963" w:rsidRDefault="00A42963" w:rsidP="007D40B1">
          <w:pPr>
            <w:jc w:val="center"/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Accordo Innovazione DM 31/12/2021</w:t>
          </w:r>
        </w:p>
        <w:p w14:paraId="4CD1470F" w14:textId="201B274D" w:rsidR="00380ACF" w:rsidRPr="00A42963" w:rsidRDefault="00380ACF" w:rsidP="007D40B1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 xml:space="preserve">Prog. n. </w:t>
          </w:r>
          <w:r w:rsidR="00A42963"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F/310087/01-05/X56</w:t>
          </w:r>
          <w:r w:rsidR="00A42963" w:rsidRPr="00A42963">
            <w:rPr>
              <w:rFonts w:asciiTheme="minorHAnsi" w:hAnsiTheme="minorHAnsi" w:cstheme="minorHAnsi"/>
              <w:b/>
              <w:color w:val="595959"/>
              <w:sz w:val="24"/>
              <w:szCs w:val="32"/>
            </w:rPr>
            <w:t xml:space="preserve"> </w:t>
          </w:r>
        </w:p>
      </w:tc>
    </w:tr>
  </w:tbl>
  <w:p w14:paraId="02404575" w14:textId="77777777" w:rsidR="00087A59" w:rsidRPr="00A42963" w:rsidRDefault="00087A59" w:rsidP="00087A59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Borders>
        <w:top w:val="single" w:sz="18" w:space="0" w:color="024C41"/>
        <w:left w:val="none" w:sz="0" w:space="0" w:color="auto"/>
        <w:bottom w:val="single" w:sz="18" w:space="0" w:color="024C41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42"/>
      <w:gridCol w:w="6220"/>
    </w:tblGrid>
    <w:tr w:rsidR="00380ACF" w:rsidRPr="00380ACF" w14:paraId="5203FB71" w14:textId="77777777" w:rsidTr="00A42963">
      <w:tc>
        <w:tcPr>
          <w:tcW w:w="4542" w:type="dxa"/>
        </w:tcPr>
        <w:p w14:paraId="2F4F55F4" w14:textId="77777777" w:rsidR="00F17E66" w:rsidRPr="00F17E66" w:rsidRDefault="00F17E66" w:rsidP="0015016E">
          <w:pPr>
            <w:rPr>
              <w:sz w:val="10"/>
              <w:szCs w:val="10"/>
            </w:rPr>
          </w:pPr>
        </w:p>
        <w:p w14:paraId="0EFBB021" w14:textId="6C951B90" w:rsidR="00380ACF" w:rsidRDefault="00380ACF" w:rsidP="0015016E">
          <w:r w:rsidRPr="00380ACF">
            <w:rPr>
              <w:noProof/>
            </w:rPr>
            <w:drawing>
              <wp:inline distT="0" distB="0" distL="0" distR="0" wp14:anchorId="0A26CCA4" wp14:editId="55E72B44">
                <wp:extent cx="2047875" cy="1134548"/>
                <wp:effectExtent l="0" t="0" r="0" b="8890"/>
                <wp:docPr id="88862020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6202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8155" cy="11402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F560366" w14:textId="31DA55B3" w:rsidR="00F17E66" w:rsidRPr="00F17E66" w:rsidRDefault="00F17E66" w:rsidP="0015016E">
          <w:pPr>
            <w:rPr>
              <w:sz w:val="10"/>
              <w:szCs w:val="10"/>
            </w:rPr>
          </w:pPr>
        </w:p>
      </w:tc>
      <w:tc>
        <w:tcPr>
          <w:tcW w:w="6220" w:type="dxa"/>
        </w:tcPr>
        <w:p w14:paraId="236DDD0D" w14:textId="77777777" w:rsidR="00380ACF" w:rsidRDefault="00380ACF" w:rsidP="00002427">
          <w:pPr>
            <w:jc w:val="center"/>
            <w:rPr>
              <w:rFonts w:asciiTheme="minorHAnsi" w:hAnsiTheme="minorHAnsi" w:cstheme="minorHAnsi"/>
              <w:color w:val="525252" w:themeColor="accent3" w:themeShade="80"/>
              <w:sz w:val="28"/>
              <w:szCs w:val="24"/>
            </w:rPr>
          </w:pPr>
        </w:p>
        <w:p w14:paraId="2BBAF2B0" w14:textId="77777777" w:rsidR="00A42963" w:rsidRPr="00A42963" w:rsidRDefault="00A42963" w:rsidP="00A42963">
          <w:pPr>
            <w:jc w:val="center"/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</w:pP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SusTainable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dAta-dRiven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manufacTuring</w:t>
          </w:r>
          <w:proofErr w:type="spellEnd"/>
        </w:p>
        <w:p w14:paraId="3DFD2533" w14:textId="77777777" w:rsidR="00A42963" w:rsidRPr="00A42963" w:rsidRDefault="00A42963" w:rsidP="00A42963">
          <w:pPr>
            <w:jc w:val="center"/>
            <w:rPr>
              <w:rFonts w:asciiTheme="minorHAnsi" w:hAnsiTheme="minorHAnsi" w:cstheme="minorHAnsi"/>
              <w:b/>
              <w:color w:val="525252" w:themeColor="accent3" w:themeShade="80"/>
              <w:sz w:val="16"/>
              <w:szCs w:val="20"/>
              <w:lang w:val="en-US"/>
            </w:rPr>
          </w:pPr>
        </w:p>
        <w:p w14:paraId="3388F882" w14:textId="77777777" w:rsidR="00A42963" w:rsidRPr="00A42963" w:rsidRDefault="00A42963" w:rsidP="00A42963">
          <w:pPr>
            <w:jc w:val="center"/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Accordo Innovazione DM 31/12/2021</w:t>
          </w:r>
        </w:p>
        <w:p w14:paraId="0D1DF9C7" w14:textId="28B26B0B" w:rsidR="00380ACF" w:rsidRPr="008862C9" w:rsidRDefault="00A42963" w:rsidP="00A42963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  <w:lang w:val="en-US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Prog. n. F/310087/01-05/X56</w:t>
          </w:r>
        </w:p>
      </w:tc>
    </w:tr>
  </w:tbl>
  <w:p w14:paraId="7DD20812" w14:textId="77777777" w:rsidR="00A45435" w:rsidRPr="00002427" w:rsidRDefault="00A45435" w:rsidP="00087A59">
    <w:pPr>
      <w:pStyle w:val="Intestazione"/>
      <w:rPr>
        <w:lang w:val="en-US"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CBD5014"/>
    <w:multiLevelType w:val="hybridMultilevel"/>
    <w:tmpl w:val="93769E98"/>
    <w:lvl w:ilvl="0" w:tplc="0410000F">
      <w:start w:val="1"/>
      <w:numFmt w:val="decimal"/>
      <w:lvlText w:val="%1."/>
      <w:lvlJc w:val="left"/>
      <w:pPr>
        <w:ind w:hanging="360" w:left="1004"/>
      </w:pPr>
    </w:lvl>
    <w:lvl w:ilvl="1" w:tentative="1" w:tplc="04100019">
      <w:start w:val="1"/>
      <w:numFmt w:val="lowerLetter"/>
      <w:lvlText w:val="%2."/>
      <w:lvlJc w:val="left"/>
      <w:pPr>
        <w:ind w:hanging="360" w:left="1724"/>
      </w:pPr>
    </w:lvl>
    <w:lvl w:ilvl="2" w:tentative="1" w:tplc="0410001B">
      <w:start w:val="1"/>
      <w:numFmt w:val="lowerRoman"/>
      <w:lvlText w:val="%3."/>
      <w:lvlJc w:val="right"/>
      <w:pPr>
        <w:ind w:hanging="180" w:left="2444"/>
      </w:pPr>
    </w:lvl>
    <w:lvl w:ilvl="3" w:tentative="1" w:tplc="0410000F">
      <w:start w:val="1"/>
      <w:numFmt w:val="decimal"/>
      <w:lvlText w:val="%4."/>
      <w:lvlJc w:val="left"/>
      <w:pPr>
        <w:ind w:hanging="360" w:left="3164"/>
      </w:pPr>
    </w:lvl>
    <w:lvl w:ilvl="4" w:tentative="1" w:tplc="04100019">
      <w:start w:val="1"/>
      <w:numFmt w:val="lowerLetter"/>
      <w:lvlText w:val="%5."/>
      <w:lvlJc w:val="left"/>
      <w:pPr>
        <w:ind w:hanging="360" w:left="3884"/>
      </w:pPr>
    </w:lvl>
    <w:lvl w:ilvl="5" w:tentative="1" w:tplc="0410001B">
      <w:start w:val="1"/>
      <w:numFmt w:val="lowerRoman"/>
      <w:lvlText w:val="%6."/>
      <w:lvlJc w:val="right"/>
      <w:pPr>
        <w:ind w:hanging="180" w:left="4604"/>
      </w:pPr>
    </w:lvl>
    <w:lvl w:ilvl="6" w:tentative="1" w:tplc="0410000F">
      <w:start w:val="1"/>
      <w:numFmt w:val="decimal"/>
      <w:lvlText w:val="%7."/>
      <w:lvlJc w:val="left"/>
      <w:pPr>
        <w:ind w:hanging="360" w:left="5324"/>
      </w:pPr>
    </w:lvl>
    <w:lvl w:ilvl="7" w:tentative="1" w:tplc="04100019">
      <w:start w:val="1"/>
      <w:numFmt w:val="lowerLetter"/>
      <w:lvlText w:val="%8."/>
      <w:lvlJc w:val="left"/>
      <w:pPr>
        <w:ind w:hanging="360" w:left="6044"/>
      </w:pPr>
    </w:lvl>
    <w:lvl w:ilvl="8" w:tentative="1" w:tplc="0410001B">
      <w:start w:val="1"/>
      <w:numFmt w:val="lowerRoman"/>
      <w:lvlText w:val="%9."/>
      <w:lvlJc w:val="right"/>
      <w:pPr>
        <w:ind w:hanging="180" w:left="6764"/>
      </w:pPr>
    </w:lvl>
  </w:abstractNum>
  <w:abstractNum w15:restartNumberingAfterBreak="0" w:abstractNumId="1">
    <w:nsid w:val="14121B98"/>
    <w:multiLevelType w:val="hybridMultilevel"/>
    <w:tmpl w:val="AD8680F6"/>
    <w:lvl w:ilvl="0" w:tplc="8AC64D14">
      <w:start w:val="1"/>
      <w:numFmt w:val="bullet"/>
      <w:pStyle w:val="cElencoPuntato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 w:tplc="C91830AC">
      <w:start w:val="1"/>
      <w:numFmt w:val="decimal"/>
      <w:pStyle w:val="cElencoNumerato"/>
      <w:lvlText w:val="%2."/>
      <w:lvlJc w:val="left"/>
      <w:pPr>
        <w:tabs>
          <w:tab w:pos="1440" w:val="num"/>
        </w:tabs>
        <w:ind w:hanging="360" w:left="1440"/>
      </w:pPr>
      <w:rPr>
        <w:rFonts w:hint="default"/>
      </w:rPr>
    </w:lvl>
    <w:lvl w:ilvl="2" w:tentative="1" w:tplc="0410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20557A6"/>
    <w:multiLevelType w:val="hybridMultilevel"/>
    <w:tmpl w:val="7F88E97C"/>
    <w:lvl w:ilvl="0" w:tplc="0410000F">
      <w:start w:val="1"/>
      <w:numFmt w:val="decimal"/>
      <w:lvlText w:val="%1."/>
      <w:lvlJc w:val="left"/>
      <w:pPr>
        <w:ind w:hanging="360" w:left="1068"/>
      </w:pPr>
    </w:lvl>
    <w:lvl w:ilvl="1" w:tentative="1" w:tplc="04100019">
      <w:start w:val="1"/>
      <w:numFmt w:val="lowerLetter"/>
      <w:lvlText w:val="%2."/>
      <w:lvlJc w:val="left"/>
      <w:pPr>
        <w:ind w:hanging="360" w:left="1788"/>
      </w:pPr>
    </w:lvl>
    <w:lvl w:ilvl="2" w:tentative="1" w:tplc="0410001B">
      <w:start w:val="1"/>
      <w:numFmt w:val="lowerRoman"/>
      <w:lvlText w:val="%3."/>
      <w:lvlJc w:val="right"/>
      <w:pPr>
        <w:ind w:hanging="180" w:left="2508"/>
      </w:pPr>
    </w:lvl>
    <w:lvl w:ilvl="3" w:tentative="1" w:tplc="0410000F">
      <w:start w:val="1"/>
      <w:numFmt w:val="decimal"/>
      <w:lvlText w:val="%4."/>
      <w:lvlJc w:val="left"/>
      <w:pPr>
        <w:ind w:hanging="360" w:left="3228"/>
      </w:pPr>
    </w:lvl>
    <w:lvl w:ilvl="4" w:tentative="1" w:tplc="04100019">
      <w:start w:val="1"/>
      <w:numFmt w:val="lowerLetter"/>
      <w:lvlText w:val="%5."/>
      <w:lvlJc w:val="left"/>
      <w:pPr>
        <w:ind w:hanging="360" w:left="3948"/>
      </w:pPr>
    </w:lvl>
    <w:lvl w:ilvl="5" w:tentative="1" w:tplc="0410001B">
      <w:start w:val="1"/>
      <w:numFmt w:val="lowerRoman"/>
      <w:lvlText w:val="%6."/>
      <w:lvlJc w:val="right"/>
      <w:pPr>
        <w:ind w:hanging="180" w:left="4668"/>
      </w:pPr>
    </w:lvl>
    <w:lvl w:ilvl="6" w:tentative="1" w:tplc="0410000F">
      <w:start w:val="1"/>
      <w:numFmt w:val="decimal"/>
      <w:lvlText w:val="%7."/>
      <w:lvlJc w:val="left"/>
      <w:pPr>
        <w:ind w:hanging="360" w:left="5388"/>
      </w:pPr>
    </w:lvl>
    <w:lvl w:ilvl="7" w:tentative="1" w:tplc="04100019">
      <w:start w:val="1"/>
      <w:numFmt w:val="lowerLetter"/>
      <w:lvlText w:val="%8."/>
      <w:lvlJc w:val="left"/>
      <w:pPr>
        <w:ind w:hanging="360" w:left="6108"/>
      </w:pPr>
    </w:lvl>
    <w:lvl w:ilvl="8" w:tentative="1" w:tplc="0410001B">
      <w:start w:val="1"/>
      <w:numFmt w:val="lowerRoman"/>
      <w:lvlText w:val="%9."/>
      <w:lvlJc w:val="right"/>
      <w:pPr>
        <w:ind w:hanging="180" w:left="6828"/>
      </w:pPr>
    </w:lvl>
  </w:abstractNum>
  <w:abstractNum w15:restartNumberingAfterBreak="0" w:abstractNumId="3">
    <w:nsid w:val="2D960A9C"/>
    <w:multiLevelType w:val="hybridMultilevel"/>
    <w:tmpl w:val="93769E98"/>
    <w:lvl w:ilvl="0" w:tplc="0410000F">
      <w:start w:val="1"/>
      <w:numFmt w:val="decimal"/>
      <w:lvlText w:val="%1."/>
      <w:lvlJc w:val="left"/>
      <w:pPr>
        <w:ind w:hanging="360" w:left="1004"/>
      </w:pPr>
    </w:lvl>
    <w:lvl w:ilvl="1" w:tentative="1" w:tplc="04100019">
      <w:start w:val="1"/>
      <w:numFmt w:val="lowerLetter"/>
      <w:lvlText w:val="%2."/>
      <w:lvlJc w:val="left"/>
      <w:pPr>
        <w:ind w:hanging="360" w:left="1724"/>
      </w:pPr>
    </w:lvl>
    <w:lvl w:ilvl="2" w:tentative="1" w:tplc="0410001B">
      <w:start w:val="1"/>
      <w:numFmt w:val="lowerRoman"/>
      <w:lvlText w:val="%3."/>
      <w:lvlJc w:val="right"/>
      <w:pPr>
        <w:ind w:hanging="180" w:left="2444"/>
      </w:pPr>
    </w:lvl>
    <w:lvl w:ilvl="3" w:tentative="1" w:tplc="0410000F">
      <w:start w:val="1"/>
      <w:numFmt w:val="decimal"/>
      <w:lvlText w:val="%4."/>
      <w:lvlJc w:val="left"/>
      <w:pPr>
        <w:ind w:hanging="360" w:left="3164"/>
      </w:pPr>
    </w:lvl>
    <w:lvl w:ilvl="4" w:tentative="1" w:tplc="04100019">
      <w:start w:val="1"/>
      <w:numFmt w:val="lowerLetter"/>
      <w:lvlText w:val="%5."/>
      <w:lvlJc w:val="left"/>
      <w:pPr>
        <w:ind w:hanging="360" w:left="3884"/>
      </w:pPr>
    </w:lvl>
    <w:lvl w:ilvl="5" w:tentative="1" w:tplc="0410001B">
      <w:start w:val="1"/>
      <w:numFmt w:val="lowerRoman"/>
      <w:lvlText w:val="%6."/>
      <w:lvlJc w:val="right"/>
      <w:pPr>
        <w:ind w:hanging="180" w:left="4604"/>
      </w:pPr>
    </w:lvl>
    <w:lvl w:ilvl="6" w:tentative="1" w:tplc="0410000F">
      <w:start w:val="1"/>
      <w:numFmt w:val="decimal"/>
      <w:lvlText w:val="%7."/>
      <w:lvlJc w:val="left"/>
      <w:pPr>
        <w:ind w:hanging="360" w:left="5324"/>
      </w:pPr>
    </w:lvl>
    <w:lvl w:ilvl="7" w:tentative="1" w:tplc="04100019">
      <w:start w:val="1"/>
      <w:numFmt w:val="lowerLetter"/>
      <w:lvlText w:val="%8."/>
      <w:lvlJc w:val="left"/>
      <w:pPr>
        <w:ind w:hanging="360" w:left="6044"/>
      </w:pPr>
    </w:lvl>
    <w:lvl w:ilvl="8" w:tentative="1" w:tplc="0410001B">
      <w:start w:val="1"/>
      <w:numFmt w:val="lowerRoman"/>
      <w:lvlText w:val="%9."/>
      <w:lvlJc w:val="right"/>
      <w:pPr>
        <w:ind w:hanging="180" w:left="6764"/>
      </w:pPr>
    </w:lvl>
  </w:abstractNum>
  <w:abstractNum w15:restartNumberingAfterBreak="0" w:abstractNumId="4">
    <w:nsid w:val="2DF2637A"/>
    <w:multiLevelType w:val="hybridMultilevel"/>
    <w:tmpl w:val="22441060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475E36B0"/>
    <w:multiLevelType w:val="hybridMultilevel"/>
    <w:tmpl w:val="85B4CF3C"/>
    <w:lvl w:ilvl="0" w:tplc="0410001B">
      <w:start w:val="1"/>
      <w:numFmt w:val="lowerRoman"/>
      <w:lvlText w:val="%1."/>
      <w:lvlJc w:val="right"/>
      <w:pPr>
        <w:ind w:hanging="360" w:left="720"/>
      </w:pPr>
    </w:lvl>
    <w:lvl w:ilvl="1" w:tentative="1" w:tplc="04100019">
      <w:start w:val="1"/>
      <w:numFmt w:val="lowerLetter"/>
      <w:lvlText w:val="%2."/>
      <w:lvlJc w:val="left"/>
      <w:pPr>
        <w:ind w:hanging="360" w:left="1440"/>
      </w:pPr>
    </w:lvl>
    <w:lvl w:ilvl="2" w:tentative="1" w:tplc="0410001B">
      <w:start w:val="1"/>
      <w:numFmt w:val="lowerRoman"/>
      <w:lvlText w:val="%3."/>
      <w:lvlJc w:val="right"/>
      <w:pPr>
        <w:ind w:hanging="180" w:left="2160"/>
      </w:pPr>
    </w:lvl>
    <w:lvl w:ilvl="3" w:tentative="1" w:tplc="0410000F">
      <w:start w:val="1"/>
      <w:numFmt w:val="decimal"/>
      <w:lvlText w:val="%4."/>
      <w:lvlJc w:val="left"/>
      <w:pPr>
        <w:ind w:hanging="360" w:left="2880"/>
      </w:pPr>
    </w:lvl>
    <w:lvl w:ilvl="4" w:tentative="1" w:tplc="04100019">
      <w:start w:val="1"/>
      <w:numFmt w:val="lowerLetter"/>
      <w:lvlText w:val="%5."/>
      <w:lvlJc w:val="left"/>
      <w:pPr>
        <w:ind w:hanging="360" w:left="3600"/>
      </w:pPr>
    </w:lvl>
    <w:lvl w:ilvl="5" w:tentative="1" w:tplc="0410001B">
      <w:start w:val="1"/>
      <w:numFmt w:val="lowerRoman"/>
      <w:lvlText w:val="%6."/>
      <w:lvlJc w:val="right"/>
      <w:pPr>
        <w:ind w:hanging="180" w:left="4320"/>
      </w:pPr>
    </w:lvl>
    <w:lvl w:ilvl="6" w:tentative="1" w:tplc="0410000F">
      <w:start w:val="1"/>
      <w:numFmt w:val="decimal"/>
      <w:lvlText w:val="%7."/>
      <w:lvlJc w:val="left"/>
      <w:pPr>
        <w:ind w:hanging="360" w:left="5040"/>
      </w:pPr>
    </w:lvl>
    <w:lvl w:ilvl="7" w:tentative="1" w:tplc="04100019">
      <w:start w:val="1"/>
      <w:numFmt w:val="lowerLetter"/>
      <w:lvlText w:val="%8."/>
      <w:lvlJc w:val="left"/>
      <w:pPr>
        <w:ind w:hanging="360" w:left="5760"/>
      </w:pPr>
    </w:lvl>
    <w:lvl w:ilvl="8" w:tentative="1" w:tplc="0410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4F5123DF"/>
    <w:multiLevelType w:val="hybridMultilevel"/>
    <w:tmpl w:val="BF0CD848"/>
    <w:lvl w:ilvl="0" w:tplc="0410000F">
      <w:start w:val="1"/>
      <w:numFmt w:val="decimal"/>
      <w:lvlText w:val="%1."/>
      <w:lvlJc w:val="left"/>
      <w:pPr>
        <w:ind w:hanging="360" w:left="720"/>
      </w:pPr>
    </w:lvl>
    <w:lvl w:ilvl="1" w:tentative="1" w:tplc="04100019">
      <w:start w:val="1"/>
      <w:numFmt w:val="lowerLetter"/>
      <w:lvlText w:val="%2."/>
      <w:lvlJc w:val="left"/>
      <w:pPr>
        <w:ind w:hanging="360" w:left="1440"/>
      </w:pPr>
    </w:lvl>
    <w:lvl w:ilvl="2" w:tentative="1" w:tplc="0410001B">
      <w:start w:val="1"/>
      <w:numFmt w:val="lowerRoman"/>
      <w:lvlText w:val="%3."/>
      <w:lvlJc w:val="right"/>
      <w:pPr>
        <w:ind w:hanging="180" w:left="2160"/>
      </w:pPr>
    </w:lvl>
    <w:lvl w:ilvl="3" w:tentative="1" w:tplc="0410000F">
      <w:start w:val="1"/>
      <w:numFmt w:val="decimal"/>
      <w:lvlText w:val="%4."/>
      <w:lvlJc w:val="left"/>
      <w:pPr>
        <w:ind w:hanging="360" w:left="2880"/>
      </w:pPr>
    </w:lvl>
    <w:lvl w:ilvl="4" w:tentative="1" w:tplc="04100019">
      <w:start w:val="1"/>
      <w:numFmt w:val="lowerLetter"/>
      <w:lvlText w:val="%5."/>
      <w:lvlJc w:val="left"/>
      <w:pPr>
        <w:ind w:hanging="360" w:left="3600"/>
      </w:pPr>
    </w:lvl>
    <w:lvl w:ilvl="5" w:tentative="1" w:tplc="0410001B">
      <w:start w:val="1"/>
      <w:numFmt w:val="lowerRoman"/>
      <w:lvlText w:val="%6."/>
      <w:lvlJc w:val="right"/>
      <w:pPr>
        <w:ind w:hanging="180" w:left="4320"/>
      </w:pPr>
    </w:lvl>
    <w:lvl w:ilvl="6" w:tentative="1" w:tplc="0410000F">
      <w:start w:val="1"/>
      <w:numFmt w:val="decimal"/>
      <w:lvlText w:val="%7."/>
      <w:lvlJc w:val="left"/>
      <w:pPr>
        <w:ind w:hanging="360" w:left="5040"/>
      </w:pPr>
    </w:lvl>
    <w:lvl w:ilvl="7" w:tentative="1" w:tplc="04100019">
      <w:start w:val="1"/>
      <w:numFmt w:val="lowerLetter"/>
      <w:lvlText w:val="%8."/>
      <w:lvlJc w:val="left"/>
      <w:pPr>
        <w:ind w:hanging="360" w:left="5760"/>
      </w:pPr>
    </w:lvl>
    <w:lvl w:ilvl="8" w:tentative="1" w:tplc="0410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869414988" w:numId="1">
    <w:abstractNumId w:val="1"/>
  </w:num>
  <w:num w16cid:durableId="191889600" w:numId="2">
    <w:abstractNumId w:val="0"/>
  </w:num>
  <w:num w16cid:durableId="1405685383" w:numId="3">
    <w:abstractNumId w:val="3"/>
  </w:num>
  <w:num w16cid:durableId="905260640" w:numId="4">
    <w:abstractNumId w:val="6"/>
  </w:num>
  <w:num w16cid:durableId="453256951" w:numId="5">
    <w:abstractNumId w:val="2"/>
  </w:num>
  <w:num w16cid:durableId="522670935" w:numId="6">
    <w:abstractNumId w:val="4"/>
  </w:num>
  <w:num w16cid:durableId="1079059330" w:numId="7">
    <w:abstractNumId w:val="5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attachedTemplate r:id="rId1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08"/>
  <w:hyphenationZone w:val="283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CE5"/>
    <w:rsid w:val="00001033"/>
    <w:rsid w:val="00002427"/>
    <w:rsid w:val="00006006"/>
    <w:rsid w:val="00024280"/>
    <w:rsid w:val="00052384"/>
    <w:rsid w:val="00064C8D"/>
    <w:rsid w:val="0008606B"/>
    <w:rsid w:val="00087A59"/>
    <w:rsid w:val="000A188F"/>
    <w:rsid w:val="000B3532"/>
    <w:rsid w:val="000B5364"/>
    <w:rsid w:val="000E0F4B"/>
    <w:rsid w:val="00100C27"/>
    <w:rsid w:val="0010451F"/>
    <w:rsid w:val="001051CE"/>
    <w:rsid w:val="0010645D"/>
    <w:rsid w:val="00113341"/>
    <w:rsid w:val="00127BBC"/>
    <w:rsid w:val="00137530"/>
    <w:rsid w:val="001449AE"/>
    <w:rsid w:val="001462FF"/>
    <w:rsid w:val="00146F78"/>
    <w:rsid w:val="0015016E"/>
    <w:rsid w:val="001510E5"/>
    <w:rsid w:val="001554A8"/>
    <w:rsid w:val="001653F0"/>
    <w:rsid w:val="001822C7"/>
    <w:rsid w:val="00191ADB"/>
    <w:rsid w:val="001A0748"/>
    <w:rsid w:val="001C44BF"/>
    <w:rsid w:val="001C69B5"/>
    <w:rsid w:val="001E1133"/>
    <w:rsid w:val="001E600D"/>
    <w:rsid w:val="00222544"/>
    <w:rsid w:val="00227AC2"/>
    <w:rsid w:val="002975EB"/>
    <w:rsid w:val="002A5642"/>
    <w:rsid w:val="002B45C4"/>
    <w:rsid w:val="002E15C9"/>
    <w:rsid w:val="002E47CA"/>
    <w:rsid w:val="002E484B"/>
    <w:rsid w:val="002F7338"/>
    <w:rsid w:val="00315AA6"/>
    <w:rsid w:val="003322CF"/>
    <w:rsid w:val="00343A1A"/>
    <w:rsid w:val="00347BBE"/>
    <w:rsid w:val="00350A3F"/>
    <w:rsid w:val="00370626"/>
    <w:rsid w:val="00371FD0"/>
    <w:rsid w:val="00380ACF"/>
    <w:rsid w:val="0038210E"/>
    <w:rsid w:val="00382ABE"/>
    <w:rsid w:val="00383857"/>
    <w:rsid w:val="00383873"/>
    <w:rsid w:val="00385DCD"/>
    <w:rsid w:val="00387C8F"/>
    <w:rsid w:val="003A3863"/>
    <w:rsid w:val="003A57CA"/>
    <w:rsid w:val="003C3A0D"/>
    <w:rsid w:val="003C64CC"/>
    <w:rsid w:val="003C78BD"/>
    <w:rsid w:val="003D56D6"/>
    <w:rsid w:val="003E42C0"/>
    <w:rsid w:val="003F4647"/>
    <w:rsid w:val="0040212E"/>
    <w:rsid w:val="00414D72"/>
    <w:rsid w:val="004237EC"/>
    <w:rsid w:val="00426722"/>
    <w:rsid w:val="00432469"/>
    <w:rsid w:val="00434775"/>
    <w:rsid w:val="00442016"/>
    <w:rsid w:val="00443BED"/>
    <w:rsid w:val="00450950"/>
    <w:rsid w:val="00450A34"/>
    <w:rsid w:val="00450E87"/>
    <w:rsid w:val="0047034A"/>
    <w:rsid w:val="004710B2"/>
    <w:rsid w:val="004916F7"/>
    <w:rsid w:val="00493606"/>
    <w:rsid w:val="00493E90"/>
    <w:rsid w:val="004B09C4"/>
    <w:rsid w:val="004E415B"/>
    <w:rsid w:val="004E44AC"/>
    <w:rsid w:val="004F0C5E"/>
    <w:rsid w:val="004F0D85"/>
    <w:rsid w:val="004F32C6"/>
    <w:rsid w:val="004F52C7"/>
    <w:rsid w:val="005020E1"/>
    <w:rsid w:val="00506E16"/>
    <w:rsid w:val="00511B95"/>
    <w:rsid w:val="0052090E"/>
    <w:rsid w:val="00530C1B"/>
    <w:rsid w:val="00562094"/>
    <w:rsid w:val="005635AE"/>
    <w:rsid w:val="0057172B"/>
    <w:rsid w:val="0058038F"/>
    <w:rsid w:val="0058302C"/>
    <w:rsid w:val="005A3044"/>
    <w:rsid w:val="005A5BFE"/>
    <w:rsid w:val="005B40DA"/>
    <w:rsid w:val="005B52BF"/>
    <w:rsid w:val="005B5379"/>
    <w:rsid w:val="005B6BE3"/>
    <w:rsid w:val="005C62FD"/>
    <w:rsid w:val="005E6551"/>
    <w:rsid w:val="005E7218"/>
    <w:rsid w:val="005F1B60"/>
    <w:rsid w:val="005F5FDE"/>
    <w:rsid w:val="005F7F0A"/>
    <w:rsid w:val="0061475E"/>
    <w:rsid w:val="00615811"/>
    <w:rsid w:val="00625C20"/>
    <w:rsid w:val="0063488E"/>
    <w:rsid w:val="00634A47"/>
    <w:rsid w:val="00641534"/>
    <w:rsid w:val="00642610"/>
    <w:rsid w:val="00655FC3"/>
    <w:rsid w:val="006870C1"/>
    <w:rsid w:val="006C6880"/>
    <w:rsid w:val="006C6D64"/>
    <w:rsid w:val="006F4EFB"/>
    <w:rsid w:val="006F5C0B"/>
    <w:rsid w:val="006F7023"/>
    <w:rsid w:val="00720738"/>
    <w:rsid w:val="00725F1C"/>
    <w:rsid w:val="00730651"/>
    <w:rsid w:val="00730942"/>
    <w:rsid w:val="00755FC1"/>
    <w:rsid w:val="007646A3"/>
    <w:rsid w:val="00774C54"/>
    <w:rsid w:val="00783232"/>
    <w:rsid w:val="00792B4F"/>
    <w:rsid w:val="00796574"/>
    <w:rsid w:val="007D40B1"/>
    <w:rsid w:val="007F6F05"/>
    <w:rsid w:val="0081034F"/>
    <w:rsid w:val="0083544C"/>
    <w:rsid w:val="0083750A"/>
    <w:rsid w:val="0084603E"/>
    <w:rsid w:val="00846290"/>
    <w:rsid w:val="0085429B"/>
    <w:rsid w:val="008629CF"/>
    <w:rsid w:val="008862C9"/>
    <w:rsid w:val="00893C53"/>
    <w:rsid w:val="008A5A0D"/>
    <w:rsid w:val="008B7110"/>
    <w:rsid w:val="008C7ABE"/>
    <w:rsid w:val="008D7B33"/>
    <w:rsid w:val="008F5B7D"/>
    <w:rsid w:val="008F7966"/>
    <w:rsid w:val="00924708"/>
    <w:rsid w:val="0097184C"/>
    <w:rsid w:val="00973674"/>
    <w:rsid w:val="00992EC6"/>
    <w:rsid w:val="00993B29"/>
    <w:rsid w:val="009A3651"/>
    <w:rsid w:val="009A6504"/>
    <w:rsid w:val="009B40B9"/>
    <w:rsid w:val="009B5D8D"/>
    <w:rsid w:val="009D4F69"/>
    <w:rsid w:val="009F0CC0"/>
    <w:rsid w:val="009F6E03"/>
    <w:rsid w:val="00A031DD"/>
    <w:rsid w:val="00A107D3"/>
    <w:rsid w:val="00A17053"/>
    <w:rsid w:val="00A265D6"/>
    <w:rsid w:val="00A3371E"/>
    <w:rsid w:val="00A4172F"/>
    <w:rsid w:val="00A42963"/>
    <w:rsid w:val="00A45435"/>
    <w:rsid w:val="00A52CEE"/>
    <w:rsid w:val="00A550B9"/>
    <w:rsid w:val="00A67E40"/>
    <w:rsid w:val="00A72558"/>
    <w:rsid w:val="00A914BD"/>
    <w:rsid w:val="00AA3622"/>
    <w:rsid w:val="00AB1E29"/>
    <w:rsid w:val="00AC7E41"/>
    <w:rsid w:val="00AE28DE"/>
    <w:rsid w:val="00AF5714"/>
    <w:rsid w:val="00B1109C"/>
    <w:rsid w:val="00B2460F"/>
    <w:rsid w:val="00B30CF7"/>
    <w:rsid w:val="00B34DCE"/>
    <w:rsid w:val="00B52762"/>
    <w:rsid w:val="00B613C9"/>
    <w:rsid w:val="00B70282"/>
    <w:rsid w:val="00B70A7C"/>
    <w:rsid w:val="00B70DBE"/>
    <w:rsid w:val="00B71BC6"/>
    <w:rsid w:val="00B751DC"/>
    <w:rsid w:val="00B75822"/>
    <w:rsid w:val="00B76C04"/>
    <w:rsid w:val="00B80B8C"/>
    <w:rsid w:val="00B83568"/>
    <w:rsid w:val="00B8550D"/>
    <w:rsid w:val="00B86FB9"/>
    <w:rsid w:val="00B91BC2"/>
    <w:rsid w:val="00BA013B"/>
    <w:rsid w:val="00BA6AFC"/>
    <w:rsid w:val="00BA7CD5"/>
    <w:rsid w:val="00BB2626"/>
    <w:rsid w:val="00BC7873"/>
    <w:rsid w:val="00BE07DF"/>
    <w:rsid w:val="00BE3462"/>
    <w:rsid w:val="00BE7CC2"/>
    <w:rsid w:val="00BF0D90"/>
    <w:rsid w:val="00C04F39"/>
    <w:rsid w:val="00C05E87"/>
    <w:rsid w:val="00C0762F"/>
    <w:rsid w:val="00C10053"/>
    <w:rsid w:val="00C209DC"/>
    <w:rsid w:val="00C231E0"/>
    <w:rsid w:val="00C27F1C"/>
    <w:rsid w:val="00C57075"/>
    <w:rsid w:val="00C8188E"/>
    <w:rsid w:val="00CA6DE6"/>
    <w:rsid w:val="00CB0E79"/>
    <w:rsid w:val="00CE26FC"/>
    <w:rsid w:val="00CF2A77"/>
    <w:rsid w:val="00D00B54"/>
    <w:rsid w:val="00D13170"/>
    <w:rsid w:val="00D2509B"/>
    <w:rsid w:val="00D311C2"/>
    <w:rsid w:val="00D37CF8"/>
    <w:rsid w:val="00D408CE"/>
    <w:rsid w:val="00D42E90"/>
    <w:rsid w:val="00D50B33"/>
    <w:rsid w:val="00D651DA"/>
    <w:rsid w:val="00D74CD3"/>
    <w:rsid w:val="00D93A8C"/>
    <w:rsid w:val="00D94EF4"/>
    <w:rsid w:val="00D97864"/>
    <w:rsid w:val="00DA23F0"/>
    <w:rsid w:val="00DB1A5B"/>
    <w:rsid w:val="00DC1BE9"/>
    <w:rsid w:val="00DD0FFC"/>
    <w:rsid w:val="00DE103F"/>
    <w:rsid w:val="00DE2135"/>
    <w:rsid w:val="00DE3725"/>
    <w:rsid w:val="00DE3A80"/>
    <w:rsid w:val="00DE7D27"/>
    <w:rsid w:val="00DF70B0"/>
    <w:rsid w:val="00E00C2B"/>
    <w:rsid w:val="00E14603"/>
    <w:rsid w:val="00E15F0D"/>
    <w:rsid w:val="00E21D1E"/>
    <w:rsid w:val="00E34E57"/>
    <w:rsid w:val="00E551CC"/>
    <w:rsid w:val="00E611F1"/>
    <w:rsid w:val="00E64474"/>
    <w:rsid w:val="00E72CA7"/>
    <w:rsid w:val="00E84486"/>
    <w:rsid w:val="00E924E9"/>
    <w:rsid w:val="00EB1C73"/>
    <w:rsid w:val="00EC0D9B"/>
    <w:rsid w:val="00EE5CAC"/>
    <w:rsid w:val="00F13CFE"/>
    <w:rsid w:val="00F17E66"/>
    <w:rsid w:val="00F21F66"/>
    <w:rsid w:val="00F232FF"/>
    <w:rsid w:val="00F34BF3"/>
    <w:rsid w:val="00F406F1"/>
    <w:rsid w:val="00F41AE7"/>
    <w:rsid w:val="00F560E0"/>
    <w:rsid w:val="00F6345D"/>
    <w:rsid w:val="00F85C74"/>
    <w:rsid w:val="00F92042"/>
    <w:rsid w:val="00F976DC"/>
    <w:rsid w:val="00FA2CE5"/>
    <w:rsid w:val="00FC24C7"/>
    <w:rsid w:val="00FC3370"/>
    <w:rsid w:val="00FD0B91"/>
    <w:rsid w:val="00FD34F7"/>
    <w:rsid w:val="00FD6B54"/>
    <w:rsid w:val="00FF0C55"/>
    <w:rsid w:val="1775785A"/>
    <w:rsid w:val="1956D9D2"/>
    <w:rsid w:val="23A1DAF1"/>
    <w:rsid w:val="23DA3E87"/>
    <w:rsid w:val="2CCD05E7"/>
    <w:rsid w:val="4663C8B5"/>
    <w:rsid w:val="55E9D4E7"/>
    <w:rsid w:val="70697FB7"/>
    <w:rsid w:val="7191D35C"/>
    <w:rsid w:val="76E9792C"/>
  </w:rsids>
  <w:themeFontLang w:val="it-IT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lang w:bidi="ar-SA" w:eastAsia="it-IT" w:val="it-IT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 w:semiHidden="1" w:unhideWhenUsed="1"/>
    <w:lsdException w:name="heading 3" w:qFormat="1" w:semiHidden="1" w:unhideWhenUsed="1"/>
    <w:lsdException w:name="heading 4" w:qFormat="1" w:semiHidden="1" w:unhideWhenUsed="1"/>
    <w:lsdException w:name="heading 5" w:qFormat="1" w:semiHidden="1" w:unhideWhenUsed="1"/>
    <w:lsdException w:name="heading 6" w:qFormat="1" w:semiHidden="1" w:unhideWhenUsed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footer" w:uiPriority="99"/>
    <w:lsdException w:name="caption" w:qFormat="1" w:semiHidden="1" w:unhideWhenUsed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e" w:type="paragraph">
    <w:name w:val="Normal"/>
    <w:qFormat/>
    <w:rsid w:val="00A42963"/>
    <w:rPr>
      <w:rFonts w:ascii="Arial Narrow" w:hAnsi="Arial Narrow"/>
      <w:sz w:val="22"/>
      <w:szCs w:val="22"/>
    </w:rPr>
  </w:style>
  <w:style w:default="1" w:styleId="Carpredefinitoparagrafo" w:type="character">
    <w:name w:val="Default Paragraph Font"/>
    <w:uiPriority w:val="1"/>
    <w:unhideWhenUsed/>
  </w:style>
  <w:style w:default="1" w:styleId="Tabellanorma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essunelenco" w:type="numbering">
    <w:name w:val="No List"/>
    <w:uiPriority w:val="99"/>
    <w:semiHidden/>
    <w:unhideWhenUsed/>
  </w:style>
  <w:style w:styleId="Intestazione" w:type="paragraph">
    <w:name w:val="header"/>
    <w:basedOn w:val="Normale"/>
    <w:rsid w:val="0083544C"/>
    <w:pPr>
      <w:tabs>
        <w:tab w:pos="4819" w:val="center"/>
        <w:tab w:pos="9638" w:val="right"/>
      </w:tabs>
    </w:pPr>
  </w:style>
  <w:style w:styleId="Pidipagina" w:type="paragraph">
    <w:name w:val="footer"/>
    <w:basedOn w:val="Normale"/>
    <w:link w:val="PidipaginaCarattere"/>
    <w:uiPriority w:val="99"/>
    <w:rsid w:val="0083544C"/>
    <w:pPr>
      <w:tabs>
        <w:tab w:pos="4819" w:val="center"/>
        <w:tab w:pos="9638" w:val="right"/>
      </w:tabs>
    </w:pPr>
  </w:style>
  <w:style w:styleId="Collegamentoipertestuale" w:type="character">
    <w:name w:val="Hyperlink"/>
    <w:basedOn w:val="Carpredefinitoparagrafo"/>
    <w:rsid w:val="00383873"/>
    <w:rPr>
      <w:color w:val="0000FF"/>
      <w:u w:val="single"/>
    </w:rPr>
  </w:style>
  <w:style w:customStyle="1" w:styleId="cIndirizzo" w:type="paragraph">
    <w:name w:val="cIndirizzo"/>
    <w:basedOn w:val="Normale"/>
    <w:next w:val="Normale"/>
    <w:rsid w:val="00893C53"/>
    <w:pPr>
      <w:ind w:left="6804"/>
    </w:pPr>
  </w:style>
  <w:style w:customStyle="1" w:styleId="cCorteseAttenzione" w:type="paragraph">
    <w:name w:val="cCorteseAttenzione"/>
    <w:basedOn w:val="Normale"/>
    <w:next w:val="cIndirizzo"/>
    <w:rsid w:val="00893C53"/>
    <w:pPr>
      <w:ind w:left="6804"/>
    </w:pPr>
    <w:rPr>
      <w:i/>
    </w:rPr>
  </w:style>
  <w:style w:customStyle="1" w:styleId="cRagioneSociale" w:type="paragraph">
    <w:name w:val="cRagioneSociale"/>
    <w:basedOn w:val="Normale"/>
    <w:next w:val="cCorteseAttenzione"/>
    <w:rsid w:val="00E14603"/>
    <w:pPr>
      <w:spacing w:before="480"/>
      <w:ind w:left="6804"/>
    </w:pPr>
    <w:rPr>
      <w:b/>
    </w:rPr>
  </w:style>
  <w:style w:customStyle="1" w:styleId="cOggetto" w:type="paragraph">
    <w:name w:val="cOggetto"/>
    <w:basedOn w:val="Normale"/>
    <w:next w:val="Normale"/>
    <w:rsid w:val="00893C53"/>
    <w:pPr>
      <w:spacing w:after="360" w:before="480"/>
    </w:pPr>
  </w:style>
  <w:style w:customStyle="1" w:styleId="cElencoPuntato" w:type="paragraph">
    <w:name w:val="cElencoPuntato"/>
    <w:basedOn w:val="Normale"/>
    <w:rsid w:val="00893C53"/>
    <w:pPr>
      <w:numPr>
        <w:numId w:val="1"/>
      </w:numPr>
      <w:tabs>
        <w:tab w:pos="720" w:val="clear"/>
        <w:tab w:pos="360" w:val="num"/>
      </w:tabs>
      <w:ind w:hanging="180" w:left="360"/>
    </w:pPr>
  </w:style>
  <w:style w:customStyle="1" w:styleId="cElencoNumerato" w:type="paragraph">
    <w:name w:val="cElencoNumerato"/>
    <w:basedOn w:val="Normale"/>
    <w:rsid w:val="00893C53"/>
    <w:pPr>
      <w:numPr>
        <w:ilvl w:val="1"/>
        <w:numId w:val="1"/>
      </w:numPr>
      <w:tabs>
        <w:tab w:pos="1440" w:val="clear"/>
        <w:tab w:pos="360" w:val="num"/>
      </w:tabs>
      <w:ind w:hanging="180" w:left="360"/>
    </w:pPr>
  </w:style>
  <w:style w:customStyle="1" w:styleId="cSaluto" w:type="paragraph">
    <w:name w:val="cSaluto"/>
    <w:basedOn w:val="Normale"/>
    <w:next w:val="Normale"/>
    <w:rsid w:val="00DE103F"/>
    <w:pPr>
      <w:spacing w:after="120"/>
    </w:pPr>
    <w:rPr>
      <w:i/>
    </w:rPr>
  </w:style>
  <w:style w:customStyle="1" w:styleId="cFunzioneFirmatario" w:type="paragraph">
    <w:name w:val="cFunzioneFirmatario"/>
    <w:basedOn w:val="Normale"/>
    <w:next w:val="Normale"/>
    <w:rsid w:val="00D00B54"/>
    <w:pPr>
      <w:ind w:left="6804"/>
    </w:pPr>
    <w:rPr>
      <w:i/>
    </w:rPr>
  </w:style>
  <w:style w:customStyle="1" w:styleId="cFirmatario" w:type="paragraph">
    <w:name w:val="cFirmatario"/>
    <w:basedOn w:val="Normale"/>
    <w:next w:val="cFunzioneFirmatario"/>
    <w:rsid w:val="00D00B54"/>
    <w:pPr>
      <w:spacing w:before="480"/>
      <w:ind w:left="6804"/>
    </w:pPr>
  </w:style>
  <w:style w:styleId="Grigliatabella" w:type="table">
    <w:name w:val="Table Grid"/>
    <w:basedOn w:val="Tabellanormale"/>
    <w:rsid w:val="00B751DC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umeropagina" w:type="character">
    <w:name w:val="page number"/>
    <w:basedOn w:val="Carpredefinitoparagrafo"/>
    <w:rsid w:val="00B751DC"/>
  </w:style>
  <w:style w:styleId="Paragrafoelenco" w:type="paragraph">
    <w:name w:val="List Paragraph"/>
    <w:basedOn w:val="Normale"/>
    <w:uiPriority w:val="34"/>
    <w:qFormat/>
    <w:rsid w:val="00CA6DE6"/>
    <w:pPr>
      <w:ind w:left="720"/>
      <w:contextualSpacing/>
    </w:pPr>
  </w:style>
  <w:style w:customStyle="1" w:styleId="PidipaginaCarattere" w:type="character">
    <w:name w:val="Piè di pagina Carattere"/>
    <w:basedOn w:val="Carpredefinitoparagrafo"/>
    <w:link w:val="Pidipagina"/>
    <w:uiPriority w:val="99"/>
    <w:rsid w:val="00370626"/>
    <w:rPr>
      <w:rFonts w:ascii="Arial Narrow" w:hAnsi="Arial Narrow"/>
      <w:sz w:val="22"/>
      <w:szCs w:val="22"/>
    </w:rPr>
  </w:style>
  <w:style w:styleId="Collegamentovisitato" w:type="character">
    <w:name w:val="FollowedHyperlink"/>
    <w:basedOn w:val="Carpredefinitoparagrafo"/>
    <w:rsid w:val="00F560E0"/>
    <w:rPr>
      <w:color w:themeColor="followedHyperlink" w:val="954F72"/>
      <w:u w:val="single"/>
    </w:rPr>
  </w:style>
  <w:style w:styleId="Heading1" w:type="paragraph">
    <w:name w:val="heading 1"/>
    <w:basedOn w:val="Normale"/>
    <w:next w:val="Normale"/>
    <w:qFormat/>
    <w:pPr>
      <w:keepNext/>
      <w:keepLines/>
      <w:spacing w:after="120" w:before="240"/>
      <w:jc w:val="center"/>
      <w:outlineLvl w:val="0"/>
    </w:pPr>
    <w:rPr>
      <w:rFonts w:ascii="Times New Roman" w:cs="Times New Roman" w:hAnsi="Times New Roman"/>
      <w:b/>
      <w:color w:val="024C41"/>
      <w:sz w:val="40"/>
      <w:szCs w:val="40"/>
    </w:rPr>
  </w:style>
  <w:style w:styleId="Heading2" w:type="paragraph">
    <w:name w:val="heading 2"/>
    <w:basedOn w:val="Normale"/>
    <w:next w:val="Normale"/>
    <w:qFormat/>
    <w:pPr>
      <w:keepNext/>
      <w:keepLines/>
      <w:spacing w:after="120" w:before="240"/>
      <w:outlineLvl w:val="1"/>
    </w:pPr>
    <w:rPr>
      <w:rFonts w:ascii="Times New Roman" w:cs="Times New Roman" w:hAnsi="Times New Roman"/>
      <w:b/>
      <w:color w:val="024C41"/>
      <w:sz w:val="32"/>
      <w:szCs w:val="32"/>
    </w:rPr>
  </w:style>
  <w:style w:styleId="Heading3" w:type="paragraph">
    <w:name w:val="heading 3"/>
    <w:basedOn w:val="Normale"/>
    <w:next w:val="Normale"/>
    <w:qFormat/>
    <w:pPr>
      <w:keepNext/>
      <w:keepLines/>
      <w:spacing w:after="120" w:before="240"/>
      <w:outlineLvl w:val="2"/>
    </w:pPr>
    <w:rPr>
      <w:rFonts w:ascii="Times New Roman" w:cs="Times New Roman" w:hAnsi="Times New Roman"/>
      <w:b/>
      <w:color w:val="024C41"/>
      <w:sz w:val="26"/>
      <w:szCs w:val="26"/>
    </w:rPr>
  </w:style>
  <w:style w:styleId="Caption" w:type="paragraph">
    <w:name w:val="Caption"/>
    <w:basedOn w:val="Normale"/>
    <w:qFormat/>
    <w:pPr>
      <w:spacing w:after="180" w:before="60"/>
    </w:pPr>
    <w:rPr>
      <w:rFonts w:ascii="Times New Roman" w:cs="Times New Roman" w:hAnsi="Times New Roman"/>
      <w:i/>
      <w:color w:val="404040"/>
      <w:sz w:val="18"/>
      <w:szCs w:val="18"/>
    </w:rPr>
  </w:style>
  <w:style w:styleId="Table" w:type="table">
    <w:name w:val="Table"/>
    <w:basedOn w:val="Tabellanormale"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</w:tblPr>
    <w:tblStylePr w:type="firstRow">
      <w:rPr>
        <w:b/>
        <w:color w:val="FFFFFF"/>
      </w:rPr>
      <w:tcPr>
        <w:shd w:color="auto" w:fill="0B5A3C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3" Type="http://schemas.openxmlformats.org/officeDocument/2006/relationships/numbering" Target="numbering.xml"/><Relationship Id="rId82" Type="http://schemas.openxmlformats.org/officeDocument/2006/relationships/styles" Target="styles.xml"/><Relationship Id="rId81" Type="http://schemas.openxmlformats.org/officeDocument/2006/relationships/settings" Target="settings.xml"/><Relationship Id="rId80" Type="http://schemas.openxmlformats.org/officeDocument/2006/relationships/webSettings" Target="webSettings.xml"/><Relationship Id="rId79" Type="http://schemas.openxmlformats.org/officeDocument/2006/relationships/fontTable" Target="fontTable.xml"/><Relationship Id="rId78" Type="http://schemas.openxmlformats.org/officeDocument/2006/relationships/theme" Target="theme/theme1.xml"/><Relationship Id="rId77" Type="http://schemas.openxmlformats.org/officeDocument/2006/relationships/footnotes" Target="footnotes.xml"/><Relationship Id="rId76" Type="http://schemas.openxmlformats.org/officeDocument/2006/relationships/comments" Target="comments.xml"/><Relationship Id="rId26" Type="http://schemas.openxmlformats.org/officeDocument/2006/relationships/image" Target="media/image5.png"/><Relationship Id="rId21" Type="http://schemas.openxmlformats.org/officeDocument/2006/relationships/image" Target="media/svg2.svg"/><Relationship Id="rId42" Type="http://schemas.openxmlformats.org/officeDocument/2006/relationships/image" Target="media/image13.png"/><Relationship Id="rId47" Type="http://schemas.openxmlformats.org/officeDocument/2006/relationships/image" Target="media/svg15.svg"/><Relationship Id="rId63" Type="http://schemas.openxmlformats.org/officeDocument/2006/relationships/image" Target="media/svg23.svg"/><Relationship Id="rId68" Type="http://schemas.openxmlformats.org/officeDocument/2006/relationships/image" Target="media/image26.png"/><Relationship Id="rId71" Type="http://schemas.openxmlformats.org/officeDocument/2006/relationships/image" Target="media/svg27.svg"/><Relationship Id="rId29" Type="http://schemas.openxmlformats.org/officeDocument/2006/relationships/image" Target="media/svg6.svg"/><Relationship Id="rId11" Type="http://schemas.openxmlformats.org/officeDocument/2006/relationships/image" Target="media/image1.png"/><Relationship Id="rId24" Type="http://schemas.openxmlformats.org/officeDocument/2006/relationships/image" Target="media/image4.png"/><Relationship Id="rId32" Type="http://schemas.openxmlformats.org/officeDocument/2006/relationships/image" Target="media/image8.png"/><Relationship Id="rId37" Type="http://schemas.openxmlformats.org/officeDocument/2006/relationships/image" Target="media/svg10.svg"/><Relationship Id="rId40" Type="http://schemas.openxmlformats.org/officeDocument/2006/relationships/image" Target="media/image12.png"/><Relationship Id="rId45" Type="http://schemas.openxmlformats.org/officeDocument/2006/relationships/image" Target="media/svg14.svg"/><Relationship Id="rId53" Type="http://schemas.openxmlformats.org/officeDocument/2006/relationships/image" Target="media/svg18.svg"/><Relationship Id="rId58" Type="http://schemas.openxmlformats.org/officeDocument/2006/relationships/image" Target="media/image21.png"/><Relationship Id="rId66" Type="http://schemas.openxmlformats.org/officeDocument/2006/relationships/image" Target="media/image25.png"/><Relationship Id="rId74" Type="http://schemas.openxmlformats.org/officeDocument/2006/relationships/header" Target="header2.xml"/><Relationship Id="rId61" Type="http://schemas.openxmlformats.org/officeDocument/2006/relationships/image" Target="media/svg22.svg"/><Relationship Id="rId19" Type="http://schemas.openxmlformats.org/officeDocument/2006/relationships/image" Target="media/svg1.svg"/><Relationship Id="rId22" Type="http://schemas.openxmlformats.org/officeDocument/2006/relationships/image" Target="media/image3.png"/><Relationship Id="rId27" Type="http://schemas.openxmlformats.org/officeDocument/2006/relationships/image" Target="media/svg5.svg"/><Relationship Id="rId30" Type="http://schemas.openxmlformats.org/officeDocument/2006/relationships/image" Target="media/image7.png"/><Relationship Id="rId35" Type="http://schemas.openxmlformats.org/officeDocument/2006/relationships/image" Target="media/svg9.svg"/><Relationship Id="rId43" Type="http://schemas.openxmlformats.org/officeDocument/2006/relationships/image" Target="media/svg13.svg"/><Relationship Id="rId48" Type="http://schemas.openxmlformats.org/officeDocument/2006/relationships/image" Target="media/image16.png"/><Relationship Id="rId56" Type="http://schemas.openxmlformats.org/officeDocument/2006/relationships/image" Target="media/image20.png"/><Relationship Id="rId64" Type="http://schemas.openxmlformats.org/officeDocument/2006/relationships/image" Target="media/image24.png"/><Relationship Id="rId69" Type="http://schemas.openxmlformats.org/officeDocument/2006/relationships/image" Target="media/svg26.svg"/><Relationship Id="rId51" Type="http://schemas.openxmlformats.org/officeDocument/2006/relationships/image" Target="media/svg17.svg"/><Relationship Id="rId72" Type="http://schemas.openxmlformats.org/officeDocument/2006/relationships/header" Target="header1.xml"/><Relationship Id="rId25" Type="http://schemas.openxmlformats.org/officeDocument/2006/relationships/image" Target="media/svg4.svg"/><Relationship Id="rId33" Type="http://schemas.openxmlformats.org/officeDocument/2006/relationships/image" Target="media/svg8.svg"/><Relationship Id="rId38" Type="http://schemas.openxmlformats.org/officeDocument/2006/relationships/image" Target="media/image11.png"/><Relationship Id="rId46" Type="http://schemas.openxmlformats.org/officeDocument/2006/relationships/image" Target="media/image15.png"/><Relationship Id="rId59" Type="http://schemas.openxmlformats.org/officeDocument/2006/relationships/image" Target="media/svg21.svg"/><Relationship Id="rId67" Type="http://schemas.openxmlformats.org/officeDocument/2006/relationships/image" Target="media/svg25.svg"/><Relationship Id="rId20" Type="http://schemas.openxmlformats.org/officeDocument/2006/relationships/image" Target="media/image2.png"/><Relationship Id="rId41" Type="http://schemas.openxmlformats.org/officeDocument/2006/relationships/image" Target="media/svg12.svg"/><Relationship Id="rId54" Type="http://schemas.openxmlformats.org/officeDocument/2006/relationships/image" Target="media/image19.png"/><Relationship Id="rId62" Type="http://schemas.openxmlformats.org/officeDocument/2006/relationships/image" Target="media/image23.png"/><Relationship Id="rId70" Type="http://schemas.openxmlformats.org/officeDocument/2006/relationships/image" Target="media/image27.png"/><Relationship Id="rId75" Type="http://schemas.openxmlformats.org/officeDocument/2006/relationships/footer" Target="footer2.xml"/><Relationship Id="rId23" Type="http://schemas.openxmlformats.org/officeDocument/2006/relationships/image" Target="media/svg3.svg"/><Relationship Id="rId28" Type="http://schemas.openxmlformats.org/officeDocument/2006/relationships/image" Target="media/image6.png"/><Relationship Id="rId36" Type="http://schemas.openxmlformats.org/officeDocument/2006/relationships/image" Target="media/image10.png"/><Relationship Id="rId49" Type="http://schemas.openxmlformats.org/officeDocument/2006/relationships/image" Target="media/svg16.svg"/><Relationship Id="rId57" Type="http://schemas.openxmlformats.org/officeDocument/2006/relationships/image" Target="media/svg20.svg"/><Relationship Id="rId31" Type="http://schemas.openxmlformats.org/officeDocument/2006/relationships/image" Target="media/svg7.svg"/><Relationship Id="rId44" Type="http://schemas.openxmlformats.org/officeDocument/2006/relationships/image" Target="media/image14.png"/><Relationship Id="rId52" Type="http://schemas.openxmlformats.org/officeDocument/2006/relationships/image" Target="media/image18.png"/><Relationship Id="rId60" Type="http://schemas.openxmlformats.org/officeDocument/2006/relationships/image" Target="media/image22.png"/><Relationship Id="rId65" Type="http://schemas.openxmlformats.org/officeDocument/2006/relationships/image" Target="media/svg24.svg"/><Relationship Id="rId73" Type="http://schemas.openxmlformats.org/officeDocument/2006/relationships/footer" Target="footer1.xml"/><Relationship Id="rId39" Type="http://schemas.openxmlformats.org/officeDocument/2006/relationships/image" Target="media/svg11.svg"/><Relationship Id="rId34" Type="http://schemas.openxmlformats.org/officeDocument/2006/relationships/image" Target="media/image9.png"/><Relationship Id="rId50" Type="http://schemas.openxmlformats.org/officeDocument/2006/relationships/image" Target="media/image17.png"/><Relationship Id="rId55" Type="http://schemas.openxmlformats.org/officeDocument/2006/relationships/image" Target="media/svg19.svg"/><Relationship Id="rId104" Type="http://schemas.openxmlformats.org/officeDocument/2006/relationships/image" Target="media/rId104.png"/><Relationship Id="rId108" Type="http://schemas.openxmlformats.org/officeDocument/2006/relationships/image" Target="media/rId108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8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8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COMMERCIALE%20FIORANO\Tesi\2010\Alessandro%20Vitto\Autorizzazione%20Alessandro.do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Autorizzazione Alessandro</Template>
  <TotalTime>0</TotalTime>
  <Pages>12</Pages>
  <Words>3208</Words>
  <Characters>18287</Characters>
  <Application>Microsoft Office Word</Application>
  <DocSecurity>0</DocSecurity>
  <Lines>152</Lines>
  <Paragraphs>42</Paragraphs>
  <ScaleCrop>false</ScaleCrop>
  <Company>Proelia Sistemi Srl</Company>
  <LinksUpToDate>false</LinksUpToDate>
  <CharactersWithSpaces>21453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2026-08-07T13:59:03Z</dcterms:created>
  <dcterms:modified xsi:type="dcterms:W3CDTF">2026-08-07T13:59:03Z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