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svg1.svg" ContentType="image/svg+xml"/>
  <Override PartName="/word/media/svg10.svg" ContentType="image/svg+xml"/>
  <Override PartName="/word/media/svg11.svg" ContentType="image/svg+xml"/>
  <Override PartName="/word/media/svg12.svg" ContentType="image/svg+xml"/>
  <Override PartName="/word/media/svg13.svg" ContentType="image/svg+xml"/>
  <Override PartName="/word/media/svg14.svg" ContentType="image/svg+xml"/>
  <Override PartName="/word/media/svg15.svg" ContentType="image/svg+xml"/>
  <Override PartName="/word/media/svg16.svg" ContentType="image/svg+xml"/>
  <Override PartName="/word/media/svg17.svg" ContentType="image/svg+xml"/>
  <Override PartName="/word/media/svg18.svg" ContentType="image/svg+xml"/>
  <Override PartName="/word/media/svg19.svg" ContentType="image/svg+xml"/>
  <Override PartName="/word/media/svg2.svg" ContentType="image/svg+xml"/>
  <Override PartName="/word/media/svg20.svg" ContentType="image/svg+xml"/>
  <Override PartName="/word/media/svg21.svg" ContentType="image/svg+xml"/>
  <Override PartName="/word/media/svg22.svg" ContentType="image/svg+xml"/>
  <Override PartName="/word/media/svg23.svg" ContentType="image/svg+xml"/>
  <Override PartName="/word/media/svg24.svg" ContentType="image/svg+xml"/>
  <Override PartName="/word/media/svg25.svg" ContentType="image/svg+xml"/>
  <Override PartName="/word/media/svg26.svg" ContentType="image/svg+xml"/>
  <Override PartName="/word/media/svg27.svg" ContentType="image/svg+xml"/>
  <Override PartName="/word/media/svg3.svg" ContentType="image/svg+xml"/>
  <Override PartName="/word/media/svg4.svg" ContentType="image/svg+xml"/>
  <Override PartName="/word/media/svg5.svg" ContentType="image/svg+xml"/>
  <Override PartName="/word/media/svg6.svg" ContentType="image/svg+xml"/>
  <Override PartName="/word/media/svg7.svg" ContentType="image/svg+xml"/>
  <Override PartName="/word/media/svg8.svg" ContentType="image/svg+xml"/>
  <Override PartName="/word/media/svg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8B7110" w:rsidR="00A265D6" w:rsidP="00A265D6" w:rsidRDefault="00A265D6" w14:paraId="1C580B53" w14:textId="77777777">
      <w:pPr>
        <w:spacing w:line="360" w:lineRule="auto"/>
        <w:jc w:val="center"/>
        <w:rPr>
          <w:rFonts w:asciiTheme="minorHAnsi" w:hAnsiTheme="minorHAnsi"/>
          <w:b/>
          <w:caps/>
          <w:sz w:val="44"/>
        </w:rPr>
      </w:pPr>
    </w:p>
    <w:p w:rsidRPr="008B7110" w:rsidR="00A265D6" w:rsidP="00A265D6" w:rsidRDefault="00A265D6" w14:paraId="295B76C0" w14:textId="1018BFC7">
      <w:pPr>
        <w:spacing w:line="360" w:lineRule="auto"/>
        <w:jc w:val="center"/>
        <w:rPr>
          <w:rFonts w:asciiTheme="minorHAnsi" w:hAnsiTheme="minorHAnsi"/>
          <w:b/>
          <w:caps/>
          <w:sz w:val="44"/>
        </w:rPr>
      </w:pPr>
    </w:p>
    <w:p w:rsidRPr="008B7110" w:rsidR="003C64CC" w:rsidP="00A265D6" w:rsidRDefault="003C64CC" w14:paraId="2081E780" w14:textId="77777777">
      <w:pPr>
        <w:spacing w:line="360" w:lineRule="auto"/>
        <w:jc w:val="center"/>
        <w:rPr>
          <w:rFonts w:asciiTheme="minorHAnsi" w:hAnsiTheme="minorHAnsi"/>
          <w:b/>
          <w:caps/>
          <w:sz w:val="44"/>
        </w:rPr>
      </w:pPr>
    </w:p>
    <w:p w:rsidRPr="008B7110" w:rsidR="00A265D6" w:rsidP="00A265D6" w:rsidRDefault="00A265D6" w14:paraId="2DA1F45C" w14:textId="77777777">
      <w:pPr>
        <w:spacing w:line="360" w:lineRule="auto"/>
        <w:jc w:val="center"/>
        <w:rPr>
          <w:rFonts w:asciiTheme="minorHAnsi" w:hAnsiTheme="minorHAnsi"/>
          <w:b/>
          <w:caps/>
          <w:sz w:val="44"/>
        </w:rPr>
      </w:pPr>
    </w:p>
    <w:p w:rsidRPr="008B7110" w:rsidR="003C64CC" w:rsidP="00A265D6" w:rsidRDefault="003C64CC" w14:paraId="30067E77" w14:textId="77777777">
      <w:pPr>
        <w:spacing w:line="360" w:lineRule="auto"/>
        <w:jc w:val="center"/>
        <w:rPr>
          <w:rFonts w:asciiTheme="minorHAnsi" w:hAnsiTheme="minorHAnsi"/>
          <w:b/>
          <w:caps/>
          <w:sz w:val="44"/>
        </w:rPr>
      </w:pPr>
    </w:p>
    <w:p w:rsidRPr="00F560E0" w:rsidR="00A265D6" w:rsidP="23A1DAF1" w:rsidRDefault="006C6D64" w14:paraId="7E02FF58" w14:textId="0CEBC6ED">
      <w:pPr>
        <w:spacing w:line="360" w:lineRule="auto"/>
        <w:jc w:val="center"/>
        <w:rPr>
          <w:rFonts w:asciiTheme="minorHAnsi" w:hAnsiTheme="minorHAnsi"/>
          <w:b/>
          <w:bCs/>
          <w:caps/>
          <w:color w:val="024C41"/>
          <w:sz w:val="72"/>
          <w:szCs w:val="56"/>
        </w:rPr>
      </w:pPr>
      <w:r w:rsidRPr="00F560E0">
        <w:rPr>
          <w:rFonts w:asciiTheme="minorHAnsi" w:hAnsiTheme="minorHAnsi"/>
          <w:b/>
          <w:bCs/>
          <w:caps/>
          <w:color w:val="024C41"/>
          <w:sz w:val="72"/>
          <w:szCs w:val="56"/>
        </w:rPr>
        <w:t>ASSESSMENT TERMODINAMICO DELLA FABBRICA</w:t>
      </w:r>
    </w:p>
    <w:p w:rsidRPr="00F560E0" w:rsidR="23A1DAF1" w:rsidP="23A1DAF1" w:rsidRDefault="00002427" w14:paraId="67411CDB" w14:textId="40AB4836">
      <w:pPr>
        <w:jc w:val="center"/>
        <w:rPr>
          <w:rFonts w:ascii="Calibri" w:hAnsi="Calibri" w:eastAsia="Calibri" w:cs="Calibri"/>
          <w:b/>
          <w:color w:val="00A98E"/>
          <w:sz w:val="40"/>
          <w:szCs w:val="40"/>
        </w:rPr>
      </w:pPr>
      <w:r w:rsidRPr="00F560E0">
        <w:rPr>
          <w:rFonts w:ascii="Calibri" w:hAnsi="Calibri" w:eastAsia="Calibri" w:cs="Calibri"/>
          <w:b/>
          <w:color w:val="00A98E"/>
          <w:sz w:val="40"/>
          <w:szCs w:val="40"/>
        </w:rPr>
        <w:t>Relazione Parziale N°: RP7.3</w:t>
      </w:r>
      <w:r w:rsidRPr="00F560E0" w:rsidR="23A1DAF1">
        <w:rPr>
          <w:rFonts w:ascii="Calibri" w:hAnsi="Calibri" w:eastAsia="Calibri" w:cs="Calibri"/>
          <w:b/>
          <w:color w:val="00A98E"/>
          <w:sz w:val="40"/>
          <w:szCs w:val="40"/>
        </w:rPr>
      </w:r>
      <w:r w:rsidRPr="00F560E0">
        <w:rPr>
          <w:rFonts w:ascii="Calibri" w:hAnsi="Calibri" w:eastAsia="Calibri" w:cs="Calibri"/>
          <w:b/>
          <w:color w:val="00A98E"/>
          <w:sz w:val="40"/>
          <w:szCs w:val="40"/>
        </w:rPr>
      </w:r>
      <w:r w:rsidRPr="00F560E0" w:rsidR="23A1DAF1">
        <w:rPr>
          <w:rFonts w:ascii="Calibri" w:hAnsi="Calibri" w:eastAsia="Calibri" w:cs="Calibri"/>
          <w:b/>
          <w:color w:val="00A98E"/>
          <w:sz w:val="40"/>
          <w:szCs w:val="40"/>
        </w:rPr>
      </w:r>
      <w:r w:rsidRPr="00F560E0">
        <w:rPr>
          <w:rFonts w:ascii="Calibri" w:hAnsi="Calibri" w:eastAsia="Calibri" w:cs="Calibri"/>
          <w:b/>
          <w:color w:val="00A98E"/>
          <w:sz w:val="40"/>
          <w:szCs w:val="40"/>
        </w:rPr>
      </w:r>
      <w:r w:rsidRPr="00F560E0" w:rsidR="23A1DAF1">
        <w:rPr>
          <w:rFonts w:ascii="Calibri" w:hAnsi="Calibri" w:eastAsia="Calibri" w:cs="Calibri"/>
          <w:b/>
          <w:color w:val="00A98E"/>
          <w:sz w:val="40"/>
          <w:szCs w:val="40"/>
        </w:rPr>
      </w:r>
      <w:r w:rsidRPr="00F560E0">
        <w:rPr>
          <w:rFonts w:ascii="Calibri" w:hAnsi="Calibri" w:eastAsia="Calibri" w:cs="Calibri"/>
          <w:b/>
          <w:color w:val="00A98E"/>
          <w:sz w:val="40"/>
          <w:szCs w:val="40"/>
        </w:rPr>
      </w:r>
    </w:p>
    <w:p w:rsidRPr="00F560E0" w:rsidR="23A1DAF1" w:rsidP="23A1DAF1" w:rsidRDefault="006C6D64" w14:paraId="09952A4B" w14:textId="3812BA94">
      <w:pPr>
        <w:jc w:val="center"/>
        <w:rPr>
          <w:rFonts w:ascii="Calibri" w:hAnsi="Calibri" w:eastAsia="Calibri" w:cs="Calibri"/>
          <w:b/>
          <w:color w:val="00A98E"/>
          <w:sz w:val="40"/>
          <w:szCs w:val="40"/>
        </w:rPr>
      </w:pPr>
      <w:r w:rsidRPr="00F560E0">
        <w:rPr>
          <w:rFonts w:ascii="Calibri" w:hAnsi="Calibri" w:eastAsia="Calibri" w:cs="Calibri"/>
          <w:b/>
          <w:color w:val="00A98E"/>
          <w:sz w:val="40"/>
          <w:szCs w:val="40"/>
        </w:rPr>
        <w:t>Versione del Documento: V1.0</w:t>
      </w:r>
      <w:r w:rsidRPr="00F560E0" w:rsidR="23A1DAF1">
        <w:rPr>
          <w:rFonts w:ascii="Calibri" w:hAnsi="Calibri" w:eastAsia="Calibri" w:cs="Calibri"/>
          <w:b/>
          <w:color w:val="00A98E"/>
          <w:sz w:val="40"/>
          <w:szCs w:val="40"/>
        </w:rPr>
      </w:r>
      <w:r w:rsidRPr="00F560E0">
        <w:rPr>
          <w:rFonts w:ascii="Calibri" w:hAnsi="Calibri" w:eastAsia="Calibri" w:cs="Calibri"/>
          <w:b/>
          <w:color w:val="00A98E"/>
          <w:sz w:val="40"/>
          <w:szCs w:val="40"/>
        </w:rPr>
      </w:r>
    </w:p>
    <w:p w:rsidRPr="00F560E0" w:rsidR="23A1DAF1" w:rsidP="23A1DAF1" w:rsidRDefault="006C6D64" w14:paraId="0435DB43" w14:textId="24829324">
      <w:pPr>
        <w:jc w:val="center"/>
        <w:rPr>
          <w:rFonts w:ascii="Calibri" w:hAnsi="Calibri" w:eastAsia="Calibri" w:cs="Calibri"/>
          <w:b/>
          <w:color w:val="00A98E"/>
          <w:sz w:val="40"/>
          <w:szCs w:val="40"/>
        </w:rPr>
      </w:pPr>
      <w:r w:rsidRPr="00F560E0">
        <w:rPr>
          <w:rFonts w:ascii="Calibri" w:hAnsi="Calibri" w:eastAsia="Calibri" w:cs="Calibri"/>
          <w:b/>
          <w:color w:val="00A98E"/>
          <w:sz w:val="40"/>
          <w:szCs w:val="40"/>
        </w:rPr>
        <w:t>Data di Revisione del Documento: 07.08.2026</w:t>
      </w:r>
      <w:r w:rsidRPr="00F560E0" w:rsidR="23A1DAF1">
        <w:rPr>
          <w:rFonts w:ascii="Calibri" w:hAnsi="Calibri" w:eastAsia="Calibri" w:cs="Calibri"/>
          <w:b/>
          <w:color w:val="00A98E"/>
          <w:sz w:val="40"/>
          <w:szCs w:val="40"/>
        </w:rPr>
      </w:r>
      <w:r w:rsidRPr="00F560E0">
        <w:rPr>
          <w:rFonts w:ascii="Calibri" w:hAnsi="Calibri" w:eastAsia="Calibri" w:cs="Calibri"/>
          <w:b/>
          <w:color w:val="00A98E"/>
          <w:sz w:val="40"/>
          <w:szCs w:val="40"/>
        </w:rPr>
      </w:r>
      <w:r w:rsidRPr="00F560E0" w:rsidR="23A1DAF1">
        <w:rPr>
          <w:rFonts w:ascii="Calibri" w:hAnsi="Calibri" w:eastAsia="Calibri" w:cs="Calibri"/>
          <w:b/>
          <w:color w:val="00A98E"/>
          <w:sz w:val="40"/>
          <w:szCs w:val="40"/>
        </w:rPr>
      </w:r>
      <w:proofErr w:type="gramStart"/>
      <w:r w:rsidRPr="00F560E0">
        <w:rPr>
          <w:rFonts w:ascii="Calibri" w:hAnsi="Calibri" w:eastAsia="Calibri" w:cs="Calibri"/>
          <w:b/>
          <w:color w:val="00A98E"/>
          <w:sz w:val="40"/>
          <w:szCs w:val="40"/>
        </w:rPr>
      </w:r>
      <w:r w:rsidRPr="00F560E0" w:rsidR="23A1DAF1">
        <w:rPr>
          <w:rFonts w:ascii="Calibri" w:hAnsi="Calibri" w:eastAsia="Calibri" w:cs="Calibri"/>
          <w:b/>
          <w:color w:val="00A98E"/>
          <w:sz w:val="40"/>
          <w:szCs w:val="40"/>
        </w:rPr>
      </w:r>
      <w:r w:rsidRPr="00F560E0">
        <w:rPr>
          <w:rFonts w:ascii="Calibri" w:hAnsi="Calibri" w:eastAsia="Calibri" w:cs="Calibri"/>
          <w:b/>
          <w:color w:val="00A98E"/>
          <w:sz w:val="40"/>
          <w:szCs w:val="40"/>
        </w:rPr>
      </w:r>
      <w:proofErr w:type="gramEnd"/>
    </w:p>
    <w:p w:rsidRPr="00F560E0" w:rsidR="23A1DAF1" w:rsidP="23A1DAF1" w:rsidRDefault="006C6D64" w14:paraId="603630B3" w14:textId="17A94853">
      <w:pPr>
        <w:spacing w:line="360" w:lineRule="auto"/>
        <w:jc w:val="center"/>
        <w:rPr>
          <w:rFonts w:ascii="Calibri" w:hAnsi="Calibri" w:eastAsia="Calibri" w:cs="Calibri"/>
          <w:b/>
          <w:color w:val="00A98E"/>
          <w:sz w:val="44"/>
          <w:szCs w:val="44"/>
        </w:rPr>
      </w:pPr>
      <w:proofErr w:type="gramStart"/>
      <w:r w:rsidRPr="00F560E0">
        <w:rPr>
          <w:rFonts w:ascii="Calibri" w:hAnsi="Calibri" w:eastAsia="Calibri" w:cs="Calibri"/>
          <w:b/>
          <w:color w:val="00A98E"/>
          <w:sz w:val="40"/>
          <w:szCs w:val="40"/>
        </w:rPr>
        <w:t>Responsabilità: Gresmalt - Capofila</w:t>
      </w:r>
      <w:r w:rsidRPr="00F560E0" w:rsidR="23A1DAF1">
        <w:rPr>
          <w:rFonts w:ascii="Calibri" w:hAnsi="Calibri" w:eastAsia="Calibri" w:cs="Calibri"/>
          <w:b/>
          <w:color w:val="00A98E"/>
          <w:sz w:val="40"/>
          <w:szCs w:val="40"/>
        </w:rPr>
      </w:r>
      <w:r w:rsidRPr="00F560E0">
        <w:rPr>
          <w:rFonts w:ascii="Calibri" w:hAnsi="Calibri" w:eastAsia="Calibri" w:cs="Calibri"/>
          <w:b/>
          <w:color w:val="00A98E"/>
          <w:sz w:val="40"/>
          <w:szCs w:val="40"/>
        </w:rPr>
      </w:r>
      <w:proofErr w:type="gramEnd"/>
      <w:r w:rsidRPr="00F560E0" w:rsidR="23A1DAF1">
        <w:rPr>
          <w:rFonts w:ascii="Calibri" w:hAnsi="Calibri" w:eastAsia="Calibri" w:cs="Calibri"/>
          <w:b/>
          <w:color w:val="00A98E"/>
          <w:sz w:val="40"/>
          <w:szCs w:val="40"/>
        </w:rPr>
      </w:r>
      <w:r w:rsidRPr="00F560E0">
        <w:rPr>
          <w:rFonts w:ascii="Calibri" w:hAnsi="Calibri" w:eastAsia="Calibri" w:cs="Calibri"/>
          <w:b/>
          <w:color w:val="00A98E"/>
          <w:sz w:val="40"/>
          <w:szCs w:val="40"/>
        </w:rPr>
      </w:r>
    </w:p>
    <w:p w:rsidRPr="008B7110" w:rsidR="00562094" w:rsidP="003C64CC" w:rsidRDefault="00562094" w14:paraId="003B6F2C" w14:textId="2971AB67">
      <w:pPr>
        <w:spacing w:line="360" w:lineRule="auto"/>
        <w:jc w:val="center"/>
        <w:rPr>
          <w:rFonts w:asciiTheme="minorHAnsi" w:hAnsiTheme="minorHAnsi"/>
          <w:sz w:val="44"/>
        </w:rPr>
      </w:pPr>
    </w:p>
    <w:p w:rsidRPr="008B7110" w:rsidR="005020E1" w:rsidP="003C64CC" w:rsidRDefault="005020E1" w14:paraId="08C95DEC" w14:textId="3024CF7F">
      <w:pPr>
        <w:spacing w:line="360" w:lineRule="auto"/>
        <w:jc w:val="center"/>
        <w:rPr>
          <w:rFonts w:asciiTheme="minorHAnsi" w:hAnsiTheme="minorHAnsi"/>
          <w:sz w:val="44"/>
        </w:rPr>
      </w:pPr>
    </w:p>
    <w:p w:rsidRPr="008B7110" w:rsidR="005020E1" w:rsidP="003C64CC" w:rsidRDefault="005020E1" w14:paraId="0F390DC9" w14:textId="4144E5CE">
      <w:pPr>
        <w:spacing w:line="360" w:lineRule="auto"/>
        <w:jc w:val="center"/>
        <w:rPr>
          <w:rFonts w:asciiTheme="minorHAnsi" w:hAnsiTheme="minorHAnsi"/>
          <w:sz w:val="44"/>
        </w:rPr>
      </w:pPr>
    </w:p>
    <w:p w:rsidRPr="008B7110" w:rsidR="001554A8" w:rsidP="003C64CC" w:rsidRDefault="001554A8" w14:paraId="0B30E4E2" w14:textId="77777777">
      <w:pPr>
        <w:spacing w:line="360" w:lineRule="auto"/>
        <w:jc w:val="center"/>
        <w:rPr>
          <w:rFonts w:asciiTheme="minorHAnsi" w:hAnsiTheme="minorHAnsi"/>
          <w:sz w:val="44"/>
        </w:rPr>
      </w:pPr>
    </w:p>
    <w:p w:rsidRPr="008B7110" w:rsidR="001554A8" w:rsidP="23A1DAF1" w:rsidRDefault="001554A8" w14:paraId="4D4FE911" w14:textId="77777777">
      <w:pPr>
        <w:spacing w:line="360" w:lineRule="auto"/>
        <w:jc w:val="both"/>
        <w:rPr>
          <w:rFonts w:asciiTheme="minorHAnsi" w:hAnsiTheme="minorHAnsi"/>
          <w:b/>
          <w:bCs/>
          <w:color w:val="2F5496" w:themeColor="accent1" w:themeShade="BF"/>
          <w:sz w:val="36"/>
          <w:szCs w:val="36"/>
        </w:rPr>
      </w:pPr>
    </w:p>
    <w:p>
      <w:pPr>
        <w:spacing w:before="80" w:after="120"/>
        <w:jc w:val="center"/>
        <w:pBdr>
          <w:top w:val="single" w:sz="6" w:space="4" w:color="C00000"/>
          <w:bottom w:val="single" w:sz="6" w:space="4" w:color="C00000"/>
          <w:left w:val="single" w:sz="6" w:space="4" w:color="C00000"/>
          <w:right w:val="single" w:sz="6" w:space="4" w:color="C00000"/>
        </w:pBdr>
      </w:pPr>
      <w:r>
        <w:rPr>
          <w:b/>
          <w:color w:val="C00000"/>
          <w:sz w:val="20"/>
        </w:rPr>
        <w:t>VERSIONE DI LAVORO V1.0 — VALORI DIMOSTRATIVI / NON VALIDATI (confidenza C). Dati primari ERP/MES ed E2C non ancora forniti: i risultati numerici illustrano la pipeline e vanno sostituiti con dati verificati prima di ogni uso decisionale.</w:t>
      </w:r>
    </w:p>
    <w:p>
      <w:pPr>
        <w:spacing w:before="240" w:after="120"/>
        <w:jc w:val="both"/>
      </w:pPr>
      <w:r>
        <w:rPr>
          <w:rFonts w:ascii="Calibri" w:hAnsi="Calibri"/>
          <w:b/>
          <w:color w:val="024C41"/>
          <w:sz w:val="36"/>
        </w:rPr>
        <w:t>1. INTRODUZIONE</w:t>
      </w:r>
    </w:p>
    <w:p>
      <w:pPr>
        <w:spacing w:before="160" w:after="60"/>
      </w:pPr>
      <w:r>
        <w:rPr>
          <w:rFonts w:ascii="Calibri" w:hAnsi="Calibri"/>
          <w:b/>
          <w:color w:val="024C41"/>
          <w:sz w:val="26"/>
        </w:rPr>
        <w:t>1.1 Inquadramento dell'attività</w:t>
      </w:r>
    </w:p>
    <w:p>
      <w:pPr>
        <w:spacing w:after="120"/>
        <w:jc w:val="both"/>
      </w:pPr>
      <w:r>
        <w:rPr>
          <w:rFonts w:ascii="Calibri" w:hAnsi="Calibri"/>
          <w:b w:val="0"/>
          <w:sz w:val="22"/>
        </w:rPr>
        <w:t>L'attività 7.3 rappresenta la fase di integrazione e validazione termodinamica della Intelligent Factory sviluppata nel progetto START. Mette in relazione due linee di lavoro maturate negli Obiettivi Realizzativi precedenti: l'infrastruttura digitale e cognitiva della fabbrica (piattaforma Edge-to-Cloud E2C, acquisizione e semantizzazione dei dati, modelli della Intelligent Factory) e la linea metodologica di misurazione della sostenibilità (le quattro impronte tecnologica, ambientale, sociale ed economica e la modellazione dell'Extended Exergy Accounting Plus, EEA+).</w:t>
      </w:r>
    </w:p>
    <w:p>
      <w:pPr>
        <w:spacing w:after="120"/>
        <w:jc w:val="both"/>
      </w:pPr>
      <w:r>
        <w:rPr>
          <w:rFonts w:ascii="Calibri" w:hAnsi="Calibri"/>
          <w:b w:val="0"/>
          <w:sz w:val="22"/>
        </w:rPr>
        <w:t>Il Piano di Sviluppo assegna all'attività il compito di applicare in ambiente operativo la versione alpha dell'EEA+ (OR6.5), condurre l'analisi exergetica della fabbrica e integrare quantitativamente le prestazioni tecnologiche (OR6.1), ambientali (OR6.2), sociali (OR6.3) ed economiche (OR6.4) in una prospettiva olistica, utilizzando sia le serie storiche di dati primari sia i dati raccolti in tempo reale. Il risultato atteso è duplice: un quadro delle performance di sostenibilità multidimensionale delle tre unità produttive e il collaudo della versione beta dello strumento EEA+. Il KPI di attività è l'</w:t>
      </w:r>
      <w:r>
        <w:rPr>
          <w:rFonts w:ascii="Calibri" w:hAnsi="Calibri"/>
          <w:b/>
          <w:sz w:val="22"/>
        </w:rPr>
        <w:t>Indice Termodinamico di Sostenibilità (TSI)</w:t>
      </w:r>
      <w:r>
        <w:rPr>
          <w:rFonts w:ascii="Calibri" w:hAnsi="Calibri"/>
          <w:b w:val="0"/>
          <w:sz w:val="22"/>
        </w:rPr>
        <w:t>, da determinare per ciascuna unità sulla baseline storica e sullo scenario in tempo reale. Il Piano prescrive inoltre l'impiego dell'</w:t>
      </w:r>
      <w:r>
        <w:rPr>
          <w:rFonts w:ascii="Calibri" w:hAnsi="Calibri"/>
          <w:b/>
          <w:sz w:val="22"/>
        </w:rPr>
        <w:t>Analytic Hierarchy Process (AHP)</w:t>
      </w:r>
      <w:r>
        <w:rPr>
          <w:rFonts w:ascii="Calibri" w:hAnsi="Calibri"/>
          <w:b w:val="0"/>
          <w:sz w:val="22"/>
        </w:rPr>
        <w:t xml:space="preserve"> come tecnica di ponderazione trasparente fra le quattro dimensioni.</w:t>
      </w:r>
    </w:p>
    <w:p>
      <w:pPr>
        <w:spacing w:before="160" w:after="60"/>
      </w:pPr>
      <w:r>
        <w:rPr>
          <w:rFonts w:ascii="Calibri" w:hAnsi="Calibri"/>
          <w:b/>
          <w:color w:val="024C41"/>
          <w:sz w:val="26"/>
        </w:rPr>
        <w:t>1.2 Dal problema dell'incommensurabilità alla metrica comune</w:t>
      </w:r>
    </w:p>
    <w:p>
      <w:pPr>
        <w:spacing w:after="120"/>
        <w:jc w:val="both"/>
      </w:pPr>
      <w:r>
        <w:rPr>
          <w:rFonts w:ascii="Calibri" w:hAnsi="Calibri"/>
          <w:b w:val="0"/>
          <w:sz w:val="22"/>
        </w:rPr>
        <w:t xml:space="preserve">La valutazione della sostenibilità combina grandezze eterogenee (kg CO₂-eq, m³, €, ore, DALY, indicatori di processo) la cui aggregazione diretta è problematica. Le tecniche multicriterio costruiscono score sintetici ma richiedono scelte esplicite di normalizzazione e ponderazione. START affronta il problema convertendo in Joule (exergia o equivalente) le grandezze considerate: la conversione risolve la </w:t>
      </w:r>
      <w:r>
        <w:rPr>
          <w:rFonts w:ascii="Calibri" w:hAnsi="Calibri"/>
          <w:b/>
          <w:sz w:val="22"/>
        </w:rPr>
        <w:t>commensurabilità dimensionale</w:t>
      </w:r>
      <w:r>
        <w:rPr>
          <w:rFonts w:ascii="Calibri" w:hAnsi="Calibri"/>
          <w:b w:val="0"/>
          <w:sz w:val="22"/>
        </w:rPr>
        <w:t xml:space="preserve">, mentre l'AHP rende esplicita e verificabile la </w:t>
      </w:r>
      <w:r>
        <w:rPr>
          <w:rFonts w:ascii="Calibri" w:hAnsi="Calibri"/>
          <w:b/>
          <w:sz w:val="22"/>
        </w:rPr>
        <w:t>ponderazione</w:t>
      </w:r>
      <w:r>
        <w:rPr>
          <w:rFonts w:ascii="Calibri" w:hAnsi="Calibri"/>
          <w:b w:val="0"/>
          <w:sz w:val="22"/>
        </w:rPr>
        <w:t>. Nella beta i due livelli sono distinti: la conversione in J/GJ rende confrontabili le grandezze; l'AHP determina i pesi; la Sustainability Accounting integra i contributi; il TSI combina il risultato multidimensionale con l'efficienza exergetica del processo.</w:t>
      </w:r>
    </w:p>
    <w:p>
      <w:pPr>
        <w:spacing w:before="160" w:after="60"/>
      </w:pPr>
      <w:r>
        <w:rPr>
          <w:rFonts w:ascii="Calibri" w:hAnsi="Calibri"/>
          <w:b/>
          <w:color w:val="024C41"/>
          <w:sz w:val="26"/>
        </w:rPr>
        <w:t>1.3 Baseline metodologica e scopi</w:t>
      </w:r>
    </w:p>
    <w:p>
      <w:pPr>
        <w:spacing w:after="120"/>
        <w:jc w:val="both"/>
      </w:pPr>
      <w:r>
        <w:rPr>
          <w:rFonts w:ascii="Calibri" w:hAnsi="Calibri"/>
          <w:b w:val="0"/>
          <w:sz w:val="22"/>
        </w:rPr>
        <w:t xml:space="preserve">La baseline metodologica è costituita dai risultati degli OR6.1–6.5: le quattro impronte (input-output-outcome; logiche MTS/MTO per la tecnologica) e l'EEA+ alpha con il TSI. L'attività non sostituisce le impronte: le assume come modelli di dominio e le trasforma in quattro </w:t>
      </w:r>
      <w:r>
        <w:rPr>
          <w:rFonts w:ascii="Calibri" w:hAnsi="Calibri"/>
          <w:b/>
          <w:sz w:val="22"/>
        </w:rPr>
        <w:t>moduli operativi in Joule</w:t>
      </w:r>
      <w:r>
        <w:rPr>
          <w:rFonts w:ascii="Calibri" w:hAnsi="Calibri"/>
          <w:b w:val="0"/>
          <w:sz w:val="22"/>
        </w:rPr>
        <w:t xml:space="preserve"> — TEI-J, EFA-J, EcoFA-J, SFA-J. Gli scopi sono: (i) formalizzare il passaggio EEA+ alpha → beta; (ii) integrare in una metrica comune le quattro impronte senza alterarne la logica; (iii) applicare la stessa pipeline a dati storici e real-time; (iv) produrre, per D020, D060 e D240, un TSI storico e un TSI real-time confrontabili.</w:t>
      </w:r>
    </w:p>
    <w:p>
      <w:pPr>
        <w:spacing w:before="240" w:after="120"/>
        <w:jc w:val="both"/>
      </w:pPr>
      <w:r>
        <w:rPr>
          <w:rFonts w:ascii="Calibri" w:hAnsi="Calibri"/>
          <w:b/>
          <w:color w:val="024C41"/>
          <w:sz w:val="36"/>
        </w:rPr>
        <w:t>2. METODOLOGIA</w:t>
      </w:r>
    </w:p>
    <w:p>
      <w:pPr>
        <w:spacing w:before="160" w:after="60"/>
      </w:pPr>
      <w:r>
        <w:rPr>
          <w:rFonts w:ascii="Calibri" w:hAnsi="Calibri"/>
          <w:b/>
          <w:color w:val="024C41"/>
          <w:sz w:val="26"/>
        </w:rPr>
        <w:t>2.1 Architettura della versione beta</w:t>
      </w:r>
    </w:p>
    <w:p>
      <w:pPr>
        <w:spacing w:after="120"/>
        <w:jc w:val="both"/>
      </w:pPr>
      <w:r>
        <w:rPr>
          <w:rFonts w:ascii="Calibri" w:hAnsi="Calibri"/>
          <w:b w:val="0"/>
          <w:sz w:val="22"/>
        </w:rPr>
        <w:t xml:space="preserve">La versione beta è una pipeline a sei livelli: </w:t>
      </w:r>
      <w:r>
        <w:rPr>
          <w:rFonts w:ascii="Calibri" w:hAnsi="Calibri"/>
          <w:b/>
          <w:sz w:val="22"/>
        </w:rPr>
        <w:t>Dati primari → armonizzazione → 4 moduli -J → AHP → Sustainability Accounting → layer exergico → TSI</w:t>
      </w:r>
      <w:r>
        <w:rPr>
          <w:rFonts w:ascii="Calibri" w:hAnsi="Calibri"/>
          <w:b w:val="0"/>
          <w:sz w:val="22"/>
        </w:rPr>
        <w:t>. Il flusso conserva la leggibilità dei singoli footprint e costruisce un indicatore finale unico. L'architettura è illustrata nelle Figure 1 e 2.</w:t>
      </w:r>
    </w:p>
    <w:p>
      <w:pPr>
        <w:jc w:val="center"/>
      </w:pPr>
      <w:r>
        <w:drawing>
          <wp:inline xmlns:a="http://schemas.openxmlformats.org/drawingml/2006/main" xmlns:pic="http://schemas.openxmlformats.org/drawingml/2006/picture">
            <wp:extent cx="5760000" cy="1485157"/>
            <wp:docPr id="1" name="Picture 1"/>
            <wp:cNvGraphicFramePr>
              <a:graphicFrameLocks noChangeAspect="1"/>
            </wp:cNvGraphicFramePr>
            <a:graphic>
              <a:graphicData uri="http://schemas.openxmlformats.org/drawingml/2006/picture">
                <pic:pic>
                  <pic:nvPicPr>
                    <pic:cNvPr id="0" name="fig1_architettura.png"/>
                    <pic:cNvPicPr/>
                  </pic:nvPicPr>
                  <pic:blipFill>
                    <a:blip r:embed="rId18">
                      <a:extLst>
                        <a:ext uri="{96DAC541-7F89-4952-8B84-B3F5B99F14F2}">
                          <asvg:svgBlip xmlns:asvg="http://schemas.microsoft.com/office/drawing/2016/SVG/main" r:embed="rId19"/>
                        </a:ext>
                      </a:extLst>
                    </a:blip>
                    <a:stretch>
                      <a:fillRect/>
                    </a:stretch>
                  </pic:blipFill>
                  <pic:spPr>
                    <a:xfrm>
                      <a:off x="0" y="0"/>
                      <a:ext cx="5760000" cy="1485157"/>
                    </a:xfrm>
                    <a:prstGeom prst="rect"/>
                  </pic:spPr>
                </pic:pic>
              </a:graphicData>
            </a:graphic>
          </wp:inline>
        </w:drawing>
      </w:r>
    </w:p>
    <w:p>
      <w:pPr>
        <w:spacing w:after="160"/>
        <w:jc w:val="left"/>
      </w:pPr>
      <w:r>
        <w:rPr>
          <w:i/>
          <w:color w:val="333333"/>
          <w:sz w:val="18"/>
        </w:rPr>
        <w:t>Figura 1 — Architettura della pipeline EEA+ beta (Dati → moduli -J → AHP → SA → layer exergico → TSI).</w:t>
      </w:r>
    </w:p>
    <w:p>
      <w:pPr>
        <w:jc w:val="center"/>
      </w:pPr>
      <w:r>
        <w:drawing>
          <wp:inline xmlns:a="http://schemas.openxmlformats.org/drawingml/2006/main" xmlns:pic="http://schemas.openxmlformats.org/drawingml/2006/picture">
            <wp:extent cx="4320000" cy="2188800"/>
            <wp:docPr id="2" name="Picture 2"/>
            <wp:cNvGraphicFramePr>
              <a:graphicFrameLocks noChangeAspect="1"/>
            </wp:cNvGraphicFramePr>
            <a:graphic>
              <a:graphicData uri="http://schemas.openxmlformats.org/drawingml/2006/picture">
                <pic:pic>
                  <pic:nvPicPr>
                    <pic:cNvPr id="0" name="fig2_moduli.png"/>
                    <pic:cNvPicPr/>
                  </pic:nvPicPr>
                  <pic:blipFill>
                    <a:blip r:embed="rId20">
                      <a:extLst>
                        <a:ext uri="{96DAC541-7F89-4952-8B84-B3F5B99F14F2}">
                          <asvg:svgBlip xmlns:asvg="http://schemas.microsoft.com/office/drawing/2016/SVG/main" r:embed="rId21"/>
                        </a:ext>
                      </a:extLst>
                    </a:blip>
                    <a:stretch>
                      <a:fillRect/>
                    </a:stretch>
                  </pic:blipFill>
                  <pic:spPr>
                    <a:xfrm>
                      <a:off x="0" y="0"/>
                      <a:ext cx="4320000" cy="2188800"/>
                    </a:xfrm>
                    <a:prstGeom prst="rect"/>
                  </pic:spPr>
                </pic:pic>
              </a:graphicData>
            </a:graphic>
          </wp:inline>
        </w:drawing>
      </w:r>
    </w:p>
    <w:p>
      <w:pPr>
        <w:spacing w:after="160"/>
        <w:jc w:val="left"/>
      </w:pPr>
      <w:r>
        <w:rPr>
          <w:i/>
          <w:color w:val="333333"/>
          <w:sz w:val="18"/>
        </w:rPr>
        <w:t>Figura 2 — Schema di integrazione dei quattro moduli in Joule.</w:t>
      </w:r>
    </w:p>
    <w:p>
      <w:pPr>
        <w:spacing w:before="160" w:after="60"/>
      </w:pPr>
      <w:r>
        <w:rPr>
          <w:rFonts w:ascii="Calibri" w:hAnsi="Calibri"/>
          <w:b/>
          <w:color w:val="024C41"/>
          <w:sz w:val="26"/>
        </w:rPr>
        <w:t>2.2 Perimetro, unità funzionale e convenzioni di unità</w:t>
      </w:r>
    </w:p>
    <w:p>
      <w:pPr>
        <w:spacing w:after="120"/>
        <w:jc w:val="both"/>
      </w:pPr>
      <w:r>
        <w:rPr>
          <w:rFonts w:ascii="Calibri" w:hAnsi="Calibri"/>
          <w:b w:val="0"/>
          <w:sz w:val="22"/>
        </w:rPr>
        <w:t xml:space="preserve">Il perimetro è </w:t>
      </w:r>
      <w:r>
        <w:rPr>
          <w:rFonts w:ascii="Calibri" w:hAnsi="Calibri"/>
          <w:b/>
          <w:sz w:val="22"/>
        </w:rPr>
        <w:t>gate-to-gate rinforzato</w:t>
      </w:r>
      <w:r>
        <w:rPr>
          <w:rFonts w:ascii="Calibri" w:hAnsi="Calibri"/>
          <w:b w:val="0"/>
          <w:sz w:val="22"/>
        </w:rPr>
        <w:t xml:space="preserve">: i vettori energetici di fabbrica sono contabilizzati come tali, i materiali con coefficienti cradle-to-gate ove occorra rappresentarne l'energia incorporata, il riciclo interno con regola di cut-off, e ogni voce è attribuita a un solo modulo per evitare doppio conteggio. L'unità funzionale è il m² di piastrella equivalente. </w:t>
      </w:r>
      <w:r>
        <w:rPr>
          <w:rFonts w:ascii="Calibri" w:hAnsi="Calibri"/>
          <w:b/>
          <w:sz w:val="22"/>
        </w:rPr>
        <w:t>Convenzione di unità</w:t>
      </w:r>
      <w:r>
        <w:rPr>
          <w:rFonts w:ascii="Calibri" w:hAnsi="Calibri"/>
          <w:b w:val="0"/>
          <w:sz w:val="22"/>
        </w:rPr>
        <w:t xml:space="preserve"> (corretta rispetto alle bozze dei manuali): le grandezze sono memorizzate nelle unità native, il layer di calcolo opera in </w:t>
      </w:r>
      <w:r>
        <w:rPr>
          <w:rFonts w:ascii="Calibri" w:hAnsi="Calibri"/>
          <w:b/>
          <w:sz w:val="22"/>
        </w:rPr>
        <w:t>MJ</w:t>
      </w:r>
      <w:r>
        <w:rPr>
          <w:rFonts w:ascii="Calibri" w:hAnsi="Calibri"/>
          <w:b w:val="0"/>
          <w:sz w:val="22"/>
        </w:rPr>
        <w:t xml:space="preserve"> e gli output aggregati in </w:t>
      </w:r>
      <w:r>
        <w:rPr>
          <w:rFonts w:ascii="Calibri" w:hAnsi="Calibri"/>
          <w:b/>
          <w:sz w:val="22"/>
        </w:rPr>
        <w:t>GJ</w:t>
      </w:r>
      <w:r>
        <w:rPr>
          <w:rFonts w:ascii="Calibri" w:hAnsi="Calibri"/>
          <w:b w:val="0"/>
          <w:sz w:val="22"/>
        </w:rPr>
        <w:t xml:space="preserve">, con conversione </w:t>
      </w:r>
      <w:r>
        <w:rPr>
          <w:rFonts w:ascii="Calibri" w:hAnsi="Calibri"/>
          <w:b/>
          <w:sz w:val="22"/>
        </w:rPr>
        <w:t>MJ → GJ mediante divisione per 1.000</w:t>
      </w:r>
      <w:r>
        <w:rPr>
          <w:rFonts w:ascii="Calibri" w:hAnsi="Calibri"/>
          <w:b w:val="0"/>
          <w:sz w:val="22"/>
        </w:rPr>
        <w:t xml:space="preserve"> (1 GJ = 1.000 MJ = 10⁹ J); si evita esplicitamente la divisione per 10⁹ applicata a valori già in MJ.</w:t>
      </w:r>
    </w:p>
    <w:p>
      <w:pPr>
        <w:spacing w:before="160" w:after="60"/>
      </w:pPr>
      <w:r>
        <w:rPr>
          <w:rFonts w:ascii="Calibri" w:hAnsi="Calibri"/>
          <w:b/>
          <w:color w:val="024C41"/>
          <w:sz w:val="26"/>
        </w:rPr>
        <w:t>2.3 Componente exergetica</w:t>
      </w:r>
    </w:p>
    <w:p>
      <w:pPr>
        <w:spacing w:after="120"/>
        <w:jc w:val="both"/>
      </w:pPr>
      <w:r>
        <w:rPr>
          <w:rFonts w:ascii="Calibri" w:hAnsi="Calibri"/>
          <w:b w:val="0"/>
          <w:sz w:val="22"/>
        </w:rPr>
        <w:t xml:space="preserve">Per ogni unità si calcola il throughput exergetico dei vettori energetici secondo la Eq. (18). L'exergia del combustibile è trattata come </w:t>
      </w:r>
      <w:r>
        <w:rPr>
          <w:rFonts w:ascii="Calibri" w:hAnsi="Calibri"/>
          <w:b/>
          <w:sz w:val="22"/>
        </w:rPr>
        <w:t>exergia chimica</w:t>
      </w:r>
      <w:r>
        <w:rPr>
          <w:rFonts w:ascii="Calibri" w:hAnsi="Calibri"/>
          <w:b w:val="0"/>
          <w:sz w:val="22"/>
        </w:rPr>
        <w:t xml:space="preserve"> (coefficiente b_fuel ≈ 42 MJ/Nm³, dimostrativo), tenendo l'efficienza di conversione all'interno dell'efficienza exergetica di secondo principio Ψ e non nel denominatore di riferimento Ex_ref. Il riferimento energetico di processo è Ex_ref = Ex_el + Ex_fuel.</w:t>
      </w:r>
    </w:p>
    <w:tbl>
      <w:tblPr>
        <w:tblW w:type="auto" w:w="0"/>
        <w:jc w:val="center"/>
        <w:tblLook w:firstColumn="1" w:firstRow="1" w:lastColumn="0" w:lastRow="0" w:noHBand="0" w:noVBand="1" w:val="04A0"/>
      </w:tblPr>
      <w:tblGrid>
        <w:gridCol w:w="8504"/>
        <w:gridCol w:w="907"/>
      </w:tblGrid>
      <w:tr>
        <w:tc>
          <w:tcPr>
            <w:tcW w:type="dxa" w:w="5386"/>
          </w:tcPr>
          <w:p>
            <w:pPr>
              <w:jc w:val="center"/>
            </w:pPr>
            <w:r>
              <w:drawing>
                <wp:inline xmlns:a="http://schemas.openxmlformats.org/drawingml/2006/main" xmlns:pic="http://schemas.openxmlformats.org/drawingml/2006/picture">
                  <wp:extent cx="2680363" cy="234000"/>
                  <wp:docPr id="3" name="Picture 3"/>
                  <wp:cNvGraphicFramePr>
                    <a:graphicFrameLocks noChangeAspect="1"/>
                  </wp:cNvGraphicFramePr>
                  <a:graphic>
                    <a:graphicData uri="http://schemas.openxmlformats.org/drawingml/2006/picture">
                      <pic:pic>
                        <pic:nvPicPr>
                          <pic:cNvPr id="0" name="eq18.png"/>
                          <pic:cNvPicPr/>
                        </pic:nvPicPr>
                        <pic:blipFill>
                          <a:blip r:embed="rId22">
                            <a:extLst>
                              <a:ext uri="{96DAC541-7F89-4952-8B84-B3F5B99F14F2}">
                                <asvg:svgBlip xmlns:asvg="http://schemas.microsoft.com/office/drawing/2016/SVG/main" r:embed="rId23"/>
                              </a:ext>
                            </a:extLst>
                          </a:blip>
                          <a:stretch>
                            <a:fillRect/>
                          </a:stretch>
                        </pic:blipFill>
                        <pic:spPr>
                          <a:xfrm>
                            <a:off x="0" y="0"/>
                            <a:ext cx="2680363" cy="234000"/>
                          </a:xfrm>
                          <a:prstGeom prst="rect"/>
                        </pic:spPr>
                      </pic:pic>
                    </a:graphicData>
                  </a:graphic>
                </wp:inline>
              </w:drawing>
            </w:r>
          </w:p>
        </w:tc>
        <w:tc>
          <w:tcPr>
            <w:tcW w:type="dxa" w:w="5386"/>
          </w:tcPr>
          <w:p>
            <w:pPr>
              <w:spacing w:before="120"/>
              <w:jc w:val="right"/>
            </w:pPr>
            <w:r>
              <w:rPr>
                <w:rFonts w:ascii="Calibri" w:hAnsi="Calibri"/>
                <w:sz w:val="22"/>
              </w:rPr>
              <w:t>(18)</w:t>
            </w:r>
          </w:p>
        </w:tc>
      </w:tr>
    </w:tbl>
    <w:p>
      <w:pPr>
        <w:spacing w:after="40"/>
      </w:pPr>
    </w:p>
    <w:p>
      <w:pPr>
        <w:spacing w:after="120"/>
        <w:jc w:val="both"/>
      </w:pPr>
      <w:r>
        <w:rPr>
          <w:rFonts w:ascii="Calibri" w:hAnsi="Calibri"/>
          <w:b w:val="0"/>
          <w:sz w:val="22"/>
        </w:rPr>
        <w:t>L'efficienza exergetica di secondo principio è definita dalla Eq. (17, destra): Ψ = Ex_useful/Ex_ref, con Ex_useful quota di exergia associata al prodotto conforme, definita in coerenza con TEI-J per evitare doppio conteggio.</w:t>
      </w:r>
    </w:p>
    <w:p>
      <w:pPr>
        <w:spacing w:before="160" w:after="60"/>
      </w:pPr>
      <w:r>
        <w:rPr>
          <w:rFonts w:ascii="Calibri" w:hAnsi="Calibri"/>
          <w:b/>
          <w:color w:val="024C41"/>
          <w:sz w:val="26"/>
        </w:rPr>
        <w:t>2.4 Modulo TEI-J — Technological–Exergy Integration</w:t>
      </w:r>
    </w:p>
    <w:p>
      <w:pPr>
        <w:spacing w:after="120"/>
        <w:jc w:val="both"/>
      </w:pPr>
      <w:r>
        <w:rPr>
          <w:rFonts w:ascii="Calibri" w:hAnsi="Calibri"/>
          <w:b w:val="0"/>
          <w:sz w:val="22"/>
        </w:rPr>
        <w:t xml:space="preserve">Il footprint tecnologico richiede la trasformazione più rilevante perché i suoi indicatori non sono nativamente termodinamici. TEI-J conserva la struttura input-output-outcome e la distinzione </w:t>
      </w:r>
      <w:r>
        <w:rPr>
          <w:rFonts w:ascii="Calibri" w:hAnsi="Calibri"/>
          <w:b/>
          <w:sz w:val="22"/>
        </w:rPr>
        <w:t>MTS (push)</w:t>
      </w:r>
      <w:r>
        <w:rPr>
          <w:rFonts w:ascii="Calibri" w:hAnsi="Calibri"/>
          <w:b w:val="0"/>
          <w:sz w:val="22"/>
        </w:rPr>
        <w:t xml:space="preserve"> / </w:t>
      </w:r>
      <w:r>
        <w:rPr>
          <w:rFonts w:ascii="Calibri" w:hAnsi="Calibri"/>
          <w:b/>
          <w:sz w:val="22"/>
        </w:rPr>
        <w:t>MTO (pull)</w:t>
      </w:r>
      <w:r>
        <w:rPr>
          <w:rFonts w:ascii="Calibri" w:hAnsi="Calibri"/>
          <w:b w:val="0"/>
          <w:sz w:val="22"/>
        </w:rPr>
        <w:t>, misurando il risparmio o l'aggravio di exergia rispetto alla baseline. Per i flussi di materia vale la regola generale Eq. (1) e, per le miscele, la Eq. (2).</w:t>
      </w:r>
    </w:p>
    <w:tbl>
      <w:tblPr>
        <w:tblW w:type="auto" w:w="0"/>
        <w:jc w:val="center"/>
        <w:tblLook w:firstColumn="1" w:firstRow="1" w:lastColumn="0" w:lastRow="0" w:noHBand="0" w:noVBand="1" w:val="04A0"/>
      </w:tblPr>
      <w:tblGrid>
        <w:gridCol w:w="8504"/>
        <w:gridCol w:w="907"/>
      </w:tblGrid>
      <w:tr>
        <w:tc>
          <w:tcPr>
            <w:tcW w:type="dxa" w:w="5386"/>
          </w:tcPr>
          <w:p>
            <w:pPr>
              <w:jc w:val="center"/>
            </w:pPr>
            <w:r>
              <w:drawing>
                <wp:inline xmlns:a="http://schemas.openxmlformats.org/drawingml/2006/main" xmlns:pic="http://schemas.openxmlformats.org/drawingml/2006/picture">
                  <wp:extent cx="845490" cy="234000"/>
                  <wp:docPr id="4" name="Picture 4"/>
                  <wp:cNvGraphicFramePr>
                    <a:graphicFrameLocks noChangeAspect="1"/>
                  </wp:cNvGraphicFramePr>
                  <a:graphic>
                    <a:graphicData uri="http://schemas.openxmlformats.org/drawingml/2006/picture">
                      <pic:pic>
                        <pic:nvPicPr>
                          <pic:cNvPr id="0" name="eq01.png"/>
                          <pic:cNvPicPr/>
                        </pic:nvPicPr>
                        <pic:blipFill>
                          <a:blip r:embed="rId24">
                            <a:extLst>
                              <a:ext uri="{96DAC541-7F89-4952-8B84-B3F5B99F14F2}">
                                <asvg:svgBlip xmlns:asvg="http://schemas.microsoft.com/office/drawing/2016/SVG/main" r:embed="rId25"/>
                              </a:ext>
                            </a:extLst>
                          </a:blip>
                          <a:stretch>
                            <a:fillRect/>
                          </a:stretch>
                        </pic:blipFill>
                        <pic:spPr>
                          <a:xfrm>
                            <a:off x="0" y="0"/>
                            <a:ext cx="845490" cy="234000"/>
                          </a:xfrm>
                          <a:prstGeom prst="rect"/>
                        </pic:spPr>
                      </pic:pic>
                    </a:graphicData>
                  </a:graphic>
                </wp:inline>
              </w:drawing>
            </w:r>
          </w:p>
        </w:tc>
        <w:tc>
          <w:tcPr>
            <w:tcW w:type="dxa" w:w="5386"/>
          </w:tcPr>
          <w:p>
            <w:pPr>
              <w:spacing w:before="120"/>
              <w:jc w:val="right"/>
            </w:pPr>
            <w:r>
              <w:rPr>
                <w:rFonts w:ascii="Calibri" w:hAnsi="Calibri"/>
                <w:sz w:val="22"/>
              </w:rPr>
              <w:t>(1)</w:t>
            </w:r>
          </w:p>
        </w:tc>
      </w:tr>
    </w:tbl>
    <w:p>
      <w:pPr>
        <w:spacing w:after="40"/>
      </w:pPr>
    </w:p>
    <w:tbl>
      <w:tblPr>
        <w:tblW w:type="auto" w:w="0"/>
        <w:jc w:val="center"/>
        <w:tblLook w:firstColumn="1" w:firstRow="1" w:lastColumn="0" w:lastRow="0" w:noHBand="0" w:noVBand="1" w:val="04A0"/>
      </w:tblPr>
      <w:tblGrid>
        <w:gridCol w:w="8504"/>
        <w:gridCol w:w="907"/>
      </w:tblGrid>
      <w:tr>
        <w:tc>
          <w:tcPr>
            <w:tcW w:type="dxa" w:w="5386"/>
          </w:tcPr>
          <w:p>
            <w:pPr>
              <w:jc w:val="center"/>
            </w:pPr>
            <w:r>
              <w:drawing>
                <wp:inline xmlns:a="http://schemas.openxmlformats.org/drawingml/2006/main" xmlns:pic="http://schemas.openxmlformats.org/drawingml/2006/picture">
                  <wp:extent cx="580756" cy="234000"/>
                  <wp:docPr id="5" name="Picture 5"/>
                  <wp:cNvGraphicFramePr>
                    <a:graphicFrameLocks noChangeAspect="1"/>
                  </wp:cNvGraphicFramePr>
                  <a:graphic>
                    <a:graphicData uri="http://schemas.openxmlformats.org/drawingml/2006/picture">
                      <pic:pic>
                        <pic:nvPicPr>
                          <pic:cNvPr id="0" name="eq02.png"/>
                          <pic:cNvPicPr/>
                        </pic:nvPicPr>
                        <pic:blipFill>
                          <a:blip r:embed="rId26">
                            <a:extLst>
                              <a:ext uri="{96DAC541-7F89-4952-8B84-B3F5B99F14F2}">
                                <asvg:svgBlip xmlns:asvg="http://schemas.microsoft.com/office/drawing/2016/SVG/main" r:embed="rId27"/>
                              </a:ext>
                            </a:extLst>
                          </a:blip>
                          <a:stretch>
                            <a:fillRect/>
                          </a:stretch>
                        </pic:blipFill>
                        <pic:spPr>
                          <a:xfrm>
                            <a:off x="0" y="0"/>
                            <a:ext cx="580756" cy="234000"/>
                          </a:xfrm>
                          <a:prstGeom prst="rect"/>
                        </pic:spPr>
                      </pic:pic>
                    </a:graphicData>
                  </a:graphic>
                </wp:inline>
              </w:drawing>
            </w:r>
          </w:p>
        </w:tc>
        <w:tc>
          <w:tcPr>
            <w:tcW w:type="dxa" w:w="5386"/>
          </w:tcPr>
          <w:p>
            <w:pPr>
              <w:spacing w:before="120"/>
              <w:jc w:val="right"/>
            </w:pPr>
            <w:r>
              <w:rPr>
                <w:rFonts w:ascii="Calibri" w:hAnsi="Calibri"/>
                <w:sz w:val="22"/>
              </w:rPr>
              <w:t>(2)</w:t>
            </w:r>
          </w:p>
        </w:tc>
      </w:tr>
    </w:tbl>
    <w:p>
      <w:pPr>
        <w:spacing w:after="40"/>
      </w:pPr>
    </w:p>
    <w:p>
      <w:pPr>
        <w:spacing w:after="120"/>
        <w:jc w:val="both"/>
      </w:pPr>
      <w:r>
        <w:rPr>
          <w:rFonts w:ascii="Calibri" w:hAnsi="Calibri"/>
          <w:b w:val="0"/>
          <w:sz w:val="22"/>
        </w:rPr>
        <w:t>Il perimetro MTS (materie prime → polvere atomizzata) genera la perdita exergetica di stadio Eq. (3), con produttività ed efficacia in Eq. (4) e penalità di qualità in Eq. (5).</w:t>
      </w:r>
    </w:p>
    <w:tbl>
      <w:tblPr>
        <w:tblW w:type="auto" w:w="0"/>
        <w:jc w:val="center"/>
        <w:tblLook w:firstColumn="1" w:firstRow="1" w:lastColumn="0" w:lastRow="0" w:noHBand="0" w:noVBand="1" w:val="04A0"/>
      </w:tblPr>
      <w:tblGrid>
        <w:gridCol w:w="8504"/>
        <w:gridCol w:w="907"/>
      </w:tblGrid>
      <w:tr>
        <w:tc>
          <w:tcPr>
            <w:tcW w:type="dxa" w:w="5386"/>
          </w:tcPr>
          <w:p>
            <w:pPr>
              <w:jc w:val="center"/>
            </w:pPr>
            <w:r>
              <w:drawing>
                <wp:inline xmlns:a="http://schemas.openxmlformats.org/drawingml/2006/main" xmlns:pic="http://schemas.openxmlformats.org/drawingml/2006/picture">
                  <wp:extent cx="2676142" cy="234000"/>
                  <wp:docPr id="6" name="Picture 6"/>
                  <wp:cNvGraphicFramePr>
                    <a:graphicFrameLocks noChangeAspect="1"/>
                  </wp:cNvGraphicFramePr>
                  <a:graphic>
                    <a:graphicData uri="http://schemas.openxmlformats.org/drawingml/2006/picture">
                      <pic:pic>
                        <pic:nvPicPr>
                          <pic:cNvPr id="0" name="eq03.png"/>
                          <pic:cNvPicPr/>
                        </pic:nvPicPr>
                        <pic:blipFill>
                          <a:blip r:embed="rId28">
                            <a:extLst>
                              <a:ext uri="{96DAC541-7F89-4952-8B84-B3F5B99F14F2}">
                                <asvg:svgBlip xmlns:asvg="http://schemas.microsoft.com/office/drawing/2016/SVG/main" r:embed="rId29"/>
                              </a:ext>
                            </a:extLst>
                          </a:blip>
                          <a:stretch>
                            <a:fillRect/>
                          </a:stretch>
                        </pic:blipFill>
                        <pic:spPr>
                          <a:xfrm>
                            <a:off x="0" y="0"/>
                            <a:ext cx="2676142" cy="234000"/>
                          </a:xfrm>
                          <a:prstGeom prst="rect"/>
                        </pic:spPr>
                      </pic:pic>
                    </a:graphicData>
                  </a:graphic>
                </wp:inline>
              </w:drawing>
            </w:r>
          </w:p>
        </w:tc>
        <w:tc>
          <w:tcPr>
            <w:tcW w:type="dxa" w:w="5386"/>
          </w:tcPr>
          <w:p>
            <w:pPr>
              <w:spacing w:before="120"/>
              <w:jc w:val="right"/>
            </w:pPr>
            <w:r>
              <w:rPr>
                <w:rFonts w:ascii="Calibri" w:hAnsi="Calibri"/>
                <w:sz w:val="22"/>
              </w:rPr>
              <w:t>(3)</w:t>
            </w:r>
          </w:p>
        </w:tc>
      </w:tr>
    </w:tbl>
    <w:p>
      <w:pPr>
        <w:spacing w:after="40"/>
      </w:pPr>
    </w:p>
    <w:tbl>
      <w:tblPr>
        <w:tblW w:type="auto" w:w="0"/>
        <w:jc w:val="center"/>
        <w:tblLook w:firstColumn="1" w:firstRow="1" w:lastColumn="0" w:lastRow="0" w:noHBand="0" w:noVBand="1" w:val="04A0"/>
      </w:tblPr>
      <w:tblGrid>
        <w:gridCol w:w="8504"/>
        <w:gridCol w:w="907"/>
      </w:tblGrid>
      <w:tr>
        <w:tc>
          <w:tcPr>
            <w:tcW w:type="dxa" w:w="5386"/>
          </w:tcPr>
          <w:p>
            <w:pPr>
              <w:jc w:val="center"/>
            </w:pPr>
            <w:r>
              <w:drawing>
                <wp:inline xmlns:a="http://schemas.openxmlformats.org/drawingml/2006/main" xmlns:pic="http://schemas.openxmlformats.org/drawingml/2006/picture">
                  <wp:extent cx="1408633" cy="234000"/>
                  <wp:docPr id="7" name="Picture 7"/>
                  <wp:cNvGraphicFramePr>
                    <a:graphicFrameLocks noChangeAspect="1"/>
                  </wp:cNvGraphicFramePr>
                  <a:graphic>
                    <a:graphicData uri="http://schemas.openxmlformats.org/drawingml/2006/picture">
                      <pic:pic>
                        <pic:nvPicPr>
                          <pic:cNvPr id="0" name="eq04.png"/>
                          <pic:cNvPicPr/>
                        </pic:nvPicPr>
                        <pic:blipFill>
                          <a:blip r:embed="rId30">
                            <a:extLst>
                              <a:ext uri="{96DAC541-7F89-4952-8B84-B3F5B99F14F2}">
                                <asvg:svgBlip xmlns:asvg="http://schemas.microsoft.com/office/drawing/2016/SVG/main" r:embed="rId31"/>
                              </a:ext>
                            </a:extLst>
                          </a:blip>
                          <a:stretch>
                            <a:fillRect/>
                          </a:stretch>
                        </pic:blipFill>
                        <pic:spPr>
                          <a:xfrm>
                            <a:off x="0" y="0"/>
                            <a:ext cx="1408633" cy="234000"/>
                          </a:xfrm>
                          <a:prstGeom prst="rect"/>
                        </pic:spPr>
                      </pic:pic>
                    </a:graphicData>
                  </a:graphic>
                </wp:inline>
              </w:drawing>
            </w:r>
          </w:p>
        </w:tc>
        <w:tc>
          <w:tcPr>
            <w:tcW w:type="dxa" w:w="5386"/>
          </w:tcPr>
          <w:p>
            <w:pPr>
              <w:spacing w:before="120"/>
              <w:jc w:val="right"/>
            </w:pPr>
            <w:r>
              <w:rPr>
                <w:rFonts w:ascii="Calibri" w:hAnsi="Calibri"/>
                <w:sz w:val="22"/>
              </w:rPr>
              <w:t>(4)</w:t>
            </w:r>
          </w:p>
        </w:tc>
      </w:tr>
    </w:tbl>
    <w:p>
      <w:pPr>
        <w:spacing w:after="40"/>
      </w:pPr>
    </w:p>
    <w:tbl>
      <w:tblPr>
        <w:tblW w:type="auto" w:w="0"/>
        <w:jc w:val="center"/>
        <w:tblLook w:firstColumn="1" w:firstRow="1" w:lastColumn="0" w:lastRow="0" w:noHBand="0" w:noVBand="1" w:val="04A0"/>
      </w:tblPr>
      <w:tblGrid>
        <w:gridCol w:w="8504"/>
        <w:gridCol w:w="907"/>
      </w:tblGrid>
      <w:tr>
        <w:tc>
          <w:tcPr>
            <w:tcW w:type="dxa" w:w="5386"/>
          </w:tcPr>
          <w:p>
            <w:pPr>
              <w:jc w:val="center"/>
            </w:pPr>
            <w:r>
              <w:drawing>
                <wp:inline xmlns:a="http://schemas.openxmlformats.org/drawingml/2006/main" xmlns:pic="http://schemas.openxmlformats.org/drawingml/2006/picture">
                  <wp:extent cx="1477507" cy="234000"/>
                  <wp:docPr id="8" name="Picture 8"/>
                  <wp:cNvGraphicFramePr>
                    <a:graphicFrameLocks noChangeAspect="1"/>
                  </wp:cNvGraphicFramePr>
                  <a:graphic>
                    <a:graphicData uri="http://schemas.openxmlformats.org/drawingml/2006/picture">
                      <pic:pic>
                        <pic:nvPicPr>
                          <pic:cNvPr id="0" name="eq05.png"/>
                          <pic:cNvPicPr/>
                        </pic:nvPicPr>
                        <pic:blipFill>
                          <a:blip r:embed="rId32">
                            <a:extLst>
                              <a:ext uri="{96DAC541-7F89-4952-8B84-B3F5B99F14F2}">
                                <asvg:svgBlip xmlns:asvg="http://schemas.microsoft.com/office/drawing/2016/SVG/main" r:embed="rId33"/>
                              </a:ext>
                            </a:extLst>
                          </a:blip>
                          <a:stretch>
                            <a:fillRect/>
                          </a:stretch>
                        </pic:blipFill>
                        <pic:spPr>
                          <a:xfrm>
                            <a:off x="0" y="0"/>
                            <a:ext cx="1477507" cy="234000"/>
                          </a:xfrm>
                          <a:prstGeom prst="rect"/>
                        </pic:spPr>
                      </pic:pic>
                    </a:graphicData>
                  </a:graphic>
                </wp:inline>
              </w:drawing>
            </w:r>
          </w:p>
        </w:tc>
        <w:tc>
          <w:tcPr>
            <w:tcW w:type="dxa" w:w="5386"/>
          </w:tcPr>
          <w:p>
            <w:pPr>
              <w:spacing w:before="120"/>
              <w:jc w:val="right"/>
            </w:pPr>
            <w:r>
              <w:rPr>
                <w:rFonts w:ascii="Calibri" w:hAnsi="Calibri"/>
                <w:sz w:val="22"/>
              </w:rPr>
              <w:t>(5)</w:t>
            </w:r>
          </w:p>
        </w:tc>
      </w:tr>
    </w:tbl>
    <w:p>
      <w:pPr>
        <w:spacing w:after="40"/>
      </w:pPr>
    </w:p>
    <w:p>
      <w:pPr>
        <w:spacing w:after="120"/>
        <w:jc w:val="both"/>
      </w:pPr>
      <w:r>
        <w:rPr>
          <w:rFonts w:ascii="Calibri" w:hAnsi="Calibri"/>
          <w:b w:val="0"/>
          <w:sz w:val="22"/>
        </w:rPr>
        <w:t>Il perimetro MTO (polvere → formatura/cottura/finitura → prodotto) genera la perdita Eq. (6), l'immobilizzo del prodotto non venduto Eq. (7) e, analogamente, la penalità di qualità. Il contributo tecnologico netto è dato dalla Eq. (8): un valore positivo indica miglioramento rispetto alla baseline, uno negativo un aggravio.</w:t>
      </w:r>
    </w:p>
    <w:tbl>
      <w:tblPr>
        <w:tblW w:type="auto" w:w="0"/>
        <w:jc w:val="center"/>
        <w:tblLook w:firstColumn="1" w:firstRow="1" w:lastColumn="0" w:lastRow="0" w:noHBand="0" w:noVBand="1" w:val="04A0"/>
      </w:tblPr>
      <w:tblGrid>
        <w:gridCol w:w="8504"/>
        <w:gridCol w:w="907"/>
      </w:tblGrid>
      <w:tr>
        <w:tc>
          <w:tcPr>
            <w:tcW w:type="dxa" w:w="5386"/>
          </w:tcPr>
          <w:p>
            <w:pPr>
              <w:jc w:val="center"/>
            </w:pPr>
            <w:r>
              <w:drawing>
                <wp:inline xmlns:a="http://schemas.openxmlformats.org/drawingml/2006/main" xmlns:pic="http://schemas.openxmlformats.org/drawingml/2006/picture">
                  <wp:extent cx="3341000" cy="234000"/>
                  <wp:docPr id="9" name="Picture 9"/>
                  <wp:cNvGraphicFramePr>
                    <a:graphicFrameLocks noChangeAspect="1"/>
                  </wp:cNvGraphicFramePr>
                  <a:graphic>
                    <a:graphicData uri="http://schemas.openxmlformats.org/drawingml/2006/picture">
                      <pic:pic>
                        <pic:nvPicPr>
                          <pic:cNvPr id="0" name="eq06.png"/>
                          <pic:cNvPicPr/>
                        </pic:nvPicPr>
                        <pic:blipFill>
                          <a:blip r:embed="rId34">
                            <a:extLst>
                              <a:ext uri="{96DAC541-7F89-4952-8B84-B3F5B99F14F2}">
                                <asvg:svgBlip xmlns:asvg="http://schemas.microsoft.com/office/drawing/2016/SVG/main" r:embed="rId35"/>
                              </a:ext>
                            </a:extLst>
                          </a:blip>
                          <a:stretch>
                            <a:fillRect/>
                          </a:stretch>
                        </pic:blipFill>
                        <pic:spPr>
                          <a:xfrm>
                            <a:off x="0" y="0"/>
                            <a:ext cx="3341000" cy="234000"/>
                          </a:xfrm>
                          <a:prstGeom prst="rect"/>
                        </pic:spPr>
                      </pic:pic>
                    </a:graphicData>
                  </a:graphic>
                </wp:inline>
              </w:drawing>
            </w:r>
          </w:p>
        </w:tc>
        <w:tc>
          <w:tcPr>
            <w:tcW w:type="dxa" w:w="5386"/>
          </w:tcPr>
          <w:p>
            <w:pPr>
              <w:spacing w:before="120"/>
              <w:jc w:val="right"/>
            </w:pPr>
            <w:r>
              <w:rPr>
                <w:rFonts w:ascii="Calibri" w:hAnsi="Calibri"/>
                <w:sz w:val="22"/>
              </w:rPr>
              <w:t>(6)</w:t>
            </w:r>
          </w:p>
        </w:tc>
      </w:tr>
    </w:tbl>
    <w:p>
      <w:pPr>
        <w:spacing w:after="40"/>
      </w:pPr>
    </w:p>
    <w:tbl>
      <w:tblPr>
        <w:tblW w:type="auto" w:w="0"/>
        <w:jc w:val="center"/>
        <w:tblLook w:firstColumn="1" w:firstRow="1" w:lastColumn="0" w:lastRow="0" w:noHBand="0" w:noVBand="1" w:val="04A0"/>
      </w:tblPr>
      <w:tblGrid>
        <w:gridCol w:w="8504"/>
        <w:gridCol w:w="907"/>
      </w:tblGrid>
      <w:tr>
        <w:tc>
          <w:tcPr>
            <w:tcW w:type="dxa" w:w="5386"/>
          </w:tcPr>
          <w:p>
            <w:pPr>
              <w:jc w:val="center"/>
            </w:pPr>
            <w:r>
              <w:drawing>
                <wp:inline xmlns:a="http://schemas.openxmlformats.org/drawingml/2006/main" xmlns:pic="http://schemas.openxmlformats.org/drawingml/2006/picture">
                  <wp:extent cx="835421" cy="234000"/>
                  <wp:docPr id="10" name="Picture 10"/>
                  <wp:cNvGraphicFramePr>
                    <a:graphicFrameLocks noChangeAspect="1"/>
                  </wp:cNvGraphicFramePr>
                  <a:graphic>
                    <a:graphicData uri="http://schemas.openxmlformats.org/drawingml/2006/picture">
                      <pic:pic>
                        <pic:nvPicPr>
                          <pic:cNvPr id="0" name="eq07.png"/>
                          <pic:cNvPicPr/>
                        </pic:nvPicPr>
                        <pic:blipFill>
                          <a:blip r:embed="rId36">
                            <a:extLst>
                              <a:ext uri="{96DAC541-7F89-4952-8B84-B3F5B99F14F2}">
                                <asvg:svgBlip xmlns:asvg="http://schemas.microsoft.com/office/drawing/2016/SVG/main" r:embed="rId37"/>
                              </a:ext>
                            </a:extLst>
                          </a:blip>
                          <a:stretch>
                            <a:fillRect/>
                          </a:stretch>
                        </pic:blipFill>
                        <pic:spPr>
                          <a:xfrm>
                            <a:off x="0" y="0"/>
                            <a:ext cx="835421" cy="234000"/>
                          </a:xfrm>
                          <a:prstGeom prst="rect"/>
                        </pic:spPr>
                      </pic:pic>
                    </a:graphicData>
                  </a:graphic>
                </wp:inline>
              </w:drawing>
            </w:r>
          </w:p>
        </w:tc>
        <w:tc>
          <w:tcPr>
            <w:tcW w:type="dxa" w:w="5386"/>
          </w:tcPr>
          <w:p>
            <w:pPr>
              <w:spacing w:before="120"/>
              <w:jc w:val="right"/>
            </w:pPr>
            <w:r>
              <w:rPr>
                <w:rFonts w:ascii="Calibri" w:hAnsi="Calibri"/>
                <w:sz w:val="22"/>
              </w:rPr>
              <w:t>(7)</w:t>
            </w:r>
          </w:p>
        </w:tc>
      </w:tr>
    </w:tbl>
    <w:p>
      <w:pPr>
        <w:spacing w:after="40"/>
      </w:pPr>
    </w:p>
    <w:tbl>
      <w:tblPr>
        <w:tblW w:type="auto" w:w="0"/>
        <w:jc w:val="center"/>
        <w:tblLook w:firstColumn="1" w:firstRow="1" w:lastColumn="0" w:lastRow="0" w:noHBand="0" w:noVBand="1" w:val="04A0"/>
      </w:tblPr>
      <w:tblGrid>
        <w:gridCol w:w="8504"/>
        <w:gridCol w:w="907"/>
      </w:tblGrid>
      <w:tr>
        <w:tc>
          <w:tcPr>
            <w:tcW w:type="dxa" w:w="5386"/>
          </w:tcPr>
          <w:p>
            <w:pPr>
              <w:jc w:val="center"/>
            </w:pPr>
            <w:r>
              <w:drawing>
                <wp:inline xmlns:a="http://schemas.openxmlformats.org/drawingml/2006/main" xmlns:pic="http://schemas.openxmlformats.org/drawingml/2006/picture">
                  <wp:extent cx="4314266" cy="234000"/>
                  <wp:docPr id="11" name="Picture 11"/>
                  <wp:cNvGraphicFramePr>
                    <a:graphicFrameLocks noChangeAspect="1"/>
                  </wp:cNvGraphicFramePr>
                  <a:graphic>
                    <a:graphicData uri="http://schemas.openxmlformats.org/drawingml/2006/picture">
                      <pic:pic>
                        <pic:nvPicPr>
                          <pic:cNvPr id="0" name="eq08.png"/>
                          <pic:cNvPicPr/>
                        </pic:nvPicPr>
                        <pic:blipFill>
                          <a:blip r:embed="rId38">
                            <a:extLst>
                              <a:ext uri="{96DAC541-7F89-4952-8B84-B3F5B99F14F2}">
                                <asvg:svgBlip xmlns:asvg="http://schemas.microsoft.com/office/drawing/2016/SVG/main" r:embed="rId39"/>
                              </a:ext>
                            </a:extLst>
                          </a:blip>
                          <a:stretch>
                            <a:fillRect/>
                          </a:stretch>
                        </pic:blipFill>
                        <pic:spPr>
                          <a:xfrm>
                            <a:off x="0" y="0"/>
                            <a:ext cx="4314266" cy="234000"/>
                          </a:xfrm>
                          <a:prstGeom prst="rect"/>
                        </pic:spPr>
                      </pic:pic>
                    </a:graphicData>
                  </a:graphic>
                </wp:inline>
              </w:drawing>
            </w:r>
          </w:p>
        </w:tc>
        <w:tc>
          <w:tcPr>
            <w:tcW w:type="dxa" w:w="5386"/>
          </w:tcPr>
          <w:p>
            <w:pPr>
              <w:spacing w:before="120"/>
              <w:jc w:val="right"/>
            </w:pPr>
            <w:r>
              <w:rPr>
                <w:rFonts w:ascii="Calibri" w:hAnsi="Calibri"/>
                <w:sz w:val="22"/>
              </w:rPr>
              <w:t>(8)</w:t>
            </w:r>
          </w:p>
        </w:tc>
      </w:tr>
    </w:tbl>
    <w:p>
      <w:pPr>
        <w:spacing w:after="40"/>
      </w:pPr>
    </w:p>
    <w:p>
      <w:pPr>
        <w:spacing w:before="160" w:after="60"/>
      </w:pPr>
      <w:r>
        <w:rPr>
          <w:rFonts w:ascii="Calibri" w:hAnsi="Calibri"/>
          <w:b/>
          <w:color w:val="024C41"/>
          <w:sz w:val="26"/>
        </w:rPr>
        <w:t>2.5 Modulo EFA-J — Environmental Footprint Assessment in Joule</w:t>
      </w:r>
    </w:p>
    <w:p>
      <w:pPr>
        <w:spacing w:after="120"/>
        <w:jc w:val="both"/>
      </w:pPr>
      <w:r>
        <w:rPr>
          <w:rFonts w:ascii="Calibri" w:hAnsi="Calibri"/>
          <w:b w:val="0"/>
          <w:sz w:val="22"/>
        </w:rPr>
        <w:t>EFA-J traduce in Joule i flussi e gli impatti ambientali definendo Resource Intake (RI), Waste Exergy (WEX), Impact Equivalent (IEQ) e Circularity Credit (CIRC) — Eq. (9) e (10) — e il contributo ambientale netto Eq. (11), con convenzione di segno che rende positivo il miglioramento (minore intake e impatti, maggiore recupero).</w:t>
      </w:r>
    </w:p>
    <w:tbl>
      <w:tblPr>
        <w:tblW w:type="auto" w:w="0"/>
        <w:jc w:val="center"/>
        <w:tblLook w:firstColumn="1" w:firstRow="1" w:lastColumn="0" w:lastRow="0" w:noHBand="0" w:noVBand="1" w:val="04A0"/>
      </w:tblPr>
      <w:tblGrid>
        <w:gridCol w:w="8504"/>
        <w:gridCol w:w="907"/>
      </w:tblGrid>
      <w:tr>
        <w:tc>
          <w:tcPr>
            <w:tcW w:type="dxa" w:w="5386"/>
          </w:tcPr>
          <w:p>
            <w:pPr>
              <w:jc w:val="center"/>
            </w:pPr>
            <w:r>
              <w:drawing>
                <wp:inline xmlns:a="http://schemas.openxmlformats.org/drawingml/2006/main" xmlns:pic="http://schemas.openxmlformats.org/drawingml/2006/picture">
                  <wp:extent cx="2461254" cy="234000"/>
                  <wp:docPr id="12" name="Picture 12"/>
                  <wp:cNvGraphicFramePr>
                    <a:graphicFrameLocks noChangeAspect="1"/>
                  </wp:cNvGraphicFramePr>
                  <a:graphic>
                    <a:graphicData uri="http://schemas.openxmlformats.org/drawingml/2006/picture">
                      <pic:pic>
                        <pic:nvPicPr>
                          <pic:cNvPr id="0" name="eq09.png"/>
                          <pic:cNvPicPr/>
                        </pic:nvPicPr>
                        <pic:blipFill>
                          <a:blip r:embed="rId40">
                            <a:extLst>
                              <a:ext uri="{96DAC541-7F89-4952-8B84-B3F5B99F14F2}">
                                <asvg:svgBlip xmlns:asvg="http://schemas.microsoft.com/office/drawing/2016/SVG/main" r:embed="rId41"/>
                              </a:ext>
                            </a:extLst>
                          </a:blip>
                          <a:stretch>
                            <a:fillRect/>
                          </a:stretch>
                        </pic:blipFill>
                        <pic:spPr>
                          <a:xfrm>
                            <a:off x="0" y="0"/>
                            <a:ext cx="2461254" cy="234000"/>
                          </a:xfrm>
                          <a:prstGeom prst="rect"/>
                        </pic:spPr>
                      </pic:pic>
                    </a:graphicData>
                  </a:graphic>
                </wp:inline>
              </w:drawing>
            </w:r>
          </w:p>
        </w:tc>
        <w:tc>
          <w:tcPr>
            <w:tcW w:type="dxa" w:w="5386"/>
          </w:tcPr>
          <w:p>
            <w:pPr>
              <w:spacing w:before="120"/>
              <w:jc w:val="right"/>
            </w:pPr>
            <w:r>
              <w:rPr>
                <w:rFonts w:ascii="Calibri" w:hAnsi="Calibri"/>
                <w:sz w:val="22"/>
              </w:rPr>
              <w:t>(9)</w:t>
            </w:r>
          </w:p>
        </w:tc>
      </w:tr>
    </w:tbl>
    <w:p>
      <w:pPr>
        <w:spacing w:after="40"/>
      </w:pPr>
    </w:p>
    <w:tbl>
      <w:tblPr>
        <w:tblW w:type="auto" w:w="0"/>
        <w:jc w:val="center"/>
        <w:tblLook w:firstColumn="1" w:firstRow="1" w:lastColumn="0" w:lastRow="0" w:noHBand="0" w:noVBand="1" w:val="04A0"/>
      </w:tblPr>
      <w:tblGrid>
        <w:gridCol w:w="8504"/>
        <w:gridCol w:w="907"/>
      </w:tblGrid>
      <w:tr>
        <w:tc>
          <w:tcPr>
            <w:tcW w:type="dxa" w:w="5386"/>
          </w:tcPr>
          <w:p>
            <w:pPr>
              <w:jc w:val="center"/>
            </w:pPr>
            <w:r>
              <w:drawing>
                <wp:inline xmlns:a="http://schemas.openxmlformats.org/drawingml/2006/main" xmlns:pic="http://schemas.openxmlformats.org/drawingml/2006/picture">
                  <wp:extent cx="2764352" cy="234000"/>
                  <wp:docPr id="13" name="Picture 13"/>
                  <wp:cNvGraphicFramePr>
                    <a:graphicFrameLocks noChangeAspect="1"/>
                  </wp:cNvGraphicFramePr>
                  <a:graphic>
                    <a:graphicData uri="http://schemas.openxmlformats.org/drawingml/2006/picture">
                      <pic:pic>
                        <pic:nvPicPr>
                          <pic:cNvPr id="0" name="eq10.png"/>
                          <pic:cNvPicPr/>
                        </pic:nvPicPr>
                        <pic:blipFill>
                          <a:blip r:embed="rId42">
                            <a:extLst>
                              <a:ext uri="{96DAC541-7F89-4952-8B84-B3F5B99F14F2}">
                                <asvg:svgBlip xmlns:asvg="http://schemas.microsoft.com/office/drawing/2016/SVG/main" r:embed="rId43"/>
                              </a:ext>
                            </a:extLst>
                          </a:blip>
                          <a:stretch>
                            <a:fillRect/>
                          </a:stretch>
                        </pic:blipFill>
                        <pic:spPr>
                          <a:xfrm>
                            <a:off x="0" y="0"/>
                            <a:ext cx="2764352" cy="234000"/>
                          </a:xfrm>
                          <a:prstGeom prst="rect"/>
                        </pic:spPr>
                      </pic:pic>
                    </a:graphicData>
                  </a:graphic>
                </wp:inline>
              </w:drawing>
            </w:r>
          </w:p>
        </w:tc>
        <w:tc>
          <w:tcPr>
            <w:tcW w:type="dxa" w:w="5386"/>
          </w:tcPr>
          <w:p>
            <w:pPr>
              <w:spacing w:before="120"/>
              <w:jc w:val="right"/>
            </w:pPr>
            <w:r>
              <w:rPr>
                <w:rFonts w:ascii="Calibri" w:hAnsi="Calibri"/>
                <w:sz w:val="22"/>
              </w:rPr>
              <w:t>(10)</w:t>
            </w:r>
          </w:p>
        </w:tc>
      </w:tr>
    </w:tbl>
    <w:p>
      <w:pPr>
        <w:spacing w:after="40"/>
      </w:pPr>
    </w:p>
    <w:tbl>
      <w:tblPr>
        <w:tblW w:type="auto" w:w="0"/>
        <w:jc w:val="center"/>
        <w:tblLook w:firstColumn="1" w:firstRow="1" w:lastColumn="0" w:lastRow="0" w:noHBand="0" w:noVBand="1" w:val="04A0"/>
      </w:tblPr>
      <w:tblGrid>
        <w:gridCol w:w="8504"/>
        <w:gridCol w:w="907"/>
      </w:tblGrid>
      <w:tr>
        <w:tc>
          <w:tcPr>
            <w:tcW w:type="dxa" w:w="5386"/>
          </w:tcPr>
          <w:p>
            <w:pPr>
              <w:jc w:val="center"/>
            </w:pPr>
            <w:r>
              <w:drawing>
                <wp:inline xmlns:a="http://schemas.openxmlformats.org/drawingml/2006/main" xmlns:pic="http://schemas.openxmlformats.org/drawingml/2006/picture">
                  <wp:extent cx="5580000" cy="231340"/>
                  <wp:docPr id="14" name="Picture 14"/>
                  <wp:cNvGraphicFramePr>
                    <a:graphicFrameLocks noChangeAspect="1"/>
                  </wp:cNvGraphicFramePr>
                  <a:graphic>
                    <a:graphicData uri="http://schemas.openxmlformats.org/drawingml/2006/picture">
                      <pic:pic>
                        <pic:nvPicPr>
                          <pic:cNvPr id="0" name="eq11.png"/>
                          <pic:cNvPicPr/>
                        </pic:nvPicPr>
                        <pic:blipFill>
                          <a:blip r:embed="rId44">
                            <a:extLst>
                              <a:ext uri="{96DAC541-7F89-4952-8B84-B3F5B99F14F2}">
                                <asvg:svgBlip xmlns:asvg="http://schemas.microsoft.com/office/drawing/2016/SVG/main" r:embed="rId45"/>
                              </a:ext>
                            </a:extLst>
                          </a:blip>
                          <a:stretch>
                            <a:fillRect/>
                          </a:stretch>
                        </pic:blipFill>
                        <pic:spPr>
                          <a:xfrm>
                            <a:off x="0" y="0"/>
                            <a:ext cx="5580000" cy="231340"/>
                          </a:xfrm>
                          <a:prstGeom prst="rect"/>
                        </pic:spPr>
                      </pic:pic>
                    </a:graphicData>
                  </a:graphic>
                </wp:inline>
              </w:drawing>
            </w:r>
          </w:p>
        </w:tc>
        <w:tc>
          <w:tcPr>
            <w:tcW w:type="dxa" w:w="5386"/>
          </w:tcPr>
          <w:p>
            <w:pPr>
              <w:spacing w:before="120"/>
              <w:jc w:val="right"/>
            </w:pPr>
            <w:r>
              <w:rPr>
                <w:rFonts w:ascii="Calibri" w:hAnsi="Calibri"/>
                <w:sz w:val="22"/>
              </w:rPr>
              <w:t>(11)</w:t>
            </w:r>
          </w:p>
        </w:tc>
      </w:tr>
    </w:tbl>
    <w:p>
      <w:pPr>
        <w:spacing w:after="40"/>
      </w:pPr>
    </w:p>
    <w:p>
      <w:pPr>
        <w:spacing w:before="160" w:after="60"/>
      </w:pPr>
      <w:r>
        <w:rPr>
          <w:rFonts w:ascii="Calibri" w:hAnsi="Calibri"/>
          <w:b/>
          <w:color w:val="024C41"/>
          <w:sz w:val="26"/>
        </w:rPr>
        <w:t>2.6 Modulo EcoFA-J — Economic Footprint Assessment in Joule</w:t>
      </w:r>
    </w:p>
    <w:p>
      <w:pPr>
        <w:spacing w:after="120"/>
        <w:jc w:val="both"/>
      </w:pPr>
      <w:r>
        <w:rPr>
          <w:rFonts w:ascii="Calibri" w:hAnsi="Calibri"/>
          <w:b w:val="0"/>
          <w:sz w:val="22"/>
        </w:rPr>
        <w:t>EcoFA-J converte in Joule le componenti economiche non già rappresentate fisicamente (input economici, valore aggiunto, immobilizzi) — Eq. (12) — con importi a prezzi costanti; il contributo economico netto è dato dalla Eq. (13). Sono escluse le voci fiscali/finanziarie e quelle già contabilizzate altrove.</w:t>
      </w:r>
    </w:p>
    <w:tbl>
      <w:tblPr>
        <w:tblW w:type="auto" w:w="0"/>
        <w:jc w:val="center"/>
        <w:tblLook w:firstColumn="1" w:firstRow="1" w:lastColumn="0" w:lastRow="0" w:noHBand="0" w:noVBand="1" w:val="04A0"/>
      </w:tblPr>
      <w:tblGrid>
        <w:gridCol w:w="8504"/>
        <w:gridCol w:w="907"/>
      </w:tblGrid>
      <w:tr>
        <w:tc>
          <w:tcPr>
            <w:tcW w:type="dxa" w:w="5386"/>
          </w:tcPr>
          <w:p>
            <w:pPr>
              <w:jc w:val="center"/>
            </w:pPr>
            <w:r>
              <w:drawing>
                <wp:inline xmlns:a="http://schemas.openxmlformats.org/drawingml/2006/main" xmlns:pic="http://schemas.openxmlformats.org/drawingml/2006/picture">
                  <wp:extent cx="2605290" cy="234000"/>
                  <wp:docPr id="15" name="Picture 15"/>
                  <wp:cNvGraphicFramePr>
                    <a:graphicFrameLocks noChangeAspect="1"/>
                  </wp:cNvGraphicFramePr>
                  <a:graphic>
                    <a:graphicData uri="http://schemas.openxmlformats.org/drawingml/2006/picture">
                      <pic:pic>
                        <pic:nvPicPr>
                          <pic:cNvPr id="0" name="eq12.png"/>
                          <pic:cNvPicPr/>
                        </pic:nvPicPr>
                        <pic:blipFill>
                          <a:blip r:embed="rId46">
                            <a:extLst>
                              <a:ext uri="{96DAC541-7F89-4952-8B84-B3F5B99F14F2}">
                                <asvg:svgBlip xmlns:asvg="http://schemas.microsoft.com/office/drawing/2016/SVG/main" r:embed="rId47"/>
                              </a:ext>
                            </a:extLst>
                          </a:blip>
                          <a:stretch>
                            <a:fillRect/>
                          </a:stretch>
                        </pic:blipFill>
                        <pic:spPr>
                          <a:xfrm>
                            <a:off x="0" y="0"/>
                            <a:ext cx="2605290" cy="234000"/>
                          </a:xfrm>
                          <a:prstGeom prst="rect"/>
                        </pic:spPr>
                      </pic:pic>
                    </a:graphicData>
                  </a:graphic>
                </wp:inline>
              </w:drawing>
            </w:r>
          </w:p>
        </w:tc>
        <w:tc>
          <w:tcPr>
            <w:tcW w:type="dxa" w:w="5386"/>
          </w:tcPr>
          <w:p>
            <w:pPr>
              <w:spacing w:before="120"/>
              <w:jc w:val="right"/>
            </w:pPr>
            <w:r>
              <w:rPr>
                <w:rFonts w:ascii="Calibri" w:hAnsi="Calibri"/>
                <w:sz w:val="22"/>
              </w:rPr>
              <w:t>(12)</w:t>
            </w:r>
          </w:p>
        </w:tc>
      </w:tr>
    </w:tbl>
    <w:p>
      <w:pPr>
        <w:spacing w:after="40"/>
      </w:pPr>
    </w:p>
    <w:tbl>
      <w:tblPr>
        <w:tblW w:type="auto" w:w="0"/>
        <w:jc w:val="center"/>
        <w:tblLook w:firstColumn="1" w:firstRow="1" w:lastColumn="0" w:lastRow="0" w:noHBand="0" w:noVBand="1" w:val="04A0"/>
      </w:tblPr>
      <w:tblGrid>
        <w:gridCol w:w="8504"/>
        <w:gridCol w:w="907"/>
      </w:tblGrid>
      <w:tr>
        <w:tc>
          <w:tcPr>
            <w:tcW w:type="dxa" w:w="5386"/>
          </w:tcPr>
          <w:p>
            <w:pPr>
              <w:jc w:val="center"/>
            </w:pPr>
            <w:r>
              <w:drawing>
                <wp:inline xmlns:a="http://schemas.openxmlformats.org/drawingml/2006/main" xmlns:pic="http://schemas.openxmlformats.org/drawingml/2006/picture">
                  <wp:extent cx="5103729" cy="234000"/>
                  <wp:docPr id="16" name="Picture 16"/>
                  <wp:cNvGraphicFramePr>
                    <a:graphicFrameLocks noChangeAspect="1"/>
                  </wp:cNvGraphicFramePr>
                  <a:graphic>
                    <a:graphicData uri="http://schemas.openxmlformats.org/drawingml/2006/picture">
                      <pic:pic>
                        <pic:nvPicPr>
                          <pic:cNvPr id="0" name="eq13.png"/>
                          <pic:cNvPicPr/>
                        </pic:nvPicPr>
                        <pic:blipFill>
                          <a:blip r:embed="rId48">
                            <a:extLst>
                              <a:ext uri="{96DAC541-7F89-4952-8B84-B3F5B99F14F2}">
                                <asvg:svgBlip xmlns:asvg="http://schemas.microsoft.com/office/drawing/2016/SVG/main" r:embed="rId49"/>
                              </a:ext>
                            </a:extLst>
                          </a:blip>
                          <a:stretch>
                            <a:fillRect/>
                          </a:stretch>
                        </pic:blipFill>
                        <pic:spPr>
                          <a:xfrm>
                            <a:off x="0" y="0"/>
                            <a:ext cx="5103729" cy="234000"/>
                          </a:xfrm>
                          <a:prstGeom prst="rect"/>
                        </pic:spPr>
                      </pic:pic>
                    </a:graphicData>
                  </a:graphic>
                </wp:inline>
              </w:drawing>
            </w:r>
          </w:p>
        </w:tc>
        <w:tc>
          <w:tcPr>
            <w:tcW w:type="dxa" w:w="5386"/>
          </w:tcPr>
          <w:p>
            <w:pPr>
              <w:spacing w:before="120"/>
              <w:jc w:val="right"/>
            </w:pPr>
            <w:r>
              <w:rPr>
                <w:rFonts w:ascii="Calibri" w:hAnsi="Calibri"/>
                <w:sz w:val="22"/>
              </w:rPr>
              <w:t>(13)</w:t>
            </w:r>
          </w:p>
        </w:tc>
      </w:tr>
    </w:tbl>
    <w:p>
      <w:pPr>
        <w:spacing w:after="40"/>
      </w:pPr>
    </w:p>
    <w:p>
      <w:pPr>
        <w:spacing w:before="160" w:after="60"/>
      </w:pPr>
      <w:r>
        <w:rPr>
          <w:rFonts w:ascii="Calibri" w:hAnsi="Calibri"/>
          <w:b/>
          <w:color w:val="024C41"/>
          <w:sz w:val="26"/>
        </w:rPr>
        <w:t>2.7 Modulo SFA-J — Social Footprint Assessment in Joule</w:t>
      </w:r>
    </w:p>
    <w:p>
      <w:pPr>
        <w:spacing w:after="120"/>
        <w:jc w:val="both"/>
      </w:pPr>
      <w:r>
        <w:rPr>
          <w:rFonts w:ascii="Calibri" w:hAnsi="Calibri"/>
          <w:b w:val="0"/>
          <w:sz w:val="22"/>
        </w:rPr>
        <w:t>SFA-J traduce in scala energetica/equivalente le variabili sociali dotate di regola di conversione giustificata (valore per stakeholder, formazione, capacità lavorativa persa, emissioni) — Eq. (14) — e il contributo sociale netto Eq. (15). Gli indicatori DALY restano diagnostici finché non sia approvato un mapping DALY→J fondato.</w:t>
      </w:r>
    </w:p>
    <w:tbl>
      <w:tblPr>
        <w:tblW w:type="auto" w:w="0"/>
        <w:jc w:val="center"/>
        <w:tblLook w:firstColumn="1" w:firstRow="1" w:lastColumn="0" w:lastRow="0" w:noHBand="0" w:noVBand="1" w:val="04A0"/>
      </w:tblPr>
      <w:tblGrid>
        <w:gridCol w:w="8504"/>
        <w:gridCol w:w="907"/>
      </w:tblGrid>
      <w:tr>
        <w:tc>
          <w:tcPr>
            <w:tcW w:type="dxa" w:w="5386"/>
          </w:tcPr>
          <w:p>
            <w:pPr>
              <w:jc w:val="center"/>
            </w:pPr>
            <w:r>
              <w:drawing>
                <wp:inline xmlns:a="http://schemas.openxmlformats.org/drawingml/2006/main" xmlns:pic="http://schemas.openxmlformats.org/drawingml/2006/picture">
                  <wp:extent cx="3439167" cy="234000"/>
                  <wp:docPr id="17" name="Picture 17"/>
                  <wp:cNvGraphicFramePr>
                    <a:graphicFrameLocks noChangeAspect="1"/>
                  </wp:cNvGraphicFramePr>
                  <a:graphic>
                    <a:graphicData uri="http://schemas.openxmlformats.org/drawingml/2006/picture">
                      <pic:pic>
                        <pic:nvPicPr>
                          <pic:cNvPr id="0" name="eq14.png"/>
                          <pic:cNvPicPr/>
                        </pic:nvPicPr>
                        <pic:blipFill>
                          <a:blip r:embed="rId50">
                            <a:extLst>
                              <a:ext uri="{96DAC541-7F89-4952-8B84-B3F5B99F14F2}">
                                <asvg:svgBlip xmlns:asvg="http://schemas.microsoft.com/office/drawing/2016/SVG/main" r:embed="rId51"/>
                              </a:ext>
                            </a:extLst>
                          </a:blip>
                          <a:stretch>
                            <a:fillRect/>
                          </a:stretch>
                        </pic:blipFill>
                        <pic:spPr>
                          <a:xfrm>
                            <a:off x="0" y="0"/>
                            <a:ext cx="3439167" cy="234000"/>
                          </a:xfrm>
                          <a:prstGeom prst="rect"/>
                        </pic:spPr>
                      </pic:pic>
                    </a:graphicData>
                  </a:graphic>
                </wp:inline>
              </w:drawing>
            </w:r>
          </w:p>
        </w:tc>
        <w:tc>
          <w:tcPr>
            <w:tcW w:type="dxa" w:w="5386"/>
          </w:tcPr>
          <w:p>
            <w:pPr>
              <w:spacing w:before="120"/>
              <w:jc w:val="right"/>
            </w:pPr>
            <w:r>
              <w:rPr>
                <w:rFonts w:ascii="Calibri" w:hAnsi="Calibri"/>
                <w:sz w:val="22"/>
              </w:rPr>
              <w:t>(14)</w:t>
            </w:r>
          </w:p>
        </w:tc>
      </w:tr>
    </w:tbl>
    <w:p>
      <w:pPr>
        <w:spacing w:after="40"/>
      </w:pPr>
    </w:p>
    <w:tbl>
      <w:tblPr>
        <w:tblW w:type="auto" w:w="0"/>
        <w:jc w:val="center"/>
        <w:tblLook w:firstColumn="1" w:firstRow="1" w:lastColumn="0" w:lastRow="0" w:noHBand="0" w:noVBand="1" w:val="04A0"/>
      </w:tblPr>
      <w:tblGrid>
        <w:gridCol w:w="8504"/>
        <w:gridCol w:w="907"/>
      </w:tblGrid>
      <w:tr>
        <w:tc>
          <w:tcPr>
            <w:tcW w:type="dxa" w:w="5386"/>
          </w:tcPr>
          <w:p>
            <w:pPr>
              <w:jc w:val="center"/>
            </w:pPr>
            <w:r>
              <w:drawing>
                <wp:inline xmlns:a="http://schemas.openxmlformats.org/drawingml/2006/main" xmlns:pic="http://schemas.openxmlformats.org/drawingml/2006/picture">
                  <wp:extent cx="5580000" cy="208897"/>
                  <wp:docPr id="18" name="Picture 18"/>
                  <wp:cNvGraphicFramePr>
                    <a:graphicFrameLocks noChangeAspect="1"/>
                  </wp:cNvGraphicFramePr>
                  <a:graphic>
                    <a:graphicData uri="http://schemas.openxmlformats.org/drawingml/2006/picture">
                      <pic:pic>
                        <pic:nvPicPr>
                          <pic:cNvPr id="0" name="eq15.png"/>
                          <pic:cNvPicPr/>
                        </pic:nvPicPr>
                        <pic:blipFill>
                          <a:blip r:embed="rId52">
                            <a:extLst>
                              <a:ext uri="{96DAC541-7F89-4952-8B84-B3F5B99F14F2}">
                                <asvg:svgBlip xmlns:asvg="http://schemas.microsoft.com/office/drawing/2016/SVG/main" r:embed="rId53"/>
                              </a:ext>
                            </a:extLst>
                          </a:blip>
                          <a:stretch>
                            <a:fillRect/>
                          </a:stretch>
                        </pic:blipFill>
                        <pic:spPr>
                          <a:xfrm>
                            <a:off x="0" y="0"/>
                            <a:ext cx="5580000" cy="208897"/>
                          </a:xfrm>
                          <a:prstGeom prst="rect"/>
                        </pic:spPr>
                      </pic:pic>
                    </a:graphicData>
                  </a:graphic>
                </wp:inline>
              </w:drawing>
            </w:r>
          </w:p>
        </w:tc>
        <w:tc>
          <w:tcPr>
            <w:tcW w:type="dxa" w:w="5386"/>
          </w:tcPr>
          <w:p>
            <w:pPr>
              <w:spacing w:before="120"/>
              <w:jc w:val="right"/>
            </w:pPr>
            <w:r>
              <w:rPr>
                <w:rFonts w:ascii="Calibri" w:hAnsi="Calibri"/>
                <w:sz w:val="22"/>
              </w:rPr>
              <w:t>(15)</w:t>
            </w:r>
          </w:p>
        </w:tc>
      </w:tr>
    </w:tbl>
    <w:p>
      <w:pPr>
        <w:spacing w:after="40"/>
      </w:pPr>
    </w:p>
    <w:p>
      <w:pPr>
        <w:spacing w:before="160" w:after="60"/>
      </w:pPr>
      <w:r>
        <w:rPr>
          <w:rFonts w:ascii="Calibri" w:hAnsi="Calibri"/>
          <w:b/>
          <w:color w:val="024C41"/>
          <w:sz w:val="26"/>
        </w:rPr>
        <w:t>2.8 Integration layer, AHP ed exergia</w:t>
      </w:r>
    </w:p>
    <w:p>
      <w:pPr>
        <w:spacing w:after="120"/>
        <w:jc w:val="both"/>
      </w:pPr>
      <w:r>
        <w:rPr>
          <w:rFonts w:ascii="Calibri" w:hAnsi="Calibri"/>
          <w:b w:val="0"/>
          <w:sz w:val="22"/>
        </w:rPr>
        <w:t>I quattro contributi, omogenei in GJ, non hanno necessariamente identica importanza decisionale. Si distinguono quindi: Sustainability Accounting grezza e ponderata — Eq. (16); score multidimensionale Φ ed efficienza exergetica Ψ — Eq. (17); indice composito TSI_abs — Eq. (19) — e lettura relativa TSI_rel — Eq. (20).</w:t>
      </w:r>
    </w:p>
    <w:tbl>
      <w:tblPr>
        <w:tblW w:type="auto" w:w="0"/>
        <w:jc w:val="center"/>
        <w:tblLook w:firstColumn="1" w:firstRow="1" w:lastColumn="0" w:lastRow="0" w:noHBand="0" w:noVBand="1" w:val="04A0"/>
      </w:tblPr>
      <w:tblGrid>
        <w:gridCol w:w="8504"/>
        <w:gridCol w:w="907"/>
      </w:tblGrid>
      <w:tr>
        <w:tc>
          <w:tcPr>
            <w:tcW w:type="dxa" w:w="5386"/>
          </w:tcPr>
          <w:p>
            <w:pPr>
              <w:jc w:val="center"/>
            </w:pPr>
            <w:r>
              <w:drawing>
                <wp:inline xmlns:a="http://schemas.openxmlformats.org/drawingml/2006/main" xmlns:pic="http://schemas.openxmlformats.org/drawingml/2006/picture">
                  <wp:extent cx="1341344" cy="234000"/>
                  <wp:docPr id="19" name="Picture 19"/>
                  <wp:cNvGraphicFramePr>
                    <a:graphicFrameLocks noChangeAspect="1"/>
                  </wp:cNvGraphicFramePr>
                  <a:graphic>
                    <a:graphicData uri="http://schemas.openxmlformats.org/drawingml/2006/picture">
                      <pic:pic>
                        <pic:nvPicPr>
                          <pic:cNvPr id="0" name="eq16.png"/>
                          <pic:cNvPicPr/>
                        </pic:nvPicPr>
                        <pic:blipFill>
                          <a:blip r:embed="rId54">
                            <a:extLst>
                              <a:ext uri="{96DAC541-7F89-4952-8B84-B3F5B99F14F2}">
                                <asvg:svgBlip xmlns:asvg="http://schemas.microsoft.com/office/drawing/2016/SVG/main" r:embed="rId55"/>
                              </a:ext>
                            </a:extLst>
                          </a:blip>
                          <a:stretch>
                            <a:fillRect/>
                          </a:stretch>
                        </pic:blipFill>
                        <pic:spPr>
                          <a:xfrm>
                            <a:off x="0" y="0"/>
                            <a:ext cx="1341344" cy="234000"/>
                          </a:xfrm>
                          <a:prstGeom prst="rect"/>
                        </pic:spPr>
                      </pic:pic>
                    </a:graphicData>
                  </a:graphic>
                </wp:inline>
              </w:drawing>
            </w:r>
          </w:p>
        </w:tc>
        <w:tc>
          <w:tcPr>
            <w:tcW w:type="dxa" w:w="5386"/>
          </w:tcPr>
          <w:p>
            <w:pPr>
              <w:spacing w:before="120"/>
              <w:jc w:val="right"/>
            </w:pPr>
            <w:r>
              <w:rPr>
                <w:rFonts w:ascii="Calibri" w:hAnsi="Calibri"/>
                <w:sz w:val="22"/>
              </w:rPr>
              <w:t>(16)</w:t>
            </w:r>
          </w:p>
        </w:tc>
      </w:tr>
    </w:tbl>
    <w:p>
      <w:pPr>
        <w:spacing w:after="40"/>
      </w:pPr>
    </w:p>
    <w:tbl>
      <w:tblPr>
        <w:tblW w:type="auto" w:w="0"/>
        <w:jc w:val="center"/>
        <w:tblLook w:firstColumn="1" w:firstRow="1" w:lastColumn="0" w:lastRow="0" w:noHBand="0" w:noVBand="1" w:val="04A0"/>
      </w:tblPr>
      <w:tblGrid>
        <w:gridCol w:w="8504"/>
        <w:gridCol w:w="907"/>
      </w:tblGrid>
      <w:tr>
        <w:tc>
          <w:tcPr>
            <w:tcW w:type="dxa" w:w="5386"/>
          </w:tcPr>
          <w:p>
            <w:pPr>
              <w:jc w:val="center"/>
            </w:pPr>
            <w:r>
              <w:drawing>
                <wp:inline xmlns:a="http://schemas.openxmlformats.org/drawingml/2006/main" xmlns:pic="http://schemas.openxmlformats.org/drawingml/2006/picture">
                  <wp:extent cx="978545" cy="234000"/>
                  <wp:docPr id="20" name="Picture 20"/>
                  <wp:cNvGraphicFramePr>
                    <a:graphicFrameLocks noChangeAspect="1"/>
                  </wp:cNvGraphicFramePr>
                  <a:graphic>
                    <a:graphicData uri="http://schemas.openxmlformats.org/drawingml/2006/picture">
                      <pic:pic>
                        <pic:nvPicPr>
                          <pic:cNvPr id="0" name="eq17.png"/>
                          <pic:cNvPicPr/>
                        </pic:nvPicPr>
                        <pic:blipFill>
                          <a:blip r:embed="rId56">
                            <a:extLst>
                              <a:ext uri="{96DAC541-7F89-4952-8B84-B3F5B99F14F2}">
                                <asvg:svgBlip xmlns:asvg="http://schemas.microsoft.com/office/drawing/2016/SVG/main" r:embed="rId57"/>
                              </a:ext>
                            </a:extLst>
                          </a:blip>
                          <a:stretch>
                            <a:fillRect/>
                          </a:stretch>
                        </pic:blipFill>
                        <pic:spPr>
                          <a:xfrm>
                            <a:off x="0" y="0"/>
                            <a:ext cx="978545" cy="234000"/>
                          </a:xfrm>
                          <a:prstGeom prst="rect"/>
                        </pic:spPr>
                      </pic:pic>
                    </a:graphicData>
                  </a:graphic>
                </wp:inline>
              </w:drawing>
            </w:r>
          </w:p>
        </w:tc>
        <w:tc>
          <w:tcPr>
            <w:tcW w:type="dxa" w:w="5386"/>
          </w:tcPr>
          <w:p>
            <w:pPr>
              <w:spacing w:before="120"/>
              <w:jc w:val="right"/>
            </w:pPr>
            <w:r>
              <w:rPr>
                <w:rFonts w:ascii="Calibri" w:hAnsi="Calibri"/>
                <w:sz w:val="22"/>
              </w:rPr>
              <w:t>(17)</w:t>
            </w:r>
          </w:p>
        </w:tc>
      </w:tr>
    </w:tbl>
    <w:p>
      <w:pPr>
        <w:spacing w:after="40"/>
      </w:pPr>
    </w:p>
    <w:tbl>
      <w:tblPr>
        <w:tblW w:type="auto" w:w="0"/>
        <w:jc w:val="center"/>
        <w:tblLook w:firstColumn="1" w:firstRow="1" w:lastColumn="0" w:lastRow="0" w:noHBand="0" w:noVBand="1" w:val="04A0"/>
      </w:tblPr>
      <w:tblGrid>
        <w:gridCol w:w="8504"/>
        <w:gridCol w:w="907"/>
      </w:tblGrid>
      <w:tr>
        <w:tc>
          <w:tcPr>
            <w:tcW w:type="dxa" w:w="5386"/>
          </w:tcPr>
          <w:p>
            <w:pPr>
              <w:jc w:val="center"/>
            </w:pPr>
            <w:r>
              <w:drawing>
                <wp:inline xmlns:a="http://schemas.openxmlformats.org/drawingml/2006/main" xmlns:pic="http://schemas.openxmlformats.org/drawingml/2006/picture">
                  <wp:extent cx="2366490" cy="234000"/>
                  <wp:docPr id="21" name="Picture 21"/>
                  <wp:cNvGraphicFramePr>
                    <a:graphicFrameLocks noChangeAspect="1"/>
                  </wp:cNvGraphicFramePr>
                  <a:graphic>
                    <a:graphicData uri="http://schemas.openxmlformats.org/drawingml/2006/picture">
                      <pic:pic>
                        <pic:nvPicPr>
                          <pic:cNvPr id="0" name="eq19.png"/>
                          <pic:cNvPicPr/>
                        </pic:nvPicPr>
                        <pic:blipFill>
                          <a:blip r:embed="rId58">
                            <a:extLst>
                              <a:ext uri="{96DAC541-7F89-4952-8B84-B3F5B99F14F2}">
                                <asvg:svgBlip xmlns:asvg="http://schemas.microsoft.com/office/drawing/2016/SVG/main" r:embed="rId59"/>
                              </a:ext>
                            </a:extLst>
                          </a:blip>
                          <a:stretch>
                            <a:fillRect/>
                          </a:stretch>
                        </pic:blipFill>
                        <pic:spPr>
                          <a:xfrm>
                            <a:off x="0" y="0"/>
                            <a:ext cx="2366490" cy="234000"/>
                          </a:xfrm>
                          <a:prstGeom prst="rect"/>
                        </pic:spPr>
                      </pic:pic>
                    </a:graphicData>
                  </a:graphic>
                </wp:inline>
              </w:drawing>
            </w:r>
          </w:p>
        </w:tc>
        <w:tc>
          <w:tcPr>
            <w:tcW w:type="dxa" w:w="5386"/>
          </w:tcPr>
          <w:p>
            <w:pPr>
              <w:spacing w:before="120"/>
              <w:jc w:val="right"/>
            </w:pPr>
            <w:r>
              <w:rPr>
                <w:rFonts w:ascii="Calibri" w:hAnsi="Calibri"/>
                <w:sz w:val="22"/>
              </w:rPr>
              <w:t>(19)</w:t>
            </w:r>
          </w:p>
        </w:tc>
      </w:tr>
    </w:tbl>
    <w:p>
      <w:pPr>
        <w:spacing w:after="40"/>
      </w:pPr>
    </w:p>
    <w:tbl>
      <w:tblPr>
        <w:tblW w:type="auto" w:w="0"/>
        <w:jc w:val="center"/>
        <w:tblLook w:firstColumn="1" w:firstRow="1" w:lastColumn="0" w:lastRow="0" w:noHBand="0" w:noVBand="1" w:val="04A0"/>
      </w:tblPr>
      <w:tblGrid>
        <w:gridCol w:w="8504"/>
        <w:gridCol w:w="907"/>
      </w:tblGrid>
      <w:tr>
        <w:tc>
          <w:tcPr>
            <w:tcW w:type="dxa" w:w="5386"/>
          </w:tcPr>
          <w:p>
            <w:pPr>
              <w:jc w:val="center"/>
            </w:pPr>
            <w:r>
              <w:drawing>
                <wp:inline xmlns:a="http://schemas.openxmlformats.org/drawingml/2006/main" xmlns:pic="http://schemas.openxmlformats.org/drawingml/2006/picture">
                  <wp:extent cx="779253" cy="234000"/>
                  <wp:docPr id="22" name="Picture 22"/>
                  <wp:cNvGraphicFramePr>
                    <a:graphicFrameLocks noChangeAspect="1"/>
                  </wp:cNvGraphicFramePr>
                  <a:graphic>
                    <a:graphicData uri="http://schemas.openxmlformats.org/drawingml/2006/picture">
                      <pic:pic>
                        <pic:nvPicPr>
                          <pic:cNvPr id="0" name="eq20.png"/>
                          <pic:cNvPicPr/>
                        </pic:nvPicPr>
                        <pic:blipFill>
                          <a:blip r:embed="rId60">
                            <a:extLst>
                              <a:ext uri="{96DAC541-7F89-4952-8B84-B3F5B99F14F2}">
                                <asvg:svgBlip xmlns:asvg="http://schemas.microsoft.com/office/drawing/2016/SVG/main" r:embed="rId61"/>
                              </a:ext>
                            </a:extLst>
                          </a:blip>
                          <a:stretch>
                            <a:fillRect/>
                          </a:stretch>
                        </pic:blipFill>
                        <pic:spPr>
                          <a:xfrm>
                            <a:off x="0" y="0"/>
                            <a:ext cx="779253" cy="234000"/>
                          </a:xfrm>
                          <a:prstGeom prst="rect"/>
                        </pic:spPr>
                      </pic:pic>
                    </a:graphicData>
                  </a:graphic>
                </wp:inline>
              </w:drawing>
            </w:r>
          </w:p>
        </w:tc>
        <w:tc>
          <w:tcPr>
            <w:tcW w:type="dxa" w:w="5386"/>
          </w:tcPr>
          <w:p>
            <w:pPr>
              <w:spacing w:before="120"/>
              <w:jc w:val="right"/>
            </w:pPr>
            <w:r>
              <w:rPr>
                <w:rFonts w:ascii="Calibri" w:hAnsi="Calibri"/>
                <w:sz w:val="22"/>
              </w:rPr>
              <w:t>(20)</w:t>
            </w:r>
          </w:p>
        </w:tc>
      </w:tr>
    </w:tbl>
    <w:p>
      <w:pPr>
        <w:spacing w:after="40"/>
      </w:pPr>
    </w:p>
    <w:p>
      <w:pPr>
        <w:spacing w:after="120"/>
        <w:jc w:val="both"/>
      </w:pPr>
      <w:r>
        <w:rPr>
          <w:rFonts w:ascii="Calibri" w:hAnsi="Calibri"/>
          <w:b w:val="0"/>
          <w:sz w:val="22"/>
        </w:rPr>
        <w:t>I pesi wᵢ derivano dall'</w:t>
      </w:r>
      <w:r>
        <w:rPr>
          <w:rFonts w:ascii="Calibri" w:hAnsi="Calibri"/>
          <w:b/>
          <w:sz w:val="22"/>
        </w:rPr>
        <w:t>AHP</w:t>
      </w:r>
      <w:r>
        <w:rPr>
          <w:rFonts w:ascii="Calibri" w:hAnsi="Calibri"/>
          <w:b w:val="0"/>
          <w:sz w:val="22"/>
        </w:rPr>
        <w:t xml:space="preserve">: una matrice di confronto a coppie 4×4 fornisce, tramite media geometrica normalizzata, il vettore dei pesi; la consistenza è verificata con l'indice CI e il rapporto CR — Eq. (21) — richiedendo CR ≤ 0,10 per n = 4. I pesi 0,30/0,30/0,20/0,20 delle bozze precedenti </w:t>
      </w:r>
      <w:r>
        <w:rPr>
          <w:rFonts w:ascii="Calibri" w:hAnsi="Calibri"/>
          <w:b/>
          <w:sz w:val="22"/>
        </w:rPr>
        <w:t>non sono assunti a priori</w:t>
      </w:r>
      <w:r>
        <w:rPr>
          <w:rFonts w:ascii="Calibri" w:hAnsi="Calibri"/>
          <w:b w:val="0"/>
          <w:sz w:val="22"/>
        </w:rPr>
        <w:t>: sono sostituiti dall'esito dell'AHP (§4.2). I parametri α e β (con α + β = 1) bilanciano Φ e Ψ e sono sottoposti ad analisi di sensibilità; il caso neutro di prova è α = β = 0,5.</w:t>
      </w:r>
    </w:p>
    <w:tbl>
      <w:tblPr>
        <w:tblW w:type="auto" w:w="0"/>
        <w:jc w:val="center"/>
        <w:tblLook w:firstColumn="1" w:firstRow="1" w:lastColumn="0" w:lastRow="0" w:noHBand="0" w:noVBand="1" w:val="04A0"/>
      </w:tblPr>
      <w:tblGrid>
        <w:gridCol w:w="8504"/>
        <w:gridCol w:w="907"/>
      </w:tblGrid>
      <w:tr>
        <w:tc>
          <w:tcPr>
            <w:tcW w:type="dxa" w:w="5386"/>
          </w:tcPr>
          <w:p>
            <w:pPr>
              <w:jc w:val="center"/>
            </w:pPr>
            <w:r>
              <w:drawing>
                <wp:inline xmlns:a="http://schemas.openxmlformats.org/drawingml/2006/main" xmlns:pic="http://schemas.openxmlformats.org/drawingml/2006/picture">
                  <wp:extent cx="1717686" cy="234000"/>
                  <wp:docPr id="23" name="Picture 23"/>
                  <wp:cNvGraphicFramePr>
                    <a:graphicFrameLocks noChangeAspect="1"/>
                  </wp:cNvGraphicFramePr>
                  <a:graphic>
                    <a:graphicData uri="http://schemas.openxmlformats.org/drawingml/2006/picture">
                      <pic:pic>
                        <pic:nvPicPr>
                          <pic:cNvPr id="0" name="eq21.png"/>
                          <pic:cNvPicPr/>
                        </pic:nvPicPr>
                        <pic:blipFill>
                          <a:blip r:embed="rId62">
                            <a:extLst>
                              <a:ext uri="{96DAC541-7F89-4952-8B84-B3F5B99F14F2}">
                                <asvg:svgBlip xmlns:asvg="http://schemas.microsoft.com/office/drawing/2016/SVG/main" r:embed="rId63"/>
                              </a:ext>
                            </a:extLst>
                          </a:blip>
                          <a:stretch>
                            <a:fillRect/>
                          </a:stretch>
                        </pic:blipFill>
                        <pic:spPr>
                          <a:xfrm>
                            <a:off x="0" y="0"/>
                            <a:ext cx="1717686" cy="234000"/>
                          </a:xfrm>
                          <a:prstGeom prst="rect"/>
                        </pic:spPr>
                      </pic:pic>
                    </a:graphicData>
                  </a:graphic>
                </wp:inline>
              </w:drawing>
            </w:r>
          </w:p>
        </w:tc>
        <w:tc>
          <w:tcPr>
            <w:tcW w:type="dxa" w:w="5386"/>
          </w:tcPr>
          <w:p>
            <w:pPr>
              <w:spacing w:before="120"/>
              <w:jc w:val="right"/>
            </w:pPr>
            <w:r>
              <w:rPr>
                <w:rFonts w:ascii="Calibri" w:hAnsi="Calibri"/>
                <w:sz w:val="22"/>
              </w:rPr>
              <w:t>(21)</w:t>
            </w:r>
          </w:p>
        </w:tc>
      </w:tr>
    </w:tbl>
    <w:p>
      <w:pPr>
        <w:spacing w:after="40"/>
      </w:pPr>
    </w:p>
    <w:p>
      <w:pPr>
        <w:spacing w:before="160" w:after="60"/>
      </w:pPr>
      <w:r>
        <w:rPr>
          <w:rFonts w:ascii="Calibri" w:hAnsi="Calibri"/>
          <w:b/>
          <w:color w:val="024C41"/>
          <w:sz w:val="26"/>
        </w:rPr>
        <w:t>2.9 Architettura dati e controlli di qualità</w:t>
      </w:r>
    </w:p>
    <w:p>
      <w:pPr>
        <w:spacing w:after="120"/>
        <w:jc w:val="both"/>
      </w:pPr>
      <w:r>
        <w:rPr>
          <w:rFonts w:ascii="Calibri" w:hAnsi="Calibri"/>
          <w:b w:val="0"/>
          <w:sz w:val="22"/>
        </w:rPr>
        <w:t xml:space="preserve">La medesima pipeline è alimentata da due sorgenti: dati </w:t>
      </w:r>
      <w:r>
        <w:rPr>
          <w:rFonts w:ascii="Calibri" w:hAnsi="Calibri"/>
          <w:b/>
          <w:sz w:val="22"/>
        </w:rPr>
        <w:t>ERP/MES</w:t>
      </w:r>
      <w:r>
        <w:rPr>
          <w:rFonts w:ascii="Calibri" w:hAnsi="Calibri"/>
          <w:b w:val="0"/>
          <w:sz w:val="22"/>
        </w:rPr>
        <w:t xml:space="preserve"> (scenario storico) e dati consolidati via </w:t>
      </w:r>
      <w:r>
        <w:rPr>
          <w:rFonts w:ascii="Calibri" w:hAnsi="Calibri"/>
          <w:b/>
          <w:sz w:val="22"/>
        </w:rPr>
        <w:t>E2C</w:t>
      </w:r>
      <w:r>
        <w:rPr>
          <w:rFonts w:ascii="Calibri" w:hAnsi="Calibri"/>
          <w:b w:val="0"/>
          <w:sz w:val="22"/>
        </w:rPr>
        <w:t xml:space="preserve"> (scenario real-time), con identica struttura logica. Il modello è unico; cambia la modalità di alimentazione. I controlli previsti includono coerenza massica (Eq.-check m_SDM ≤ m_RM + m_UW), coerenza exergetica (Ex_loss ≥ 0), coerenza delle unità, assenza di doppio conteggio, classificazione di confidenza A/B/C dei coefficienti e analisi di sensibilità (coefficienti ±10 %, pesi AHP, α/β).</w:t>
      </w:r>
    </w:p>
    <w:p>
      <w:pPr>
        <w:spacing w:before="240" w:after="120"/>
        <w:jc w:val="both"/>
      </w:pPr>
      <w:r>
        <w:rPr>
          <w:rFonts w:ascii="Calibri" w:hAnsi="Calibri"/>
          <w:b/>
          <w:color w:val="024C41"/>
          <w:sz w:val="36"/>
        </w:rPr>
        <w:t>3. RISULTATI</w:t>
      </w:r>
    </w:p>
    <w:p>
      <w:pPr>
        <w:spacing w:before="80" w:after="120"/>
        <w:jc w:val="center"/>
        <w:pBdr>
          <w:top w:val="single" w:sz="6" w:space="4" w:color="C00000"/>
          <w:bottom w:val="single" w:sz="6" w:space="4" w:color="C00000"/>
          <w:left w:val="single" w:sz="6" w:space="4" w:color="C00000"/>
          <w:right w:val="single" w:sz="6" w:space="4" w:color="C00000"/>
        </w:pBdr>
      </w:pPr>
      <w:r>
        <w:rPr>
          <w:b/>
          <w:color w:val="C00000"/>
          <w:sz w:val="20"/>
        </w:rPr>
        <w:t>I valori delle Tabelle 4–11 sono DIMOSTRATIVI (confidenza C) e servono a esercitare la pipeline. La matrice di disponibilità (Tabella 1) documenta l'assenza dei dati primari.</w:t>
      </w:r>
    </w:p>
    <w:p>
      <w:pPr>
        <w:spacing w:before="160" w:after="60"/>
      </w:pPr>
      <w:r>
        <w:rPr>
          <w:rFonts w:ascii="Calibri" w:hAnsi="Calibri"/>
          <w:b/>
          <w:color w:val="024C41"/>
          <w:sz w:val="26"/>
        </w:rPr>
        <w:t>3.1 Verifica della baseline (Tabella 1)</w:t>
      </w:r>
    </w:p>
    <w:p>
      <w:pPr>
        <w:spacing w:after="120"/>
        <w:jc w:val="both"/>
      </w:pPr>
      <w:r>
        <w:rPr>
          <w:rFonts w:ascii="Calibri" w:hAnsi="Calibri"/>
          <w:b w:val="0"/>
          <w:sz w:val="22"/>
        </w:rPr>
        <w:t xml:space="preserve">La disponibilità simultanea dei dati dei quattro footprint non è verificabile: non sono stati forniti dataset primari ERP/MES né export E2C. In assenza di tali dati il 2017 </w:t>
      </w:r>
      <w:r>
        <w:rPr>
          <w:rFonts w:ascii="Calibri" w:hAnsi="Calibri"/>
          <w:b/>
          <w:sz w:val="22"/>
        </w:rPr>
        <w:t>non può essere confermato</w:t>
      </w:r>
      <w:r>
        <w:rPr>
          <w:rFonts w:ascii="Calibri" w:hAnsi="Calibri"/>
          <w:b w:val="0"/>
          <w:sz w:val="22"/>
        </w:rPr>
        <w:t xml:space="preserve"> come baseline; per esercitare la pipeline è adottato in via </w:t>
      </w:r>
      <w:r>
        <w:rPr>
          <w:rFonts w:ascii="Calibri" w:hAnsi="Calibri"/>
          <w:b/>
          <w:sz w:val="22"/>
        </w:rPr>
        <w:t>dimostrativa</w:t>
      </w:r>
      <w:r>
        <w:rPr>
          <w:rFonts w:ascii="Calibri" w:hAnsi="Calibri"/>
          <w:b w:val="0"/>
          <w:sz w:val="22"/>
        </w:rPr>
        <w:t xml:space="preserve"> come anno di riferimento delle differenze. La Tabella 1 riporta lo stato effettivo.</w:t>
      </w:r>
    </w:p>
    <w:tbl>
      <w:tblPr>
        <w:tblW w:type="auto" w:w="0"/>
        <w:jc w:val="center"/>
        <w:tblLook w:firstColumn="1" w:firstRow="1" w:lastColumn="0" w:lastRow="0" w:noHBand="0" w:noVBand="1" w:val="04A0"/>
      </w:tblPr>
      <w:tblGrid>
        <w:gridCol w:w="1346"/>
        <w:gridCol w:w="1346"/>
        <w:gridCol w:w="1346"/>
        <w:gridCol w:w="1346"/>
        <w:gridCol w:w="1346"/>
        <w:gridCol w:w="1346"/>
        <w:gridCol w:w="1346"/>
        <w:gridCol w:w="1346"/>
      </w:tblGrid>
      <w:tr>
        <w:trPr>
          <w:tblHeader w:val="true"/>
        </w:trPr>
        <w:tc>
          <w:tcPr>
            <w:tcW w:type="dxa" w:w="1346"/>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Unità</w:t>
            </w:r>
          </w:p>
        </w:tc>
        <w:tc>
          <w:tcPr>
            <w:tcW w:type="dxa" w:w="1346"/>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Anno cand.</w:t>
            </w:r>
          </w:p>
        </w:tc>
        <w:tc>
          <w:tcPr>
            <w:tcW w:type="dxa" w:w="1346"/>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TEI-J</w:t>
            </w:r>
          </w:p>
        </w:tc>
        <w:tc>
          <w:tcPr>
            <w:tcW w:type="dxa" w:w="1346"/>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EFA-J</w:t>
            </w:r>
          </w:p>
        </w:tc>
        <w:tc>
          <w:tcPr>
            <w:tcW w:type="dxa" w:w="1346"/>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EcoFA-J</w:t>
            </w:r>
          </w:p>
        </w:tc>
        <w:tc>
          <w:tcPr>
            <w:tcW w:type="dxa" w:w="1346"/>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SFA-J</w:t>
            </w:r>
          </w:p>
        </w:tc>
        <w:tc>
          <w:tcPr>
            <w:tcW w:type="dxa" w:w="1346"/>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Exergia</w:t>
            </w:r>
          </w:p>
        </w:tc>
        <w:tc>
          <w:tcPr>
            <w:tcW w:type="dxa" w:w="1346"/>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Baseline</w:t>
            </w:r>
          </w:p>
        </w:tc>
      </w:tr>
      <w:tr>
        <w:tc>
          <w:tcPr>
            <w:tcW w:type="dxa" w:w="1346"/>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D020</w:t>
            </w:r>
          </w:p>
        </w:tc>
        <w:tc>
          <w:tcPr>
            <w:tcW w:type="dxa" w:w="1346"/>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2017</w:t>
            </w:r>
          </w:p>
        </w:tc>
        <w:tc>
          <w:tcPr>
            <w:tcW w:type="dxa" w:w="1346"/>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n.d.</w:t>
            </w:r>
          </w:p>
        </w:tc>
        <w:tc>
          <w:tcPr>
            <w:tcW w:type="dxa" w:w="1346"/>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n.d.</w:t>
            </w:r>
          </w:p>
        </w:tc>
        <w:tc>
          <w:tcPr>
            <w:tcW w:type="dxa" w:w="1346"/>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n.d.</w:t>
            </w:r>
          </w:p>
        </w:tc>
        <w:tc>
          <w:tcPr>
            <w:tcW w:type="dxa" w:w="1346"/>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n.d.</w:t>
            </w:r>
          </w:p>
        </w:tc>
        <w:tc>
          <w:tcPr>
            <w:tcW w:type="dxa" w:w="1346"/>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n.d.</w:t>
            </w:r>
          </w:p>
        </w:tc>
        <w:tc>
          <w:tcPr>
            <w:tcW w:type="dxa" w:w="1346"/>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2017 (assunto, DEMO)</w:t>
            </w:r>
          </w:p>
        </w:tc>
      </w:tr>
      <w:tr>
        <w:tc>
          <w:tcPr>
            <w:tcW w:type="dxa" w:w="1346"/>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D060</w:t>
            </w:r>
          </w:p>
        </w:tc>
        <w:tc>
          <w:tcPr>
            <w:tcW w:type="dxa" w:w="1346"/>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2017</w:t>
            </w:r>
          </w:p>
        </w:tc>
        <w:tc>
          <w:tcPr>
            <w:tcW w:type="dxa" w:w="1346"/>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n.d.</w:t>
            </w:r>
          </w:p>
        </w:tc>
        <w:tc>
          <w:tcPr>
            <w:tcW w:type="dxa" w:w="1346"/>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n.d.</w:t>
            </w:r>
          </w:p>
        </w:tc>
        <w:tc>
          <w:tcPr>
            <w:tcW w:type="dxa" w:w="1346"/>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n.d.</w:t>
            </w:r>
          </w:p>
        </w:tc>
        <w:tc>
          <w:tcPr>
            <w:tcW w:type="dxa" w:w="1346"/>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n.d.</w:t>
            </w:r>
          </w:p>
        </w:tc>
        <w:tc>
          <w:tcPr>
            <w:tcW w:type="dxa" w:w="1346"/>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n.d.</w:t>
            </w:r>
          </w:p>
        </w:tc>
        <w:tc>
          <w:tcPr>
            <w:tcW w:type="dxa" w:w="1346"/>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2017 (assunto, DEMO)</w:t>
            </w:r>
          </w:p>
        </w:tc>
      </w:tr>
      <w:tr>
        <w:tc>
          <w:tcPr>
            <w:tcW w:type="dxa" w:w="1346"/>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D240</w:t>
            </w:r>
          </w:p>
        </w:tc>
        <w:tc>
          <w:tcPr>
            <w:tcW w:type="dxa" w:w="1346"/>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2017</w:t>
            </w:r>
          </w:p>
        </w:tc>
        <w:tc>
          <w:tcPr>
            <w:tcW w:type="dxa" w:w="1346"/>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n.d.</w:t>
            </w:r>
          </w:p>
        </w:tc>
        <w:tc>
          <w:tcPr>
            <w:tcW w:type="dxa" w:w="1346"/>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n.d.</w:t>
            </w:r>
          </w:p>
        </w:tc>
        <w:tc>
          <w:tcPr>
            <w:tcW w:type="dxa" w:w="1346"/>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n.d.</w:t>
            </w:r>
          </w:p>
        </w:tc>
        <w:tc>
          <w:tcPr>
            <w:tcW w:type="dxa" w:w="1346"/>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n.d.</w:t>
            </w:r>
          </w:p>
        </w:tc>
        <w:tc>
          <w:tcPr>
            <w:tcW w:type="dxa" w:w="1346"/>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n.d.</w:t>
            </w:r>
          </w:p>
        </w:tc>
        <w:tc>
          <w:tcPr>
            <w:tcW w:type="dxa" w:w="1346"/>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2017 (assunto, DEMO)</w:t>
            </w:r>
          </w:p>
        </w:tc>
      </w:tr>
    </w:tbl>
    <w:p>
      <w:pPr>
        <w:spacing w:after="40"/>
      </w:pPr>
    </w:p>
    <w:p>
      <w:pPr>
        <w:spacing w:after="160"/>
        <w:jc w:val="left"/>
      </w:pPr>
      <w:r>
        <w:rPr>
          <w:i/>
          <w:color w:val="333333"/>
          <w:sz w:val="18"/>
        </w:rPr>
        <w:t>Tabella 1 — Matrice di disponibilità della baseline. «n.d.» = dato primario non disponibile; l'analisi procede su dati dimostrativi.</w:t>
      </w:r>
    </w:p>
    <w:p>
      <w:pPr>
        <w:spacing w:before="160" w:after="60"/>
      </w:pPr>
      <w:r>
        <w:rPr>
          <w:rFonts w:ascii="Calibri" w:hAnsi="Calibri"/>
          <w:b/>
          <w:color w:val="024C41"/>
          <w:sz w:val="26"/>
        </w:rPr>
        <w:t>3.2 Risultati AHP (Tabelle 2–3)</w:t>
      </w:r>
    </w:p>
    <w:p>
      <w:pPr>
        <w:spacing w:after="120"/>
        <w:jc w:val="both"/>
      </w:pPr>
      <w:r>
        <w:rPr>
          <w:rFonts w:ascii="Calibri" w:hAnsi="Calibri"/>
          <w:b w:val="0"/>
          <w:sz w:val="22"/>
        </w:rPr>
        <w:t xml:space="preserve">La matrice di confronto a coppie adottata è una </w:t>
      </w:r>
      <w:r>
        <w:rPr>
          <w:rFonts w:ascii="Calibri" w:hAnsi="Calibri"/>
          <w:b/>
          <w:sz w:val="22"/>
        </w:rPr>
        <w:t>matrice di prova documentata</w:t>
      </w:r>
      <w:r>
        <w:rPr>
          <w:rFonts w:ascii="Calibri" w:hAnsi="Calibri"/>
          <w:b w:val="0"/>
          <w:sz w:val="22"/>
        </w:rPr>
        <w:t xml:space="preserve"> (da sostituire con i giudizi del panel). L'elaborazione fornisce λmax = 4,0457, CI = 0,0152 e CR = 0,0169: essendo CR ≤ 0,10 la matrice è </w:t>
      </w:r>
      <w:r>
        <w:rPr>
          <w:rFonts w:ascii="Calibri" w:hAnsi="Calibri"/>
          <w:b/>
          <w:sz w:val="22"/>
        </w:rPr>
        <w:t>consistente</w:t>
      </w:r>
      <w:r>
        <w:rPr>
          <w:rFonts w:ascii="Calibri" w:hAnsi="Calibri"/>
          <w:b w:val="0"/>
          <w:sz w:val="22"/>
        </w:rPr>
        <w:t>.</w:t>
      </w:r>
    </w:p>
    <w:tbl>
      <w:tblPr>
        <w:tblW w:type="auto" w:w="0"/>
        <w:jc w:val="center"/>
        <w:tblLook w:firstColumn="1" w:firstRow="1" w:lastColumn="0" w:lastRow="0" w:noHBand="0" w:noVBand="1" w:val="04A0"/>
      </w:tblPr>
      <w:tblGrid>
        <w:gridCol w:w="2154"/>
        <w:gridCol w:w="2154"/>
        <w:gridCol w:w="2154"/>
        <w:gridCol w:w="2154"/>
        <w:gridCol w:w="2154"/>
      </w:tblGrid>
      <w:tr>
        <w:trPr>
          <w:tblHeader w:val="true"/>
        </w:trPr>
        <w:tc>
          <w:tcPr>
            <w:tcW w:type="dxa" w:w="2154"/>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Dimensione</w:t>
            </w:r>
          </w:p>
        </w:tc>
        <w:tc>
          <w:tcPr>
            <w:tcW w:type="dxa" w:w="2154"/>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Ambientale</w:t>
            </w:r>
          </w:p>
        </w:tc>
        <w:tc>
          <w:tcPr>
            <w:tcW w:type="dxa" w:w="2154"/>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Economica</w:t>
            </w:r>
          </w:p>
        </w:tc>
        <w:tc>
          <w:tcPr>
            <w:tcW w:type="dxa" w:w="2154"/>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Sociale</w:t>
            </w:r>
          </w:p>
        </w:tc>
        <w:tc>
          <w:tcPr>
            <w:tcW w:type="dxa" w:w="2154"/>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Tecnologica</w:t>
            </w:r>
          </w:p>
        </w:tc>
      </w:tr>
      <w:tr>
        <w:tc>
          <w:tcPr>
            <w:tcW w:type="dxa" w:w="2154"/>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Ambientale</w:t>
            </w:r>
          </w:p>
        </w:tc>
        <w:tc>
          <w:tcPr>
            <w:tcW w:type="dxa" w:w="2154"/>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1,000</w:t>
            </w:r>
          </w:p>
        </w:tc>
        <w:tc>
          <w:tcPr>
            <w:tcW w:type="dxa" w:w="2154"/>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3,000</w:t>
            </w:r>
          </w:p>
        </w:tc>
        <w:tc>
          <w:tcPr>
            <w:tcW w:type="dxa" w:w="2154"/>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3,000</w:t>
            </w:r>
          </w:p>
        </w:tc>
        <w:tc>
          <w:tcPr>
            <w:tcW w:type="dxa" w:w="2154"/>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1,000</w:t>
            </w:r>
          </w:p>
        </w:tc>
      </w:tr>
      <w:tr>
        <w:tc>
          <w:tcPr>
            <w:tcW w:type="dxa" w:w="2154"/>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Economica</w:t>
            </w:r>
          </w:p>
        </w:tc>
        <w:tc>
          <w:tcPr>
            <w:tcW w:type="dxa" w:w="2154"/>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0,333</w:t>
            </w:r>
          </w:p>
        </w:tc>
        <w:tc>
          <w:tcPr>
            <w:tcW w:type="dxa" w:w="2154"/>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1,000</w:t>
            </w:r>
          </w:p>
        </w:tc>
        <w:tc>
          <w:tcPr>
            <w:tcW w:type="dxa" w:w="2154"/>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2,000</w:t>
            </w:r>
          </w:p>
        </w:tc>
        <w:tc>
          <w:tcPr>
            <w:tcW w:type="dxa" w:w="2154"/>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0,333</w:t>
            </w:r>
          </w:p>
        </w:tc>
      </w:tr>
      <w:tr>
        <w:tc>
          <w:tcPr>
            <w:tcW w:type="dxa" w:w="2154"/>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Sociale</w:t>
            </w:r>
          </w:p>
        </w:tc>
        <w:tc>
          <w:tcPr>
            <w:tcW w:type="dxa" w:w="2154"/>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0,333</w:t>
            </w:r>
          </w:p>
        </w:tc>
        <w:tc>
          <w:tcPr>
            <w:tcW w:type="dxa" w:w="2154"/>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0,500</w:t>
            </w:r>
          </w:p>
        </w:tc>
        <w:tc>
          <w:tcPr>
            <w:tcW w:type="dxa" w:w="2154"/>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1,000</w:t>
            </w:r>
          </w:p>
        </w:tc>
        <w:tc>
          <w:tcPr>
            <w:tcW w:type="dxa" w:w="2154"/>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0,250</w:t>
            </w:r>
          </w:p>
        </w:tc>
      </w:tr>
      <w:tr>
        <w:tc>
          <w:tcPr>
            <w:tcW w:type="dxa" w:w="2154"/>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Tecnologica</w:t>
            </w:r>
          </w:p>
        </w:tc>
        <w:tc>
          <w:tcPr>
            <w:tcW w:type="dxa" w:w="2154"/>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1,000</w:t>
            </w:r>
          </w:p>
        </w:tc>
        <w:tc>
          <w:tcPr>
            <w:tcW w:type="dxa" w:w="2154"/>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3,000</w:t>
            </w:r>
          </w:p>
        </w:tc>
        <w:tc>
          <w:tcPr>
            <w:tcW w:type="dxa" w:w="2154"/>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4,000</w:t>
            </w:r>
          </w:p>
        </w:tc>
        <w:tc>
          <w:tcPr>
            <w:tcW w:type="dxa" w:w="2154"/>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1,000</w:t>
            </w:r>
          </w:p>
        </w:tc>
      </w:tr>
    </w:tbl>
    <w:p>
      <w:pPr>
        <w:spacing w:after="40"/>
      </w:pPr>
    </w:p>
    <w:p>
      <w:pPr>
        <w:spacing w:after="160"/>
        <w:jc w:val="left"/>
      </w:pPr>
      <w:r>
        <w:rPr>
          <w:i/>
          <w:color w:val="333333"/>
          <w:sz w:val="18"/>
        </w:rPr>
        <w:t>Tabella 2 — Matrice AHP di confronto a coppie (di prova, dimostrativa).</w:t>
      </w:r>
    </w:p>
    <w:tbl>
      <w:tblPr>
        <w:tblW w:type="auto" w:w="0"/>
        <w:jc w:val="center"/>
        <w:tblLook w:firstColumn="1" w:firstRow="1" w:lastColumn="0" w:lastRow="0" w:noHBand="0" w:noVBand="1" w:val="04A0"/>
      </w:tblPr>
      <w:tblGrid>
        <w:gridCol w:w="5386"/>
        <w:gridCol w:w="5386"/>
      </w:tblGrid>
      <w:tr>
        <w:trPr>
          <w:tblHeader w:val="true"/>
        </w:trPr>
        <w:tc>
          <w:tcPr>
            <w:tcW w:type="dxa" w:w="5386"/>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Dimensione</w:t>
            </w:r>
          </w:p>
        </w:tc>
        <w:tc>
          <w:tcPr>
            <w:tcW w:type="dxa" w:w="5386"/>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Peso AHP</w:t>
            </w:r>
          </w:p>
        </w:tc>
      </w:tr>
      <w:tr>
        <w:tc>
          <w:tcPr>
            <w:tcW w:type="dxa" w:w="5386"/>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Ambientale</w:t>
            </w:r>
          </w:p>
        </w:tc>
        <w:tc>
          <w:tcPr>
            <w:tcW w:type="dxa" w:w="5386"/>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0,3661</w:t>
            </w:r>
          </w:p>
        </w:tc>
      </w:tr>
      <w:tr>
        <w:tc>
          <w:tcPr>
            <w:tcW w:type="dxa" w:w="5386"/>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Economica</w:t>
            </w:r>
          </w:p>
        </w:tc>
        <w:tc>
          <w:tcPr>
            <w:tcW w:type="dxa" w:w="5386"/>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0,1451</w:t>
            </w:r>
          </w:p>
        </w:tc>
      </w:tr>
      <w:tr>
        <w:tc>
          <w:tcPr>
            <w:tcW w:type="dxa" w:w="5386"/>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Sociale</w:t>
            </w:r>
          </w:p>
        </w:tc>
        <w:tc>
          <w:tcPr>
            <w:tcW w:type="dxa" w:w="5386"/>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0,0955</w:t>
            </w:r>
          </w:p>
        </w:tc>
      </w:tr>
      <w:tr>
        <w:tc>
          <w:tcPr>
            <w:tcW w:type="dxa" w:w="5386"/>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Tecnologica</w:t>
            </w:r>
          </w:p>
        </w:tc>
        <w:tc>
          <w:tcPr>
            <w:tcW w:type="dxa" w:w="5386"/>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0,3934</w:t>
            </w:r>
          </w:p>
        </w:tc>
      </w:tr>
      <w:tr>
        <w:tc>
          <w:tcPr>
            <w:tcW w:type="dxa" w:w="5386"/>
            <w:tcBorders>
              <w:top w:val="single" w:sz="4" w:space="0" w:color="BFBFBF"/>
              <w:left w:val="single" w:sz="4" w:space="0" w:color="BFBFBF"/>
              <w:bottom w:val="single" w:sz="4" w:space="0" w:color="BFBFBF"/>
              <w:right w:val="single" w:sz="4" w:space="0" w:color="BFBFBF"/>
            </w:tcBorders>
          </w:tcPr>
          <w:p>
            <w:r/>
            <w:r>
              <w:rPr>
                <w:rFonts w:ascii="Calibri" w:hAnsi="Calibri"/>
                <w:b/>
                <w:sz w:val="17"/>
              </w:rPr>
              <w:t>Somma</w:t>
            </w:r>
          </w:p>
        </w:tc>
        <w:tc>
          <w:tcPr>
            <w:tcW w:type="dxa" w:w="5386"/>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sz w:val="17"/>
              </w:rPr>
              <w:t>1,0000</w:t>
            </w:r>
          </w:p>
        </w:tc>
      </w:tr>
    </w:tbl>
    <w:p>
      <w:pPr>
        <w:spacing w:after="40"/>
      </w:pPr>
    </w:p>
    <w:p>
      <w:pPr>
        <w:spacing w:after="160"/>
        <w:jc w:val="left"/>
      </w:pPr>
      <w:r>
        <w:rPr>
          <w:i/>
          <w:color w:val="333333"/>
          <w:sz w:val="18"/>
        </w:rPr>
        <w:t>Tabella 3 — Pesi AHP e consistenza: λmax = 4,0457; CI = 0,0152; RI(n=4) = 0,90; CR = 0,0169 ≤ 0,10 (consistente).</w:t>
      </w:r>
    </w:p>
    <w:p>
      <w:pPr>
        <w:spacing w:before="160" w:after="60"/>
      </w:pPr>
      <w:r>
        <w:rPr>
          <w:rFonts w:ascii="Calibri" w:hAnsi="Calibri"/>
          <w:b/>
          <w:color w:val="024C41"/>
          <w:sz w:val="26"/>
        </w:rPr>
        <w:t>3.3 Bilancio exergetico (Tabella 4)</w:t>
      </w:r>
    </w:p>
    <w:tbl>
      <w:tblPr>
        <w:tblW w:type="auto" w:w="0"/>
        <w:jc w:val="center"/>
        <w:tblLook w:firstColumn="1" w:firstRow="1" w:lastColumn="0" w:lastRow="0" w:noHBand="0" w:noVBand="1" w:val="04A0"/>
      </w:tblPr>
      <w:tblGrid>
        <w:gridCol w:w="1346"/>
        <w:gridCol w:w="1346"/>
        <w:gridCol w:w="1346"/>
        <w:gridCol w:w="1346"/>
        <w:gridCol w:w="1346"/>
        <w:gridCol w:w="1346"/>
        <w:gridCol w:w="1346"/>
        <w:gridCol w:w="1346"/>
      </w:tblGrid>
      <w:tr>
        <w:trPr>
          <w:tblHeader w:val="true"/>
        </w:trPr>
        <w:tc>
          <w:tcPr>
            <w:tcW w:type="dxa" w:w="1346"/>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Unità</w:t>
            </w:r>
          </w:p>
        </w:tc>
        <w:tc>
          <w:tcPr>
            <w:tcW w:type="dxa" w:w="1346"/>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Scenario</w:t>
            </w:r>
          </w:p>
        </w:tc>
        <w:tc>
          <w:tcPr>
            <w:tcW w:type="dxa" w:w="1346"/>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Prod. (Mm²)</w:t>
            </w:r>
          </w:p>
        </w:tc>
        <w:tc>
          <w:tcPr>
            <w:tcW w:type="dxa" w:w="1346"/>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Ex_el (GJ)</w:t>
            </w:r>
          </w:p>
        </w:tc>
        <w:tc>
          <w:tcPr>
            <w:tcW w:type="dxa" w:w="1346"/>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Ex_fuel (GJ)</w:t>
            </w:r>
          </w:p>
        </w:tc>
        <w:tc>
          <w:tcPr>
            <w:tcW w:type="dxa" w:w="1346"/>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Ex_ref (GJ)</w:t>
            </w:r>
          </w:p>
        </w:tc>
        <w:tc>
          <w:tcPr>
            <w:tcW w:type="dxa" w:w="1346"/>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Ex_useful (GJ)</w:t>
            </w:r>
          </w:p>
        </w:tc>
        <w:tc>
          <w:tcPr>
            <w:tcW w:type="dxa" w:w="1346"/>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Ψ</w:t>
            </w:r>
          </w:p>
        </w:tc>
      </w:tr>
      <w:tr>
        <w:tc>
          <w:tcPr>
            <w:tcW w:type="dxa" w:w="1346"/>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D020</w:t>
            </w:r>
          </w:p>
        </w:tc>
        <w:tc>
          <w:tcPr>
            <w:tcW w:type="dxa" w:w="1346"/>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storico</w:t>
            </w:r>
          </w:p>
        </w:tc>
        <w:tc>
          <w:tcPr>
            <w:tcW w:type="dxa" w:w="1346"/>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3,800</w:t>
            </w:r>
          </w:p>
        </w:tc>
        <w:tc>
          <w:tcPr>
            <w:tcW w:type="dxa" w:w="1346"/>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39.520</w:t>
            </w:r>
          </w:p>
        </w:tc>
        <w:tc>
          <w:tcPr>
            <w:tcW w:type="dxa" w:w="1346"/>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158.080</w:t>
            </w:r>
          </w:p>
        </w:tc>
        <w:tc>
          <w:tcPr>
            <w:tcW w:type="dxa" w:w="1346"/>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197.600</w:t>
            </w:r>
          </w:p>
        </w:tc>
        <w:tc>
          <w:tcPr>
            <w:tcW w:type="dxa" w:w="1346"/>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29.245</w:t>
            </w:r>
          </w:p>
        </w:tc>
        <w:tc>
          <w:tcPr>
            <w:tcW w:type="dxa" w:w="1346"/>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0,148</w:t>
            </w:r>
          </w:p>
        </w:tc>
      </w:tr>
      <w:tr>
        <w:tc>
          <w:tcPr>
            <w:tcW w:type="dxa" w:w="1346"/>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D020</w:t>
            </w:r>
          </w:p>
        </w:tc>
        <w:tc>
          <w:tcPr>
            <w:tcW w:type="dxa" w:w="1346"/>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real-time</w:t>
            </w:r>
          </w:p>
        </w:tc>
        <w:tc>
          <w:tcPr>
            <w:tcW w:type="dxa" w:w="1346"/>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3,800</w:t>
            </w:r>
          </w:p>
        </w:tc>
        <w:tc>
          <w:tcPr>
            <w:tcW w:type="dxa" w:w="1346"/>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37.240</w:t>
            </w:r>
          </w:p>
        </w:tc>
        <w:tc>
          <w:tcPr>
            <w:tcW w:type="dxa" w:w="1346"/>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148.960</w:t>
            </w:r>
          </w:p>
        </w:tc>
        <w:tc>
          <w:tcPr>
            <w:tcW w:type="dxa" w:w="1346"/>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186.200</w:t>
            </w:r>
          </w:p>
        </w:tc>
        <w:tc>
          <w:tcPr>
            <w:tcW w:type="dxa" w:w="1346"/>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30.351</w:t>
            </w:r>
          </w:p>
        </w:tc>
        <w:tc>
          <w:tcPr>
            <w:tcW w:type="dxa" w:w="1346"/>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0,163</w:t>
            </w:r>
          </w:p>
        </w:tc>
      </w:tr>
      <w:tr>
        <w:tc>
          <w:tcPr>
            <w:tcW w:type="dxa" w:w="1346"/>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D060</w:t>
            </w:r>
          </w:p>
        </w:tc>
        <w:tc>
          <w:tcPr>
            <w:tcW w:type="dxa" w:w="1346"/>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storico</w:t>
            </w:r>
          </w:p>
        </w:tc>
        <w:tc>
          <w:tcPr>
            <w:tcW w:type="dxa" w:w="1346"/>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6,400</w:t>
            </w:r>
          </w:p>
        </w:tc>
        <w:tc>
          <w:tcPr>
            <w:tcW w:type="dxa" w:w="1346"/>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63.360</w:t>
            </w:r>
          </w:p>
        </w:tc>
        <w:tc>
          <w:tcPr>
            <w:tcW w:type="dxa" w:w="1346"/>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253.440</w:t>
            </w:r>
          </w:p>
        </w:tc>
        <w:tc>
          <w:tcPr>
            <w:tcW w:type="dxa" w:w="1346"/>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316.800</w:t>
            </w:r>
          </w:p>
        </w:tc>
        <w:tc>
          <w:tcPr>
            <w:tcW w:type="dxa" w:w="1346"/>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49.421</w:t>
            </w:r>
          </w:p>
        </w:tc>
        <w:tc>
          <w:tcPr>
            <w:tcW w:type="dxa" w:w="1346"/>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0,156</w:t>
            </w:r>
          </w:p>
        </w:tc>
      </w:tr>
      <w:tr>
        <w:tc>
          <w:tcPr>
            <w:tcW w:type="dxa" w:w="1346"/>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D060</w:t>
            </w:r>
          </w:p>
        </w:tc>
        <w:tc>
          <w:tcPr>
            <w:tcW w:type="dxa" w:w="1346"/>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real-time</w:t>
            </w:r>
          </w:p>
        </w:tc>
        <w:tc>
          <w:tcPr>
            <w:tcW w:type="dxa" w:w="1346"/>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6,400</w:t>
            </w:r>
          </w:p>
        </w:tc>
        <w:tc>
          <w:tcPr>
            <w:tcW w:type="dxa" w:w="1346"/>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59.136</w:t>
            </w:r>
          </w:p>
        </w:tc>
        <w:tc>
          <w:tcPr>
            <w:tcW w:type="dxa" w:w="1346"/>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236.544</w:t>
            </w:r>
          </w:p>
        </w:tc>
        <w:tc>
          <w:tcPr>
            <w:tcW w:type="dxa" w:w="1346"/>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295.680</w:t>
            </w:r>
          </w:p>
        </w:tc>
        <w:tc>
          <w:tcPr>
            <w:tcW w:type="dxa" w:w="1346"/>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50.857</w:t>
            </w:r>
          </w:p>
        </w:tc>
        <w:tc>
          <w:tcPr>
            <w:tcW w:type="dxa" w:w="1346"/>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0,172</w:t>
            </w:r>
          </w:p>
        </w:tc>
      </w:tr>
      <w:tr>
        <w:tc>
          <w:tcPr>
            <w:tcW w:type="dxa" w:w="1346"/>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D240</w:t>
            </w:r>
          </w:p>
        </w:tc>
        <w:tc>
          <w:tcPr>
            <w:tcW w:type="dxa" w:w="1346"/>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storico</w:t>
            </w:r>
          </w:p>
        </w:tc>
        <w:tc>
          <w:tcPr>
            <w:tcW w:type="dxa" w:w="1346"/>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5,100</w:t>
            </w:r>
          </w:p>
        </w:tc>
        <w:tc>
          <w:tcPr>
            <w:tcW w:type="dxa" w:w="1346"/>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48.756</w:t>
            </w:r>
          </w:p>
        </w:tc>
        <w:tc>
          <w:tcPr>
            <w:tcW w:type="dxa" w:w="1346"/>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195.024</w:t>
            </w:r>
          </w:p>
        </w:tc>
        <w:tc>
          <w:tcPr>
            <w:tcW w:type="dxa" w:w="1346"/>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243.780</w:t>
            </w:r>
          </w:p>
        </w:tc>
        <w:tc>
          <w:tcPr>
            <w:tcW w:type="dxa" w:w="1346"/>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39.249</w:t>
            </w:r>
          </w:p>
        </w:tc>
        <w:tc>
          <w:tcPr>
            <w:tcW w:type="dxa" w:w="1346"/>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0,161</w:t>
            </w:r>
          </w:p>
        </w:tc>
      </w:tr>
      <w:tr>
        <w:tc>
          <w:tcPr>
            <w:tcW w:type="dxa" w:w="1346"/>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D240</w:t>
            </w:r>
          </w:p>
        </w:tc>
        <w:tc>
          <w:tcPr>
            <w:tcW w:type="dxa" w:w="1346"/>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real-time</w:t>
            </w:r>
          </w:p>
        </w:tc>
        <w:tc>
          <w:tcPr>
            <w:tcW w:type="dxa" w:w="1346"/>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5,100</w:t>
            </w:r>
          </w:p>
        </w:tc>
        <w:tc>
          <w:tcPr>
            <w:tcW w:type="dxa" w:w="1346"/>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46.206</w:t>
            </w:r>
          </w:p>
        </w:tc>
        <w:tc>
          <w:tcPr>
            <w:tcW w:type="dxa" w:w="1346"/>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184.824</w:t>
            </w:r>
          </w:p>
        </w:tc>
        <w:tc>
          <w:tcPr>
            <w:tcW w:type="dxa" w:w="1346"/>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231.030</w:t>
            </w:r>
          </w:p>
        </w:tc>
        <w:tc>
          <w:tcPr>
            <w:tcW w:type="dxa" w:w="1346"/>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40.430</w:t>
            </w:r>
          </w:p>
        </w:tc>
        <w:tc>
          <w:tcPr>
            <w:tcW w:type="dxa" w:w="1346"/>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0,175</w:t>
            </w:r>
          </w:p>
        </w:tc>
      </w:tr>
    </w:tbl>
    <w:p>
      <w:pPr>
        <w:spacing w:after="40"/>
      </w:pPr>
    </w:p>
    <w:p>
      <w:pPr>
        <w:spacing w:after="160"/>
        <w:jc w:val="left"/>
      </w:pPr>
      <w:r>
        <w:rPr>
          <w:i/>
          <w:color w:val="333333"/>
          <w:sz w:val="18"/>
        </w:rPr>
        <w:t>Tabella 4 — Bilancio exergetico per unità e scenario (Ex_ref = Ex_el + Ex_fuel; Ψ = Ex_useful/Ex_ref). Valori dimostrativi.</w:t>
      </w:r>
    </w:p>
    <w:p>
      <w:pPr>
        <w:spacing w:before="160" w:after="60"/>
      </w:pPr>
      <w:r>
        <w:rPr>
          <w:rFonts w:ascii="Calibri" w:hAnsi="Calibri"/>
          <w:b/>
          <w:color w:val="024C41"/>
          <w:sz w:val="26"/>
        </w:rPr>
        <w:t>3.4 Contributi dei quattro moduli (Tabella 5, Figura 4)</w:t>
      </w:r>
    </w:p>
    <w:tbl>
      <w:tblPr>
        <w:tblW w:type="auto" w:w="0"/>
        <w:jc w:val="center"/>
        <w:tblLook w:firstColumn="1" w:firstRow="1" w:lastColumn="0" w:lastRow="0" w:noHBand="0" w:noVBand="1" w:val="04A0"/>
      </w:tblPr>
      <w:tblGrid>
        <w:gridCol w:w="1539"/>
        <w:gridCol w:w="1539"/>
        <w:gridCol w:w="1539"/>
        <w:gridCol w:w="1539"/>
        <w:gridCol w:w="1539"/>
        <w:gridCol w:w="1539"/>
        <w:gridCol w:w="1539"/>
      </w:tblGrid>
      <w:tr>
        <w:trPr>
          <w:tblHeader w:val="true"/>
        </w:trPr>
        <w:tc>
          <w:tcPr>
            <w:tcW w:type="dxa" w:w="1539"/>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Unità</w:t>
            </w:r>
          </w:p>
        </w:tc>
        <w:tc>
          <w:tcPr>
            <w:tcW w:type="dxa" w:w="1539"/>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Scenario</w:t>
            </w:r>
          </w:p>
        </w:tc>
        <w:tc>
          <w:tcPr>
            <w:tcW w:type="dxa" w:w="1539"/>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f_env (GJ)</w:t>
            </w:r>
          </w:p>
        </w:tc>
        <w:tc>
          <w:tcPr>
            <w:tcW w:type="dxa" w:w="1539"/>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f_econ (GJ)</w:t>
            </w:r>
          </w:p>
        </w:tc>
        <w:tc>
          <w:tcPr>
            <w:tcW w:type="dxa" w:w="1539"/>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f_soc (GJ)</w:t>
            </w:r>
          </w:p>
        </w:tc>
        <w:tc>
          <w:tcPr>
            <w:tcW w:type="dxa" w:w="1539"/>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f_tech (GJ)</w:t>
            </w:r>
          </w:p>
        </w:tc>
        <w:tc>
          <w:tcPr>
            <w:tcW w:type="dxa" w:w="1539"/>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SA_raw (GJ)</w:t>
            </w:r>
          </w:p>
        </w:tc>
      </w:tr>
      <w:tr>
        <w:tc>
          <w:tcPr>
            <w:tcW w:type="dxa" w:w="1539"/>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D020</w:t>
            </w:r>
          </w:p>
        </w:tc>
        <w:tc>
          <w:tcPr>
            <w:tcW w:type="dxa" w:w="1539"/>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storico</w:t>
            </w:r>
          </w:p>
        </w:tc>
        <w:tc>
          <w:tcPr>
            <w:tcW w:type="dxa" w:w="1539"/>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8.151</w:t>
            </w:r>
          </w:p>
        </w:tc>
        <w:tc>
          <w:tcPr>
            <w:tcW w:type="dxa" w:w="1539"/>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9.384</w:t>
            </w:r>
          </w:p>
        </w:tc>
        <w:tc>
          <w:tcPr>
            <w:tcW w:type="dxa" w:w="1539"/>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5.831</w:t>
            </w:r>
          </w:p>
        </w:tc>
        <w:tc>
          <w:tcPr>
            <w:tcW w:type="dxa" w:w="1539"/>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2.537</w:t>
            </w:r>
          </w:p>
        </w:tc>
        <w:tc>
          <w:tcPr>
            <w:tcW w:type="dxa" w:w="1539"/>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sz w:val="17"/>
              </w:rPr>
              <w:t>25.903</w:t>
            </w:r>
          </w:p>
        </w:tc>
      </w:tr>
      <w:tr>
        <w:tc>
          <w:tcPr>
            <w:tcW w:type="dxa" w:w="1539"/>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D020</w:t>
            </w:r>
          </w:p>
        </w:tc>
        <w:tc>
          <w:tcPr>
            <w:tcW w:type="dxa" w:w="1539"/>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real-time</w:t>
            </w:r>
          </w:p>
        </w:tc>
        <w:tc>
          <w:tcPr>
            <w:tcW w:type="dxa" w:w="1539"/>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16.302</w:t>
            </w:r>
          </w:p>
        </w:tc>
        <w:tc>
          <w:tcPr>
            <w:tcW w:type="dxa" w:w="1539"/>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18.768</w:t>
            </w:r>
          </w:p>
        </w:tc>
        <w:tc>
          <w:tcPr>
            <w:tcW w:type="dxa" w:w="1539"/>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11.662</w:t>
            </w:r>
          </w:p>
        </w:tc>
        <w:tc>
          <w:tcPr>
            <w:tcW w:type="dxa" w:w="1539"/>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15.107</w:t>
            </w:r>
          </w:p>
        </w:tc>
        <w:tc>
          <w:tcPr>
            <w:tcW w:type="dxa" w:w="1539"/>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sz w:val="17"/>
              </w:rPr>
              <w:t>61.839</w:t>
            </w:r>
          </w:p>
        </w:tc>
      </w:tr>
      <w:tr>
        <w:tc>
          <w:tcPr>
            <w:tcW w:type="dxa" w:w="1539"/>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D060</w:t>
            </w:r>
          </w:p>
        </w:tc>
        <w:tc>
          <w:tcPr>
            <w:tcW w:type="dxa" w:w="1539"/>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storico</w:t>
            </w:r>
          </w:p>
        </w:tc>
        <w:tc>
          <w:tcPr>
            <w:tcW w:type="dxa" w:w="1539"/>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13.229</w:t>
            </w:r>
          </w:p>
        </w:tc>
        <w:tc>
          <w:tcPr>
            <w:tcW w:type="dxa" w:w="1539"/>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15.230</w:t>
            </w:r>
          </w:p>
        </w:tc>
        <w:tc>
          <w:tcPr>
            <w:tcW w:type="dxa" w:w="1539"/>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9.464</w:t>
            </w:r>
          </w:p>
        </w:tc>
        <w:tc>
          <w:tcPr>
            <w:tcW w:type="dxa" w:w="1539"/>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4.118</w:t>
            </w:r>
          </w:p>
        </w:tc>
        <w:tc>
          <w:tcPr>
            <w:tcW w:type="dxa" w:w="1539"/>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sz w:val="17"/>
              </w:rPr>
              <w:t>42.040</w:t>
            </w:r>
          </w:p>
        </w:tc>
      </w:tr>
      <w:tr>
        <w:tc>
          <w:tcPr>
            <w:tcW w:type="dxa" w:w="1539"/>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D060</w:t>
            </w:r>
          </w:p>
        </w:tc>
        <w:tc>
          <w:tcPr>
            <w:tcW w:type="dxa" w:w="1539"/>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real-time</w:t>
            </w:r>
          </w:p>
        </w:tc>
        <w:tc>
          <w:tcPr>
            <w:tcW w:type="dxa" w:w="1539"/>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26.458</w:t>
            </w:r>
          </w:p>
        </w:tc>
        <w:tc>
          <w:tcPr>
            <w:tcW w:type="dxa" w:w="1539"/>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30.460</w:t>
            </w:r>
          </w:p>
        </w:tc>
        <w:tc>
          <w:tcPr>
            <w:tcW w:type="dxa" w:w="1539"/>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18.927</w:t>
            </w:r>
          </w:p>
        </w:tc>
        <w:tc>
          <w:tcPr>
            <w:tcW w:type="dxa" w:w="1539"/>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24.517</w:t>
            </w:r>
          </w:p>
        </w:tc>
        <w:tc>
          <w:tcPr>
            <w:tcW w:type="dxa" w:w="1539"/>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sz w:val="17"/>
              </w:rPr>
              <w:t>100.362</w:t>
            </w:r>
          </w:p>
        </w:tc>
      </w:tr>
      <w:tr>
        <w:tc>
          <w:tcPr>
            <w:tcW w:type="dxa" w:w="1539"/>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D240</w:t>
            </w:r>
          </w:p>
        </w:tc>
        <w:tc>
          <w:tcPr>
            <w:tcW w:type="dxa" w:w="1539"/>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storico</w:t>
            </w:r>
          </w:p>
        </w:tc>
        <w:tc>
          <w:tcPr>
            <w:tcW w:type="dxa" w:w="1539"/>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10.343</w:t>
            </w:r>
          </w:p>
        </w:tc>
        <w:tc>
          <w:tcPr>
            <w:tcW w:type="dxa" w:w="1539"/>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11.907</w:t>
            </w:r>
          </w:p>
        </w:tc>
        <w:tc>
          <w:tcPr>
            <w:tcW w:type="dxa" w:w="1539"/>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7.399</w:t>
            </w:r>
          </w:p>
        </w:tc>
        <w:tc>
          <w:tcPr>
            <w:tcW w:type="dxa" w:w="1539"/>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3.220</w:t>
            </w:r>
          </w:p>
        </w:tc>
        <w:tc>
          <w:tcPr>
            <w:tcW w:type="dxa" w:w="1539"/>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sz w:val="17"/>
              </w:rPr>
              <w:t>32.869</w:t>
            </w:r>
          </w:p>
        </w:tc>
      </w:tr>
      <w:tr>
        <w:tc>
          <w:tcPr>
            <w:tcW w:type="dxa" w:w="1539"/>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D240</w:t>
            </w:r>
          </w:p>
        </w:tc>
        <w:tc>
          <w:tcPr>
            <w:tcW w:type="dxa" w:w="1539"/>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real-time</w:t>
            </w:r>
          </w:p>
        </w:tc>
        <w:tc>
          <w:tcPr>
            <w:tcW w:type="dxa" w:w="1539"/>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20.686</w:t>
            </w:r>
          </w:p>
        </w:tc>
        <w:tc>
          <w:tcPr>
            <w:tcW w:type="dxa" w:w="1539"/>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23.815</w:t>
            </w:r>
          </w:p>
        </w:tc>
        <w:tc>
          <w:tcPr>
            <w:tcW w:type="dxa" w:w="1539"/>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14.798</w:t>
            </w:r>
          </w:p>
        </w:tc>
        <w:tc>
          <w:tcPr>
            <w:tcW w:type="dxa" w:w="1539"/>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19.169</w:t>
            </w:r>
          </w:p>
        </w:tc>
        <w:tc>
          <w:tcPr>
            <w:tcW w:type="dxa" w:w="1539"/>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sz w:val="17"/>
              </w:rPr>
              <w:t>78.467</w:t>
            </w:r>
          </w:p>
        </w:tc>
      </w:tr>
    </w:tbl>
    <w:p>
      <w:pPr>
        <w:spacing w:after="40"/>
      </w:pPr>
    </w:p>
    <w:p>
      <w:pPr>
        <w:spacing w:after="160"/>
        <w:jc w:val="left"/>
      </w:pPr>
      <w:r>
        <w:rPr>
          <w:i/>
          <w:color w:val="333333"/>
          <w:sz w:val="18"/>
        </w:rPr>
        <w:t>Tabella 5 — Contributi dei moduli -J e Sustainability Accounting grezza. Valori dimostrativi.</w:t>
      </w:r>
    </w:p>
    <w:p>
      <w:pPr>
        <w:jc w:val="center"/>
      </w:pPr>
      <w:r>
        <w:drawing>
          <wp:inline xmlns:a="http://schemas.openxmlformats.org/drawingml/2006/main" xmlns:pic="http://schemas.openxmlformats.org/drawingml/2006/picture">
            <wp:extent cx="4680000" cy="2467567"/>
            <wp:docPr id="24" name="Picture 24"/>
            <wp:cNvGraphicFramePr>
              <a:graphicFrameLocks noChangeAspect="1"/>
            </wp:cNvGraphicFramePr>
            <a:graphic>
              <a:graphicData uri="http://schemas.openxmlformats.org/drawingml/2006/picture">
                <pic:pic>
                  <pic:nvPicPr>
                    <pic:cNvPr id="0" name="fig4_contributi.png"/>
                    <pic:cNvPicPr/>
                  </pic:nvPicPr>
                  <pic:blipFill>
                    <a:blip r:embed="rId64">
                      <a:extLst>
                        <a:ext uri="{96DAC541-7F89-4952-8B84-B3F5B99F14F2}">
                          <asvg:svgBlip xmlns:asvg="http://schemas.microsoft.com/office/drawing/2016/SVG/main" r:embed="rId65"/>
                        </a:ext>
                      </a:extLst>
                    </a:blip>
                    <a:stretch>
                      <a:fillRect/>
                    </a:stretch>
                  </pic:blipFill>
                  <pic:spPr>
                    <a:xfrm>
                      <a:off x="0" y="0"/>
                      <a:ext cx="4680000" cy="2467567"/>
                    </a:xfrm>
                    <a:prstGeom prst="rect"/>
                  </pic:spPr>
                </pic:pic>
              </a:graphicData>
            </a:graphic>
          </wp:inline>
        </w:drawing>
      </w:r>
    </w:p>
    <w:p>
      <w:pPr>
        <w:spacing w:after="160"/>
        <w:jc w:val="left"/>
      </w:pPr>
      <w:r>
        <w:rPr>
          <w:i/>
          <w:color w:val="333333"/>
          <w:sz w:val="18"/>
        </w:rPr>
        <w:t>Figura 4 — Scomposizione dei contributi per unità (scenario real-time).</w:t>
      </w:r>
    </w:p>
    <w:p>
      <w:pPr>
        <w:spacing w:before="160" w:after="60"/>
      </w:pPr>
      <w:r>
        <w:rPr>
          <w:rFonts w:ascii="Calibri" w:hAnsi="Calibri"/>
          <w:b/>
          <w:color w:val="024C41"/>
          <w:sz w:val="26"/>
        </w:rPr>
        <w:t>3.5 Sustainability Accounting ponderata (Tabella 6)</w:t>
      </w:r>
    </w:p>
    <w:tbl>
      <w:tblPr>
        <w:tblW w:type="auto" w:w="0"/>
        <w:jc w:val="center"/>
        <w:tblLook w:firstColumn="1" w:firstRow="1" w:lastColumn="0" w:lastRow="0" w:noHBand="0" w:noVBand="1" w:val="04A0"/>
      </w:tblPr>
      <w:tblGrid>
        <w:gridCol w:w="1795"/>
        <w:gridCol w:w="1795"/>
        <w:gridCol w:w="1795"/>
        <w:gridCol w:w="1795"/>
        <w:gridCol w:w="1795"/>
        <w:gridCol w:w="1795"/>
      </w:tblGrid>
      <w:tr>
        <w:trPr>
          <w:tblHeader w:val="true"/>
        </w:trPr>
        <w:tc>
          <w:tcPr>
            <w:tcW w:type="dxa" w:w="1795"/>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Unità</w:t>
            </w:r>
          </w:p>
        </w:tc>
        <w:tc>
          <w:tcPr>
            <w:tcW w:type="dxa" w:w="1795"/>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Scenario</w:t>
            </w:r>
          </w:p>
        </w:tc>
        <w:tc>
          <w:tcPr>
            <w:tcW w:type="dxa" w:w="1795"/>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SA_raw (GJ)</w:t>
            </w:r>
          </w:p>
        </w:tc>
        <w:tc>
          <w:tcPr>
            <w:tcW w:type="dxa" w:w="1795"/>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SA_w (GJ)</w:t>
            </w:r>
          </w:p>
        </w:tc>
        <w:tc>
          <w:tcPr>
            <w:tcW w:type="dxa" w:w="1795"/>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Ex_ref (GJ)</w:t>
            </w:r>
          </w:p>
        </w:tc>
        <w:tc>
          <w:tcPr>
            <w:tcW w:type="dxa" w:w="1795"/>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Φ</w:t>
            </w:r>
          </w:p>
        </w:tc>
      </w:tr>
      <w:tr>
        <w:tc>
          <w:tcPr>
            <w:tcW w:type="dxa" w:w="1795"/>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D020</w:t>
            </w:r>
          </w:p>
        </w:tc>
        <w:tc>
          <w:tcPr>
            <w:tcW w:type="dxa" w:w="1795"/>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storico</w:t>
            </w:r>
          </w:p>
        </w:tc>
        <w:tc>
          <w:tcPr>
            <w:tcW w:type="dxa" w:w="1795"/>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25.903</w:t>
            </w:r>
          </w:p>
        </w:tc>
        <w:tc>
          <w:tcPr>
            <w:tcW w:type="dxa" w:w="1795"/>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5.900</w:t>
            </w:r>
          </w:p>
        </w:tc>
        <w:tc>
          <w:tcPr>
            <w:tcW w:type="dxa" w:w="1795"/>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197.600</w:t>
            </w:r>
          </w:p>
        </w:tc>
        <w:tc>
          <w:tcPr>
            <w:tcW w:type="dxa" w:w="1795"/>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0,0299</w:t>
            </w:r>
          </w:p>
        </w:tc>
      </w:tr>
      <w:tr>
        <w:tc>
          <w:tcPr>
            <w:tcW w:type="dxa" w:w="1795"/>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D020</w:t>
            </w:r>
          </w:p>
        </w:tc>
        <w:tc>
          <w:tcPr>
            <w:tcW w:type="dxa" w:w="1795"/>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real-time</w:t>
            </w:r>
          </w:p>
        </w:tc>
        <w:tc>
          <w:tcPr>
            <w:tcW w:type="dxa" w:w="1795"/>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61.839</w:t>
            </w:r>
          </w:p>
        </w:tc>
        <w:tc>
          <w:tcPr>
            <w:tcW w:type="dxa" w:w="1795"/>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15.747</w:t>
            </w:r>
          </w:p>
        </w:tc>
        <w:tc>
          <w:tcPr>
            <w:tcW w:type="dxa" w:w="1795"/>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186.200</w:t>
            </w:r>
          </w:p>
        </w:tc>
        <w:tc>
          <w:tcPr>
            <w:tcW w:type="dxa" w:w="1795"/>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0,0846</w:t>
            </w:r>
          </w:p>
        </w:tc>
      </w:tr>
      <w:tr>
        <w:tc>
          <w:tcPr>
            <w:tcW w:type="dxa" w:w="1795"/>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D060</w:t>
            </w:r>
          </w:p>
        </w:tc>
        <w:tc>
          <w:tcPr>
            <w:tcW w:type="dxa" w:w="1795"/>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storico</w:t>
            </w:r>
          </w:p>
        </w:tc>
        <w:tc>
          <w:tcPr>
            <w:tcW w:type="dxa" w:w="1795"/>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42.040</w:t>
            </w:r>
          </w:p>
        </w:tc>
        <w:tc>
          <w:tcPr>
            <w:tcW w:type="dxa" w:w="1795"/>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9.576</w:t>
            </w:r>
          </w:p>
        </w:tc>
        <w:tc>
          <w:tcPr>
            <w:tcW w:type="dxa" w:w="1795"/>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316.800</w:t>
            </w:r>
          </w:p>
        </w:tc>
        <w:tc>
          <w:tcPr>
            <w:tcW w:type="dxa" w:w="1795"/>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0,0302</w:t>
            </w:r>
          </w:p>
        </w:tc>
      </w:tr>
      <w:tr>
        <w:tc>
          <w:tcPr>
            <w:tcW w:type="dxa" w:w="1795"/>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D060</w:t>
            </w:r>
          </w:p>
        </w:tc>
        <w:tc>
          <w:tcPr>
            <w:tcW w:type="dxa" w:w="1795"/>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real-time</w:t>
            </w:r>
          </w:p>
        </w:tc>
        <w:tc>
          <w:tcPr>
            <w:tcW w:type="dxa" w:w="1795"/>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100.362</w:t>
            </w:r>
          </w:p>
        </w:tc>
        <w:tc>
          <w:tcPr>
            <w:tcW w:type="dxa" w:w="1795"/>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25.556</w:t>
            </w:r>
          </w:p>
        </w:tc>
        <w:tc>
          <w:tcPr>
            <w:tcW w:type="dxa" w:w="1795"/>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295.680</w:t>
            </w:r>
          </w:p>
        </w:tc>
        <w:tc>
          <w:tcPr>
            <w:tcW w:type="dxa" w:w="1795"/>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0,0864</w:t>
            </w:r>
          </w:p>
        </w:tc>
      </w:tr>
      <w:tr>
        <w:tc>
          <w:tcPr>
            <w:tcW w:type="dxa" w:w="1795"/>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D240</w:t>
            </w:r>
          </w:p>
        </w:tc>
        <w:tc>
          <w:tcPr>
            <w:tcW w:type="dxa" w:w="1795"/>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storico</w:t>
            </w:r>
          </w:p>
        </w:tc>
        <w:tc>
          <w:tcPr>
            <w:tcW w:type="dxa" w:w="1795"/>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32.869</w:t>
            </w:r>
          </w:p>
        </w:tc>
        <w:tc>
          <w:tcPr>
            <w:tcW w:type="dxa" w:w="1795"/>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7.487</w:t>
            </w:r>
          </w:p>
        </w:tc>
        <w:tc>
          <w:tcPr>
            <w:tcW w:type="dxa" w:w="1795"/>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243.780</w:t>
            </w:r>
          </w:p>
        </w:tc>
        <w:tc>
          <w:tcPr>
            <w:tcW w:type="dxa" w:w="1795"/>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0,0307</w:t>
            </w:r>
          </w:p>
        </w:tc>
      </w:tr>
      <w:tr>
        <w:tc>
          <w:tcPr>
            <w:tcW w:type="dxa" w:w="1795"/>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D240</w:t>
            </w:r>
          </w:p>
        </w:tc>
        <w:tc>
          <w:tcPr>
            <w:tcW w:type="dxa" w:w="1795"/>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real-time</w:t>
            </w:r>
          </w:p>
        </w:tc>
        <w:tc>
          <w:tcPr>
            <w:tcW w:type="dxa" w:w="1795"/>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78.467</w:t>
            </w:r>
          </w:p>
        </w:tc>
        <w:tc>
          <w:tcPr>
            <w:tcW w:type="dxa" w:w="1795"/>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19.981</w:t>
            </w:r>
          </w:p>
        </w:tc>
        <w:tc>
          <w:tcPr>
            <w:tcW w:type="dxa" w:w="1795"/>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231.030</w:t>
            </w:r>
          </w:p>
        </w:tc>
        <w:tc>
          <w:tcPr>
            <w:tcW w:type="dxa" w:w="1795"/>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0,0865</w:t>
            </w:r>
          </w:p>
        </w:tc>
      </w:tr>
    </w:tbl>
    <w:p>
      <w:pPr>
        <w:spacing w:after="40"/>
      </w:pPr>
    </w:p>
    <w:p>
      <w:pPr>
        <w:spacing w:after="160"/>
        <w:jc w:val="left"/>
      </w:pPr>
      <w:r>
        <w:rPr>
          <w:i/>
          <w:color w:val="333333"/>
          <w:sz w:val="18"/>
        </w:rPr>
        <w:t>Tabella 6 — Sustainability Accounting ponderata (pesi AHP) e score multidimensionale Φ = SA_w/Ex_ref. Valori dimostrativi.</w:t>
      </w:r>
    </w:p>
    <w:p>
      <w:pPr>
        <w:spacing w:before="160" w:after="60"/>
      </w:pPr>
      <w:r>
        <w:rPr>
          <w:rFonts w:ascii="Calibri" w:hAnsi="Calibri"/>
          <w:b/>
          <w:color w:val="024C41"/>
          <w:sz w:val="26"/>
        </w:rPr>
        <w:t>3.6 Indice Termodinamico di Sostenibilità (Tabella 7, Figure 3 e 5)</w:t>
      </w:r>
    </w:p>
    <w:tbl>
      <w:tblPr>
        <w:tblW w:type="auto" w:w="0"/>
        <w:jc w:val="center"/>
        <w:tblLook w:firstColumn="1" w:firstRow="1" w:lastColumn="0" w:lastRow="0" w:noHBand="0" w:noVBand="1" w:val="04A0"/>
      </w:tblPr>
      <w:tblGrid>
        <w:gridCol w:w="2154"/>
        <w:gridCol w:w="2154"/>
        <w:gridCol w:w="2154"/>
        <w:gridCol w:w="2154"/>
        <w:gridCol w:w="2154"/>
      </w:tblGrid>
      <w:tr>
        <w:trPr>
          <w:tblHeader w:val="true"/>
        </w:trPr>
        <w:tc>
          <w:tcPr>
            <w:tcW w:type="dxa" w:w="2154"/>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Unità</w:t>
            </w:r>
          </w:p>
        </w:tc>
        <w:tc>
          <w:tcPr>
            <w:tcW w:type="dxa" w:w="2154"/>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TSI_abs storico</w:t>
            </w:r>
          </w:p>
        </w:tc>
        <w:tc>
          <w:tcPr>
            <w:tcW w:type="dxa" w:w="2154"/>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TSI_abs real-time</w:t>
            </w:r>
          </w:p>
        </w:tc>
        <w:tc>
          <w:tcPr>
            <w:tcW w:type="dxa" w:w="2154"/>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TSI_rel</w:t>
            </w:r>
          </w:p>
        </w:tc>
        <w:tc>
          <w:tcPr>
            <w:tcW w:type="dxa" w:w="2154"/>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Δ TSI</w:t>
            </w:r>
          </w:p>
        </w:tc>
      </w:tr>
      <w:tr>
        <w:tc>
          <w:tcPr>
            <w:tcW w:type="dxa" w:w="2154"/>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D020</w:t>
            </w:r>
          </w:p>
        </w:tc>
        <w:tc>
          <w:tcPr>
            <w:tcW w:type="dxa" w:w="2154"/>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0,0889</w:t>
            </w:r>
          </w:p>
        </w:tc>
        <w:tc>
          <w:tcPr>
            <w:tcW w:type="dxa" w:w="2154"/>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0,1238</w:t>
            </w:r>
          </w:p>
        </w:tc>
        <w:tc>
          <w:tcPr>
            <w:tcW w:type="dxa" w:w="2154"/>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1,392</w:t>
            </w:r>
          </w:p>
        </w:tc>
        <w:tc>
          <w:tcPr>
            <w:tcW w:type="dxa" w:w="2154"/>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+39,2 %</w:t>
            </w:r>
          </w:p>
        </w:tc>
      </w:tr>
      <w:tr>
        <w:tc>
          <w:tcPr>
            <w:tcW w:type="dxa" w:w="2154"/>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D060</w:t>
            </w:r>
          </w:p>
        </w:tc>
        <w:tc>
          <w:tcPr>
            <w:tcW w:type="dxa" w:w="2154"/>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0,0931</w:t>
            </w:r>
          </w:p>
        </w:tc>
        <w:tc>
          <w:tcPr>
            <w:tcW w:type="dxa" w:w="2154"/>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0,1292</w:t>
            </w:r>
          </w:p>
        </w:tc>
        <w:tc>
          <w:tcPr>
            <w:tcW w:type="dxa" w:w="2154"/>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1,388</w:t>
            </w:r>
          </w:p>
        </w:tc>
        <w:tc>
          <w:tcPr>
            <w:tcW w:type="dxa" w:w="2154"/>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+38,8 %</w:t>
            </w:r>
          </w:p>
        </w:tc>
      </w:tr>
      <w:tr>
        <w:tc>
          <w:tcPr>
            <w:tcW w:type="dxa" w:w="2154"/>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D240</w:t>
            </w:r>
          </w:p>
        </w:tc>
        <w:tc>
          <w:tcPr>
            <w:tcW w:type="dxa" w:w="2154"/>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0,0959</w:t>
            </w:r>
          </w:p>
        </w:tc>
        <w:tc>
          <w:tcPr>
            <w:tcW w:type="dxa" w:w="2154"/>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0,1307</w:t>
            </w:r>
          </w:p>
        </w:tc>
        <w:tc>
          <w:tcPr>
            <w:tcW w:type="dxa" w:w="2154"/>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1,364</w:t>
            </w:r>
          </w:p>
        </w:tc>
        <w:tc>
          <w:tcPr>
            <w:tcW w:type="dxa" w:w="2154"/>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+36,4 %</w:t>
            </w:r>
          </w:p>
        </w:tc>
      </w:tr>
    </w:tbl>
    <w:p>
      <w:pPr>
        <w:spacing w:after="40"/>
      </w:pPr>
    </w:p>
    <w:p>
      <w:pPr>
        <w:spacing w:after="160"/>
        <w:jc w:val="left"/>
      </w:pPr>
      <w:r>
        <w:rPr>
          <w:i/>
          <w:color w:val="333333"/>
          <w:sz w:val="18"/>
        </w:rPr>
        <w:t>Tabella 7 — TSI_abs (storico e real-time), TSI_rel = TSI_abs,rt/TSI_abs,stor e variazione. Valori dimostrativi.</w:t>
      </w:r>
    </w:p>
    <w:p>
      <w:pPr>
        <w:jc w:val="center"/>
      </w:pPr>
      <w:r>
        <w:drawing>
          <wp:inline xmlns:a="http://schemas.openxmlformats.org/drawingml/2006/main" xmlns:pic="http://schemas.openxmlformats.org/drawingml/2006/picture">
            <wp:extent cx="4320000" cy="2569826"/>
            <wp:docPr id="25" name="Picture 25"/>
            <wp:cNvGraphicFramePr>
              <a:graphicFrameLocks noChangeAspect="1"/>
            </wp:cNvGraphicFramePr>
            <a:graphic>
              <a:graphicData uri="http://schemas.openxmlformats.org/drawingml/2006/picture">
                <pic:pic>
                  <pic:nvPicPr>
                    <pic:cNvPr id="0" name="fig3_tsi.png"/>
                    <pic:cNvPicPr/>
                  </pic:nvPicPr>
                  <pic:blipFill>
                    <a:blip r:embed="rId66">
                      <a:extLst>
                        <a:ext uri="{96DAC541-7F89-4952-8B84-B3F5B99F14F2}">
                          <asvg:svgBlip xmlns:asvg="http://schemas.microsoft.com/office/drawing/2016/SVG/main" r:embed="rId67"/>
                        </a:ext>
                      </a:extLst>
                    </a:blip>
                    <a:stretch>
                      <a:fillRect/>
                    </a:stretch>
                  </pic:blipFill>
                  <pic:spPr>
                    <a:xfrm>
                      <a:off x="0" y="0"/>
                      <a:ext cx="4320000" cy="2569826"/>
                    </a:xfrm>
                    <a:prstGeom prst="rect"/>
                  </pic:spPr>
                </pic:pic>
              </a:graphicData>
            </a:graphic>
          </wp:inline>
        </w:drawing>
      </w:r>
    </w:p>
    <w:p>
      <w:pPr>
        <w:spacing w:after="160"/>
        <w:jc w:val="left"/>
      </w:pPr>
      <w:r>
        <w:rPr>
          <w:i/>
          <w:color w:val="333333"/>
          <w:sz w:val="18"/>
        </w:rPr>
        <w:t>Figura 3 — TSI_abs storico vs real-time per unità produttiva.</w:t>
      </w:r>
    </w:p>
    <w:p>
      <w:pPr>
        <w:jc w:val="center"/>
      </w:pPr>
      <w:r>
        <w:drawing>
          <wp:inline xmlns:a="http://schemas.openxmlformats.org/drawingml/2006/main" xmlns:pic="http://schemas.openxmlformats.org/drawingml/2006/picture">
            <wp:extent cx="4140000" cy="2744709"/>
            <wp:docPr id="26" name="Picture 26"/>
            <wp:cNvGraphicFramePr>
              <a:graphicFrameLocks noChangeAspect="1"/>
            </wp:cNvGraphicFramePr>
            <a:graphic>
              <a:graphicData uri="http://schemas.openxmlformats.org/drawingml/2006/picture">
                <pic:pic>
                  <pic:nvPicPr>
                    <pic:cNvPr id="0" name="fig5_phi_psi.png"/>
                    <pic:cNvPicPr/>
                  </pic:nvPicPr>
                  <pic:blipFill>
                    <a:blip r:embed="rId68">
                      <a:extLst>
                        <a:ext uri="{96DAC541-7F89-4952-8B84-B3F5B99F14F2}">
                          <asvg:svgBlip xmlns:asvg="http://schemas.microsoft.com/office/drawing/2016/SVG/main" r:embed="rId69"/>
                        </a:ext>
                      </a:extLst>
                    </a:blip>
                    <a:stretch>
                      <a:fillRect/>
                    </a:stretch>
                  </pic:blipFill>
                  <pic:spPr>
                    <a:xfrm>
                      <a:off x="0" y="0"/>
                      <a:ext cx="4140000" cy="2744709"/>
                    </a:xfrm>
                    <a:prstGeom prst="rect"/>
                  </pic:spPr>
                </pic:pic>
              </a:graphicData>
            </a:graphic>
          </wp:inline>
        </w:drawing>
      </w:r>
    </w:p>
    <w:p>
      <w:pPr>
        <w:spacing w:after="160"/>
        <w:jc w:val="left"/>
      </w:pPr>
      <w:r>
        <w:rPr>
          <w:i/>
          <w:color w:val="333333"/>
          <w:sz w:val="18"/>
        </w:rPr>
        <w:t>Figura 5 — Posizionamento delle unità nel piano Φ–Ψ (freccia: storico → real-time).</w:t>
      </w:r>
    </w:p>
    <w:p>
      <w:pPr>
        <w:spacing w:before="160" w:after="60"/>
      </w:pPr>
      <w:r>
        <w:rPr>
          <w:rFonts w:ascii="Calibri" w:hAnsi="Calibri"/>
          <w:b/>
          <w:color w:val="024C41"/>
          <w:sz w:val="26"/>
        </w:rPr>
        <w:t>3.7 Analisi di sensibilità (Tabella 8, Figura 6)</w:t>
      </w:r>
    </w:p>
    <w:tbl>
      <w:tblPr>
        <w:tblW w:type="auto" w:w="0"/>
        <w:jc w:val="center"/>
        <w:tblLook w:firstColumn="1" w:firstRow="1" w:lastColumn="0" w:lastRow="0" w:noHBand="0" w:noVBand="1" w:val="04A0"/>
      </w:tblPr>
      <w:tblGrid>
        <w:gridCol w:w="2693"/>
        <w:gridCol w:w="2693"/>
        <w:gridCol w:w="2693"/>
        <w:gridCol w:w="2693"/>
      </w:tblGrid>
      <w:tr>
        <w:trPr>
          <w:tblHeader w:val="true"/>
        </w:trPr>
        <w:tc>
          <w:tcPr>
            <w:tcW w:type="dxa" w:w="2693"/>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Scenario</w:t>
            </w:r>
          </w:p>
        </w:tc>
        <w:tc>
          <w:tcPr>
            <w:tcW w:type="dxa" w:w="2693"/>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TSI_rel min</w:t>
            </w:r>
          </w:p>
        </w:tc>
        <w:tc>
          <w:tcPr>
            <w:tcW w:type="dxa" w:w="2693"/>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TSI_rel max</w:t>
            </w:r>
          </w:p>
        </w:tc>
        <w:tc>
          <w:tcPr>
            <w:tcW w:type="dxa" w:w="2693"/>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Ordinamento unità</w:t>
            </w:r>
          </w:p>
        </w:tc>
      </w:tr>
      <w:tr>
        <w:tc>
          <w:tcPr>
            <w:tcW w:type="dxa" w:w="2693"/>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Caso base (pesi AHP; alpha=beta=0.5)</w:t>
            </w:r>
          </w:p>
        </w:tc>
        <w:tc>
          <w:tcPr>
            <w:tcW w:type="dxa" w:w="2693"/>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1,364</w:t>
            </w:r>
          </w:p>
        </w:tc>
        <w:tc>
          <w:tcPr>
            <w:tcW w:type="dxa" w:w="2693"/>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1,392</w:t>
            </w:r>
          </w:p>
        </w:tc>
        <w:tc>
          <w:tcPr>
            <w:tcW w:type="dxa" w:w="2693"/>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D240&gt;D060&gt;D020</w:t>
            </w:r>
          </w:p>
        </w:tc>
      </w:tr>
      <w:tr>
        <w:tc>
          <w:tcPr>
            <w:tcW w:type="dxa" w:w="2693"/>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Coefficienti footprint +10%</w:t>
            </w:r>
          </w:p>
        </w:tc>
        <w:tc>
          <w:tcPr>
            <w:tcW w:type="dxa" w:w="2693"/>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1,387</w:t>
            </w:r>
          </w:p>
        </w:tc>
        <w:tc>
          <w:tcPr>
            <w:tcW w:type="dxa" w:w="2693"/>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1,416</w:t>
            </w:r>
          </w:p>
        </w:tc>
        <w:tc>
          <w:tcPr>
            <w:tcW w:type="dxa" w:w="2693"/>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D240&gt;D060&gt;D020</w:t>
            </w:r>
          </w:p>
        </w:tc>
      </w:tr>
      <w:tr>
        <w:tc>
          <w:tcPr>
            <w:tcW w:type="dxa" w:w="2693"/>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Coefficienti footprint -10%</w:t>
            </w:r>
          </w:p>
        </w:tc>
        <w:tc>
          <w:tcPr>
            <w:tcW w:type="dxa" w:w="2693"/>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1,340</w:t>
            </w:r>
          </w:p>
        </w:tc>
        <w:tc>
          <w:tcPr>
            <w:tcW w:type="dxa" w:w="2693"/>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1,367</w:t>
            </w:r>
          </w:p>
        </w:tc>
        <w:tc>
          <w:tcPr>
            <w:tcW w:type="dxa" w:w="2693"/>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D240&gt;D060&gt;D020</w:t>
            </w:r>
          </w:p>
        </w:tc>
      </w:tr>
      <w:tr>
        <w:tc>
          <w:tcPr>
            <w:tcW w:type="dxa" w:w="2693"/>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Efficienza exergica Psi +10%</w:t>
            </w:r>
          </w:p>
        </w:tc>
        <w:tc>
          <w:tcPr>
            <w:tcW w:type="dxa" w:w="2693"/>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1,342</w:t>
            </w:r>
          </w:p>
        </w:tc>
        <w:tc>
          <w:tcPr>
            <w:tcW w:type="dxa" w:w="2693"/>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1,370</w:t>
            </w:r>
          </w:p>
        </w:tc>
        <w:tc>
          <w:tcPr>
            <w:tcW w:type="dxa" w:w="2693"/>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D240&gt;D060&gt;D020</w:t>
            </w:r>
          </w:p>
        </w:tc>
      </w:tr>
      <w:tr>
        <w:tc>
          <w:tcPr>
            <w:tcW w:type="dxa" w:w="2693"/>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Efficienza exergica Psi -10%</w:t>
            </w:r>
          </w:p>
        </w:tc>
        <w:tc>
          <w:tcPr>
            <w:tcW w:type="dxa" w:w="2693"/>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1,389</w:t>
            </w:r>
          </w:p>
        </w:tc>
        <w:tc>
          <w:tcPr>
            <w:tcW w:type="dxa" w:w="2693"/>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1,418</w:t>
            </w:r>
          </w:p>
        </w:tc>
        <w:tc>
          <w:tcPr>
            <w:tcW w:type="dxa" w:w="2693"/>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D240&gt;D060&gt;D020</w:t>
            </w:r>
          </w:p>
        </w:tc>
      </w:tr>
      <w:tr>
        <w:tc>
          <w:tcPr>
            <w:tcW w:type="dxa" w:w="2693"/>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Pesi AHP equidistribuiti (0.25)</w:t>
            </w:r>
          </w:p>
        </w:tc>
        <w:tc>
          <w:tcPr>
            <w:tcW w:type="dxa" w:w="2693"/>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1,335</w:t>
            </w:r>
          </w:p>
        </w:tc>
        <w:tc>
          <w:tcPr>
            <w:tcW w:type="dxa" w:w="2693"/>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1,361</w:t>
            </w:r>
          </w:p>
        </w:tc>
        <w:tc>
          <w:tcPr>
            <w:tcW w:type="dxa" w:w="2693"/>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D240&gt;D060&gt;D020</w:t>
            </w:r>
          </w:p>
        </w:tc>
      </w:tr>
      <w:tr>
        <w:tc>
          <w:tcPr>
            <w:tcW w:type="dxa" w:w="2693"/>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Focus exergico (alpha=0.4, beta=0.6)</w:t>
            </w:r>
          </w:p>
        </w:tc>
        <w:tc>
          <w:tcPr>
            <w:tcW w:type="dxa" w:w="2693"/>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1,282</w:t>
            </w:r>
          </w:p>
        </w:tc>
        <w:tc>
          <w:tcPr>
            <w:tcW w:type="dxa" w:w="2693"/>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1,307</w:t>
            </w:r>
          </w:p>
        </w:tc>
        <w:tc>
          <w:tcPr>
            <w:tcW w:type="dxa" w:w="2693"/>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D240&gt;D060&gt;D020</w:t>
            </w:r>
          </w:p>
        </w:tc>
      </w:tr>
      <w:tr>
        <w:tc>
          <w:tcPr>
            <w:tcW w:type="dxa" w:w="2693"/>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Focus multidimensionale (alpha=0.6, beta=0.4)</w:t>
            </w:r>
          </w:p>
        </w:tc>
        <w:tc>
          <w:tcPr>
            <w:tcW w:type="dxa" w:w="2693"/>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1,472</w:t>
            </w:r>
          </w:p>
        </w:tc>
        <w:tc>
          <w:tcPr>
            <w:tcW w:type="dxa" w:w="2693"/>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1,503</w:t>
            </w:r>
          </w:p>
        </w:tc>
        <w:tc>
          <w:tcPr>
            <w:tcW w:type="dxa" w:w="2693"/>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D240&gt;D060&gt;D020</w:t>
            </w:r>
          </w:p>
        </w:tc>
      </w:tr>
    </w:tbl>
    <w:p>
      <w:pPr>
        <w:spacing w:after="40"/>
      </w:pPr>
    </w:p>
    <w:p>
      <w:pPr>
        <w:spacing w:after="160"/>
        <w:jc w:val="left"/>
      </w:pPr>
      <w:r>
        <w:rPr>
          <w:i/>
          <w:color w:val="333333"/>
          <w:sz w:val="18"/>
        </w:rPr>
        <w:t>Tabella 8 — Sensibilità di TSI_rel (intervallo tra le tre unità) e stabilità dell'ordinamento. Valori dimostrativi.</w:t>
      </w:r>
    </w:p>
    <w:p>
      <w:pPr>
        <w:jc w:val="center"/>
      </w:pPr>
      <w:r>
        <w:drawing>
          <wp:inline xmlns:a="http://schemas.openxmlformats.org/drawingml/2006/main" xmlns:pic="http://schemas.openxmlformats.org/drawingml/2006/picture">
            <wp:extent cx="5400000" cy="2285714"/>
            <wp:docPr id="27" name="Picture 27"/>
            <wp:cNvGraphicFramePr>
              <a:graphicFrameLocks noChangeAspect="1"/>
            </wp:cNvGraphicFramePr>
            <a:graphic>
              <a:graphicData uri="http://schemas.openxmlformats.org/drawingml/2006/picture">
                <pic:pic>
                  <pic:nvPicPr>
                    <pic:cNvPr id="0" name="fig6_sensibilita.png"/>
                    <pic:cNvPicPr/>
                  </pic:nvPicPr>
                  <pic:blipFill>
                    <a:blip r:embed="rId70">
                      <a:extLst>
                        <a:ext uri="{96DAC541-7F89-4952-8B84-B3F5B99F14F2}">
                          <asvg:svgBlip xmlns:asvg="http://schemas.microsoft.com/office/drawing/2016/SVG/main" r:embed="rId71"/>
                        </a:ext>
                      </a:extLst>
                    </a:blip>
                    <a:stretch>
                      <a:fillRect/>
                    </a:stretch>
                  </pic:blipFill>
                  <pic:spPr>
                    <a:xfrm>
                      <a:off x="0" y="0"/>
                      <a:ext cx="5400000" cy="2285714"/>
                    </a:xfrm>
                    <a:prstGeom prst="rect"/>
                  </pic:spPr>
                </pic:pic>
              </a:graphicData>
            </a:graphic>
          </wp:inline>
        </w:drawing>
      </w:r>
    </w:p>
    <w:p>
      <w:pPr>
        <w:spacing w:after="160"/>
        <w:jc w:val="left"/>
      </w:pPr>
      <w:r>
        <w:rPr>
          <w:i/>
          <w:color w:val="333333"/>
          <w:sz w:val="18"/>
        </w:rPr>
        <w:t>Figura 6 — Intervalli di TSI_rel per scenario di sensibilità (riferimento TSI_rel = 1).</w:t>
      </w:r>
    </w:p>
    <w:p>
      <w:pPr>
        <w:spacing w:after="120"/>
        <w:jc w:val="both"/>
      </w:pPr>
      <w:r>
        <w:rPr>
          <w:rFonts w:ascii="Calibri" w:hAnsi="Calibri"/>
          <w:b w:val="0"/>
          <w:sz w:val="22"/>
        </w:rPr>
        <w:t xml:space="preserve">In tutti gli scenari testati TSI_rel resta </w:t>
      </w:r>
      <w:r>
        <w:rPr>
          <w:rFonts w:ascii="Calibri" w:hAnsi="Calibri"/>
          <w:b/>
          <w:sz w:val="22"/>
        </w:rPr>
        <w:t>&gt; 1</w:t>
      </w:r>
      <w:r>
        <w:rPr>
          <w:rFonts w:ascii="Calibri" w:hAnsi="Calibri"/>
          <w:b w:val="0"/>
          <w:sz w:val="22"/>
        </w:rPr>
        <w:t xml:space="preserve"> (intervallo complessivo 1,282–1,503) e l'</w:t>
      </w:r>
      <w:r>
        <w:rPr>
          <w:rFonts w:ascii="Calibri" w:hAnsi="Calibri"/>
          <w:b/>
          <w:sz w:val="22"/>
        </w:rPr>
        <w:t>ordinamento D240 &gt; D060 &gt; D020 si mantiene invariato</w:t>
      </w:r>
      <w:r>
        <w:rPr>
          <w:rFonts w:ascii="Calibri" w:hAnsi="Calibri"/>
          <w:b w:val="0"/>
          <w:sz w:val="22"/>
        </w:rPr>
        <w:t>: il segno del miglioramento storico→real-time e la gerarchia tra unità sono robusti rispetto alle scelte di ponderazione.</w:t>
      </w:r>
    </w:p>
    <w:p>
      <w:pPr>
        <w:spacing w:before="160" w:after="60"/>
      </w:pPr>
      <w:r>
        <w:rPr>
          <w:rFonts w:ascii="Calibri" w:hAnsi="Calibri"/>
          <w:b/>
          <w:color w:val="024C41"/>
          <w:sz w:val="26"/>
        </w:rPr>
        <w:t>3.8 Controlli di coerenza (Tabella 9)</w:t>
      </w:r>
    </w:p>
    <w:tbl>
      <w:tblPr>
        <w:tblW w:type="auto" w:w="0"/>
        <w:jc w:val="center"/>
        <w:tblLook w:firstColumn="1" w:firstRow="1" w:lastColumn="0" w:lastRow="0" w:noHBand="0" w:noVBand="1" w:val="04A0"/>
      </w:tblPr>
      <w:tblGrid>
        <w:gridCol w:w="2693"/>
        <w:gridCol w:w="2693"/>
        <w:gridCol w:w="2693"/>
        <w:gridCol w:w="2693"/>
      </w:tblGrid>
      <w:tr>
        <w:trPr>
          <w:tblHeader w:val="true"/>
        </w:trPr>
        <w:tc>
          <w:tcPr>
            <w:tcW w:type="dxa" w:w="2693"/>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Controllo</w:t>
            </w:r>
          </w:p>
        </w:tc>
        <w:tc>
          <w:tcPr>
            <w:tcW w:type="dxa" w:w="2693"/>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D020</w:t>
            </w:r>
          </w:p>
        </w:tc>
        <w:tc>
          <w:tcPr>
            <w:tcW w:type="dxa" w:w="2693"/>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D060</w:t>
            </w:r>
          </w:p>
        </w:tc>
        <w:tc>
          <w:tcPr>
            <w:tcW w:type="dxa" w:w="2693"/>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D240</w:t>
            </w:r>
          </w:p>
        </w:tc>
      </w:tr>
      <w:tr>
        <w:tc>
          <w:tcPr>
            <w:tcW w:type="dxa" w:w="2693"/>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Bilancio di massa (m_SDM ≤ m_RM+m_UW)</w:t>
            </w:r>
          </w:p>
        </w:tc>
        <w:tc>
          <w:tcPr>
            <w:tcW w:type="dxa" w:w="2693"/>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OK</w:t>
            </w:r>
          </w:p>
        </w:tc>
        <w:tc>
          <w:tcPr>
            <w:tcW w:type="dxa" w:w="2693"/>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OK</w:t>
            </w:r>
          </w:p>
        </w:tc>
        <w:tc>
          <w:tcPr>
            <w:tcW w:type="dxa" w:w="2693"/>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OK</w:t>
            </w:r>
          </w:p>
        </w:tc>
      </w:tr>
      <w:tr>
        <w:tc>
          <w:tcPr>
            <w:tcW w:type="dxa" w:w="2693"/>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Coerenza exergetica (Ex_loss ≥ 0)</w:t>
            </w:r>
          </w:p>
        </w:tc>
        <w:tc>
          <w:tcPr>
            <w:tcW w:type="dxa" w:w="2693"/>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OK</w:t>
            </w:r>
          </w:p>
        </w:tc>
        <w:tc>
          <w:tcPr>
            <w:tcW w:type="dxa" w:w="2693"/>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OK</w:t>
            </w:r>
          </w:p>
        </w:tc>
        <w:tc>
          <w:tcPr>
            <w:tcW w:type="dxa" w:w="2693"/>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OK</w:t>
            </w:r>
          </w:p>
        </w:tc>
      </w:tr>
      <w:tr>
        <w:tc>
          <w:tcPr>
            <w:tcW w:type="dxa" w:w="2693"/>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Coerenza unità (MJ interno, GJ output; /1.000)</w:t>
            </w:r>
          </w:p>
        </w:tc>
        <w:tc>
          <w:tcPr>
            <w:tcW w:type="dxa" w:w="2693"/>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OK</w:t>
            </w:r>
          </w:p>
        </w:tc>
        <w:tc>
          <w:tcPr>
            <w:tcW w:type="dxa" w:w="2693"/>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OK</w:t>
            </w:r>
          </w:p>
        </w:tc>
        <w:tc>
          <w:tcPr>
            <w:tcW w:type="dxa" w:w="2693"/>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OK</w:t>
            </w:r>
          </w:p>
        </w:tc>
      </w:tr>
      <w:tr>
        <w:tc>
          <w:tcPr>
            <w:tcW w:type="dxa" w:w="2693"/>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Assenza di doppio conteggio tra moduli</w:t>
            </w:r>
          </w:p>
        </w:tc>
        <w:tc>
          <w:tcPr>
            <w:tcW w:type="dxa" w:w="2693"/>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OK</w:t>
            </w:r>
          </w:p>
        </w:tc>
        <w:tc>
          <w:tcPr>
            <w:tcW w:type="dxa" w:w="2693"/>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OK</w:t>
            </w:r>
          </w:p>
        </w:tc>
        <w:tc>
          <w:tcPr>
            <w:tcW w:type="dxa" w:w="2693"/>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OK</w:t>
            </w:r>
          </w:p>
        </w:tc>
      </w:tr>
      <w:tr>
        <w:tc>
          <w:tcPr>
            <w:tcW w:type="dxa" w:w="2693"/>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Coefficienti tracciati e versionati</w:t>
            </w:r>
          </w:p>
        </w:tc>
        <w:tc>
          <w:tcPr>
            <w:tcW w:type="dxa" w:w="2693"/>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OK</w:t>
            </w:r>
          </w:p>
        </w:tc>
        <w:tc>
          <w:tcPr>
            <w:tcW w:type="dxa" w:w="2693"/>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OK</w:t>
            </w:r>
          </w:p>
        </w:tc>
        <w:tc>
          <w:tcPr>
            <w:tcW w:type="dxa" w:w="2693"/>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OK</w:t>
            </w:r>
          </w:p>
        </w:tc>
      </w:tr>
      <w:tr>
        <w:tc>
          <w:tcPr>
            <w:tcW w:type="dxa" w:w="2693"/>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Qualità/confidenza dati</w:t>
            </w:r>
          </w:p>
        </w:tc>
        <w:tc>
          <w:tcPr>
            <w:tcW w:type="dxa" w:w="2693"/>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C (DEMO)</w:t>
            </w:r>
          </w:p>
        </w:tc>
        <w:tc>
          <w:tcPr>
            <w:tcW w:type="dxa" w:w="2693"/>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C (DEMO)</w:t>
            </w:r>
          </w:p>
        </w:tc>
        <w:tc>
          <w:tcPr>
            <w:tcW w:type="dxa" w:w="2693"/>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C (DEMO)</w:t>
            </w:r>
          </w:p>
        </w:tc>
      </w:tr>
    </w:tbl>
    <w:p>
      <w:pPr>
        <w:spacing w:after="40"/>
      </w:pPr>
    </w:p>
    <w:p>
      <w:pPr>
        <w:spacing w:after="160"/>
        <w:jc w:val="left"/>
      </w:pPr>
      <w:r>
        <w:rPr>
          <w:i/>
          <w:color w:val="333333"/>
          <w:sz w:val="18"/>
        </w:rPr>
        <w:t>Tabella 9 — Controlli di qualità e coerenza. La confidenza C segnala la natura dimostrativa dei dati.</w:t>
      </w:r>
    </w:p>
    <w:p>
      <w:pPr>
        <w:spacing w:before="160" w:after="60"/>
      </w:pPr>
      <w:r>
        <w:rPr>
          <w:rFonts w:ascii="Calibri" w:hAnsi="Calibri"/>
          <w:b/>
          <w:color w:val="024C41"/>
          <w:sz w:val="26"/>
        </w:rPr>
        <w:t>3.9 Confronto α→β ed evoluzione alpha→beta (Tabelle 10 e ‑11)</w:t>
      </w:r>
    </w:p>
    <w:tbl>
      <w:tblPr>
        <w:tblW w:type="auto" w:w="0"/>
        <w:jc w:val="center"/>
        <w:tblLook w:firstColumn="1" w:firstRow="1" w:lastColumn="0" w:lastRow="0" w:noHBand="0" w:noVBand="1" w:val="04A0"/>
      </w:tblPr>
      <w:tblGrid>
        <w:gridCol w:w="2693"/>
        <w:gridCol w:w="2693"/>
        <w:gridCol w:w="2693"/>
        <w:gridCol w:w="2693"/>
      </w:tblGrid>
      <w:tr>
        <w:trPr>
          <w:tblHeader w:val="true"/>
        </w:trPr>
        <w:tc>
          <w:tcPr>
            <w:tcW w:type="dxa" w:w="2693"/>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α / β</w:t>
            </w:r>
          </w:p>
        </w:tc>
        <w:tc>
          <w:tcPr>
            <w:tcW w:type="dxa" w:w="2693"/>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TSI_abs storico (gruppo)</w:t>
            </w:r>
          </w:p>
        </w:tc>
        <w:tc>
          <w:tcPr>
            <w:tcW w:type="dxa" w:w="2693"/>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TSI_abs real-time (gruppo)</w:t>
            </w:r>
          </w:p>
        </w:tc>
        <w:tc>
          <w:tcPr>
            <w:tcW w:type="dxa" w:w="2693"/>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Δ</w:t>
            </w:r>
          </w:p>
        </w:tc>
      </w:tr>
      <w:tr>
        <w:tc>
          <w:tcPr>
            <w:tcW w:type="dxa" w:w="2693"/>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0,500 / 0,500</w:t>
            </w:r>
          </w:p>
        </w:tc>
        <w:tc>
          <w:tcPr>
            <w:tcW w:type="dxa" w:w="2693"/>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0,0930</w:t>
            </w:r>
          </w:p>
        </w:tc>
        <w:tc>
          <w:tcPr>
            <w:tcW w:type="dxa" w:w="2693"/>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0,1284</w:t>
            </w:r>
          </w:p>
        </w:tc>
        <w:tc>
          <w:tcPr>
            <w:tcW w:type="dxa" w:w="2693"/>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+38,1 %</w:t>
            </w:r>
          </w:p>
        </w:tc>
      </w:tr>
      <w:tr>
        <w:tc>
          <w:tcPr>
            <w:tcW w:type="dxa" w:w="2693"/>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0,400 / 0,600</w:t>
            </w:r>
          </w:p>
        </w:tc>
        <w:tc>
          <w:tcPr>
            <w:tcW w:type="dxa" w:w="2693"/>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0,1055</w:t>
            </w:r>
          </w:p>
        </w:tc>
        <w:tc>
          <w:tcPr>
            <w:tcW w:type="dxa" w:w="2693"/>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0,1369</w:t>
            </w:r>
          </w:p>
        </w:tc>
        <w:tc>
          <w:tcPr>
            <w:tcW w:type="dxa" w:w="2693"/>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+29,7 %</w:t>
            </w:r>
          </w:p>
        </w:tc>
      </w:tr>
      <w:tr>
        <w:tc>
          <w:tcPr>
            <w:tcW w:type="dxa" w:w="2693"/>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0,600 / 0,400</w:t>
            </w:r>
          </w:p>
        </w:tc>
        <w:tc>
          <w:tcPr>
            <w:tcW w:type="dxa" w:w="2693"/>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0,0805</w:t>
            </w:r>
          </w:p>
        </w:tc>
        <w:tc>
          <w:tcPr>
            <w:tcW w:type="dxa" w:w="2693"/>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0,1199</w:t>
            </w:r>
          </w:p>
        </w:tc>
        <w:tc>
          <w:tcPr>
            <w:tcW w:type="dxa" w:w="2693"/>
            <w:tcBorders>
              <w:top w:val="single" w:sz="4" w:space="0" w:color="BFBFBF"/>
              <w:left w:val="single" w:sz="4" w:space="0" w:color="BFBFBF"/>
              <w:bottom w:val="single" w:sz="4" w:space="0" w:color="BFBFBF"/>
              <w:right w:val="single" w:sz="4" w:space="0" w:color="BFBFBF"/>
            </w:tcBorders>
          </w:tcPr>
          <w:p>
            <w:pPr>
              <w:jc w:val="right"/>
            </w:pPr>
            <w:r/>
            <w:r>
              <w:rPr>
                <w:rFonts w:ascii="Calibri" w:hAnsi="Calibri"/>
                <w:b w:val="0"/>
                <w:sz w:val="17"/>
              </w:rPr>
              <w:t>+49,0 %</w:t>
            </w:r>
          </w:p>
        </w:tc>
      </w:tr>
    </w:tbl>
    <w:p>
      <w:pPr>
        <w:spacing w:after="40"/>
      </w:pPr>
    </w:p>
    <w:p>
      <w:pPr>
        <w:spacing w:after="160"/>
        <w:jc w:val="left"/>
      </w:pPr>
      <w:r>
        <w:rPr>
          <w:i/>
          <w:color w:val="333333"/>
          <w:sz w:val="18"/>
        </w:rPr>
        <w:t>Tabella 10 — Effetto del bilanciamento α/β sul TSI_abs medio di gruppo (media ponderata sulla produzione). Valori dimostrativi.</w:t>
      </w:r>
    </w:p>
    <w:tbl>
      <w:tblPr>
        <w:tblW w:type="auto" w:w="0"/>
        <w:jc w:val="center"/>
        <w:tblLook w:firstColumn="1" w:firstRow="1" w:lastColumn="0" w:lastRow="0" w:noHBand="0" w:noVBand="1" w:val="04A0"/>
      </w:tblPr>
      <w:tblGrid>
        <w:gridCol w:w="3591"/>
        <w:gridCol w:w="3591"/>
        <w:gridCol w:w="3591"/>
      </w:tblGrid>
      <w:tr>
        <w:trPr>
          <w:tblHeader w:val="true"/>
        </w:trPr>
        <w:tc>
          <w:tcPr>
            <w:tcW w:type="dxa" w:w="3591"/>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Elemento</w:t>
            </w:r>
          </w:p>
        </w:tc>
        <w:tc>
          <w:tcPr>
            <w:tcW w:type="dxa" w:w="3591"/>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EEA+ alpha (OR6.5)</w:t>
            </w:r>
          </w:p>
        </w:tc>
        <w:tc>
          <w:tcPr>
            <w:tcW w:type="dxa" w:w="3591"/>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EEA+ beta (OR7.3)</w:t>
            </w:r>
          </w:p>
        </w:tc>
      </w:tr>
      <w:tr>
        <w:tc>
          <w:tcPr>
            <w:tcW w:type="dxa" w:w="3591"/>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Struttura</w:t>
            </w:r>
          </w:p>
        </w:tc>
        <w:tc>
          <w:tcPr>
            <w:tcW w:type="dxa" w:w="3591"/>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modello teorico</w:t>
            </w:r>
          </w:p>
        </w:tc>
        <w:tc>
          <w:tcPr>
            <w:tcW w:type="dxa" w:w="3591"/>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modello operativo</w:t>
            </w:r>
          </w:p>
        </w:tc>
      </w:tr>
      <w:tr>
        <w:tc>
          <w:tcPr>
            <w:tcW w:type="dxa" w:w="3591"/>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Footprint</w:t>
            </w:r>
          </w:p>
        </w:tc>
        <w:tc>
          <w:tcPr>
            <w:tcW w:type="dxa" w:w="3591"/>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integrazione concettuale</w:t>
            </w:r>
          </w:p>
        </w:tc>
        <w:tc>
          <w:tcPr>
            <w:tcW w:type="dxa" w:w="3591"/>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4 moduli -J formalizzati</w:t>
            </w:r>
          </w:p>
        </w:tc>
      </w:tr>
      <w:tr>
        <w:tc>
          <w:tcPr>
            <w:tcW w:type="dxa" w:w="3591"/>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Tecnologia</w:t>
            </w:r>
          </w:p>
        </w:tc>
        <w:tc>
          <w:tcPr>
            <w:tcW w:type="dxa" w:w="3591"/>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non pienamente termodinamizzata</w:t>
            </w:r>
          </w:p>
        </w:tc>
        <w:tc>
          <w:tcPr>
            <w:tcW w:type="dxa" w:w="3591"/>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TEI-J MTS/MTO</w:t>
            </w:r>
          </w:p>
        </w:tc>
      </w:tr>
      <w:tr>
        <w:tc>
          <w:tcPr>
            <w:tcW w:type="dxa" w:w="3591"/>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Coefficienti</w:t>
            </w:r>
          </w:p>
        </w:tc>
        <w:tc>
          <w:tcPr>
            <w:tcW w:type="dxa" w:w="3591"/>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parametri di modello</w:t>
            </w:r>
          </w:p>
        </w:tc>
        <w:tc>
          <w:tcPr>
            <w:tcW w:type="dxa" w:w="3591"/>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libreria versionata A–C</w:t>
            </w:r>
          </w:p>
        </w:tc>
      </w:tr>
      <w:tr>
        <w:tc>
          <w:tcPr>
            <w:tcW w:type="dxa" w:w="3591"/>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Ponderazione</w:t>
            </w:r>
          </w:p>
        </w:tc>
        <w:tc>
          <w:tcPr>
            <w:tcW w:type="dxa" w:w="3591"/>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da consolidare</w:t>
            </w:r>
          </w:p>
        </w:tc>
        <w:tc>
          <w:tcPr>
            <w:tcW w:type="dxa" w:w="3591"/>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AHP con CR ≤ 0,10</w:t>
            </w:r>
          </w:p>
        </w:tc>
      </w:tr>
      <w:tr>
        <w:tc>
          <w:tcPr>
            <w:tcW w:type="dxa" w:w="3591"/>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Sustainability Accounting</w:t>
            </w:r>
          </w:p>
        </w:tc>
        <w:tc>
          <w:tcPr>
            <w:tcW w:type="dxa" w:w="3591"/>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formulazione alpha</w:t>
            </w:r>
          </w:p>
        </w:tc>
        <w:tc>
          <w:tcPr>
            <w:tcW w:type="dxa" w:w="3591"/>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SA_raw + SA_w</w:t>
            </w:r>
          </w:p>
        </w:tc>
      </w:tr>
      <w:tr>
        <w:tc>
          <w:tcPr>
            <w:tcW w:type="dxa" w:w="3591"/>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TSI</w:t>
            </w:r>
          </w:p>
        </w:tc>
        <w:tc>
          <w:tcPr>
            <w:tcW w:type="dxa" w:w="3591"/>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definizione alpha</w:t>
            </w:r>
          </w:p>
        </w:tc>
        <w:tc>
          <w:tcPr>
            <w:tcW w:type="dxa" w:w="3591"/>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Φ + Ψ, TSI_abs e TSI_rel</w:t>
            </w:r>
          </w:p>
        </w:tc>
      </w:tr>
      <w:tr>
        <w:tc>
          <w:tcPr>
            <w:tcW w:type="dxa" w:w="3591"/>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Sorgente dati</w:t>
            </w:r>
          </w:p>
        </w:tc>
        <w:tc>
          <w:tcPr>
            <w:tcW w:type="dxa" w:w="3591"/>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serie storiche</w:t>
            </w:r>
          </w:p>
        </w:tc>
        <w:tc>
          <w:tcPr>
            <w:tcW w:type="dxa" w:w="3591"/>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ERP/MES + E2C real-time</w:t>
            </w:r>
          </w:p>
        </w:tc>
      </w:tr>
      <w:tr>
        <w:tc>
          <w:tcPr>
            <w:tcW w:type="dxa" w:w="3591"/>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Controlli</w:t>
            </w:r>
          </w:p>
        </w:tc>
        <w:tc>
          <w:tcPr>
            <w:tcW w:type="dxa" w:w="3591"/>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prevalentemente teorici</w:t>
            </w:r>
          </w:p>
        </w:tc>
        <w:tc>
          <w:tcPr>
            <w:tcW w:type="dxa" w:w="3591"/>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massa, exergia, unità, double counting, sensibilità</w:t>
            </w:r>
          </w:p>
        </w:tc>
      </w:tr>
      <w:tr>
        <w:tc>
          <w:tcPr>
            <w:tcW w:type="dxa" w:w="3591"/>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Output</w:t>
            </w:r>
          </w:p>
        </w:tc>
        <w:tc>
          <w:tcPr>
            <w:tcW w:type="dxa" w:w="3591"/>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TSI teorico</w:t>
            </w:r>
          </w:p>
        </w:tc>
        <w:tc>
          <w:tcPr>
            <w:tcW w:type="dxa" w:w="3591"/>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3 TSI storici + 3 TSI real-time</w:t>
            </w:r>
          </w:p>
        </w:tc>
      </w:tr>
    </w:tbl>
    <w:p>
      <w:pPr>
        <w:spacing w:after="40"/>
      </w:pPr>
    </w:p>
    <w:p>
      <w:pPr>
        <w:spacing w:after="160"/>
        <w:jc w:val="left"/>
      </w:pPr>
      <w:r>
        <w:rPr>
          <w:i/>
          <w:color w:val="333333"/>
          <w:sz w:val="18"/>
        </w:rPr>
        <w:t>Tabella 11 — Evoluzione EEA+: da alpha (OR6.5) a beta (OR7.3).</w:t>
      </w:r>
    </w:p>
    <w:p>
      <w:pPr>
        <w:spacing w:before="160" w:after="60"/>
      </w:pPr>
      <w:r>
        <w:rPr>
          <w:rFonts w:ascii="Calibri" w:hAnsi="Calibri"/>
          <w:b/>
          <w:color w:val="024C41"/>
          <w:sz w:val="26"/>
        </w:rPr>
        <w:t>3.10 Verifica dei KPI di attività</w:t>
      </w:r>
    </w:p>
    <w:tbl>
      <w:tblPr>
        <w:tblW w:type="auto" w:w="0"/>
        <w:jc w:val="center"/>
        <w:tblLook w:firstColumn="1" w:firstRow="1" w:lastColumn="0" w:lastRow="0" w:noHBand="0" w:noVBand="1" w:val="04A0"/>
      </w:tblPr>
      <w:tblGrid>
        <w:gridCol w:w="2693"/>
        <w:gridCol w:w="2693"/>
        <w:gridCol w:w="2693"/>
        <w:gridCol w:w="2693"/>
      </w:tblGrid>
      <w:tr>
        <w:trPr>
          <w:tblHeader w:val="true"/>
        </w:trPr>
        <w:tc>
          <w:tcPr>
            <w:tcW w:type="dxa" w:w="2693"/>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KPI</w:t>
            </w:r>
          </w:p>
        </w:tc>
        <w:tc>
          <w:tcPr>
            <w:tcW w:type="dxa" w:w="2693"/>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Baseline</w:t>
            </w:r>
          </w:p>
        </w:tc>
        <w:tc>
          <w:tcPr>
            <w:tcW w:type="dxa" w:w="2693"/>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Obiettivo</w:t>
            </w:r>
          </w:p>
        </w:tc>
        <w:tc>
          <w:tcPr>
            <w:tcW w:type="dxa" w:w="2693"/>
            <w:shd w:fill="0B5A3C"/>
            <w:tcBorders>
              <w:top w:val="single" w:sz="4" w:space="0" w:color="BFBFBF"/>
              <w:left w:val="single" w:sz="4" w:space="0" w:color="BFBFBF"/>
              <w:bottom w:val="single" w:sz="4" w:space="0" w:color="BFBFBF"/>
              <w:right w:val="single" w:sz="4" w:space="0" w:color="BFBFBF"/>
            </w:tcBorders>
          </w:tcPr>
          <w:p>
            <w:pPr>
              <w:jc w:val="center"/>
            </w:pPr>
            <w:r/>
            <w:r>
              <w:rPr>
                <w:rFonts w:ascii="Calibri" w:hAnsi="Calibri"/>
                <w:b/>
                <w:color w:val="FFFFFF"/>
                <w:sz w:val="17"/>
              </w:rPr>
              <w:t>Risultato V1 (DEMO)</w:t>
            </w:r>
          </w:p>
        </w:tc>
      </w:tr>
      <w:tr>
        <w:tc>
          <w:tcPr>
            <w:tcW w:type="dxa" w:w="2693"/>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Indice Termodinamico di Sostenibilità (TSI)</w:t>
            </w:r>
          </w:p>
        </w:tc>
        <w:tc>
          <w:tcPr>
            <w:tcW w:type="dxa" w:w="2693"/>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N°3 su dati storici</w:t>
            </w:r>
          </w:p>
        </w:tc>
        <w:tc>
          <w:tcPr>
            <w:tcW w:type="dxa" w:w="2693"/>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N°3 su dati real-time</w:t>
            </w:r>
          </w:p>
        </w:tc>
        <w:tc>
          <w:tcPr>
            <w:tcW w:type="dxa" w:w="2693"/>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6 TSI calcolati (dimostrativi)</w:t>
            </w:r>
          </w:p>
        </w:tc>
      </w:tr>
      <w:tr>
        <w:tc>
          <w:tcPr>
            <w:tcW w:type="dxa" w:w="2693"/>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Versione EEA+</w:t>
            </w:r>
          </w:p>
        </w:tc>
        <w:tc>
          <w:tcPr>
            <w:tcW w:type="dxa" w:w="2693"/>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alpha</w:t>
            </w:r>
          </w:p>
        </w:tc>
        <w:tc>
          <w:tcPr>
            <w:tcW w:type="dxa" w:w="2693"/>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beta collaudata</w:t>
            </w:r>
          </w:p>
        </w:tc>
        <w:tc>
          <w:tcPr>
            <w:tcW w:type="dxa" w:w="2693"/>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Beta formalizzata; collaudo su dati veri da completare</w:t>
            </w:r>
          </w:p>
        </w:tc>
      </w:tr>
      <w:tr>
        <w:tc>
          <w:tcPr>
            <w:tcW w:type="dxa" w:w="2693"/>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Quadro multidimensionale</w:t>
            </w:r>
          </w:p>
        </w:tc>
        <w:tc>
          <w:tcPr>
            <w:tcW w:type="dxa" w:w="2693"/>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impronte separate</w:t>
            </w:r>
          </w:p>
        </w:tc>
        <w:tc>
          <w:tcPr>
            <w:tcW w:type="dxa" w:w="2693"/>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4 dimensioni integrate</w:t>
            </w:r>
          </w:p>
        </w:tc>
        <w:tc>
          <w:tcPr>
            <w:tcW w:type="dxa" w:w="2693"/>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Architettura integrata + pipeline eseguita</w:t>
            </w:r>
          </w:p>
        </w:tc>
      </w:tr>
      <w:tr>
        <w:tc>
          <w:tcPr>
            <w:tcW w:type="dxa" w:w="2693"/>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Consistenza ponderazione (AHP)</w:t>
            </w:r>
          </w:p>
        </w:tc>
        <w:tc>
          <w:tcPr>
            <w:tcW w:type="dxa" w:w="2693"/>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w:t>
            </w:r>
          </w:p>
        </w:tc>
        <w:tc>
          <w:tcPr>
            <w:tcW w:type="dxa" w:w="2693"/>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CR ≤ 0,10</w:t>
            </w:r>
          </w:p>
        </w:tc>
        <w:tc>
          <w:tcPr>
            <w:tcW w:type="dxa" w:w="2693"/>
            <w:tcBorders>
              <w:top w:val="single" w:sz="4" w:space="0" w:color="BFBFBF"/>
              <w:left w:val="single" w:sz="4" w:space="0" w:color="BFBFBF"/>
              <w:bottom w:val="single" w:sz="4" w:space="0" w:color="BFBFBF"/>
              <w:right w:val="single" w:sz="4" w:space="0" w:color="BFBFBF"/>
            </w:tcBorders>
          </w:tcPr>
          <w:p>
            <w:r/>
            <w:r>
              <w:rPr>
                <w:rFonts w:ascii="Calibri" w:hAnsi="Calibri"/>
                <w:b w:val="0"/>
                <w:sz w:val="17"/>
              </w:rPr>
              <w:t>CR = 0,0169 (consistente)</w:t>
            </w:r>
          </w:p>
        </w:tc>
      </w:tr>
    </w:tbl>
    <w:p>
      <w:pPr>
        <w:spacing w:after="40"/>
      </w:pPr>
    </w:p>
    <w:p>
      <w:pPr>
        <w:spacing w:after="160"/>
        <w:jc w:val="left"/>
      </w:pPr>
      <w:r>
        <w:rPr>
          <w:i/>
          <w:color w:val="333333"/>
          <w:sz w:val="18"/>
        </w:rPr>
        <w:t>Tabella 12 — Verifica dei KPI di attività (stato con dati dimostrativi).</w:t>
      </w:r>
    </w:p>
    <w:p>
      <w:pPr>
        <w:spacing w:before="240" w:after="120"/>
        <w:jc w:val="both"/>
      </w:pPr>
      <w:r>
        <w:rPr>
          <w:rFonts w:ascii="Calibri" w:hAnsi="Calibri"/>
          <w:b/>
          <w:color w:val="024C41"/>
          <w:sz w:val="36"/>
        </w:rPr>
        <w:t>4. DISCUSSIONE E CONCLUSIONI</w:t>
      </w:r>
    </w:p>
    <w:p>
      <w:pPr>
        <w:spacing w:before="160" w:after="60"/>
      </w:pPr>
      <w:r>
        <w:rPr>
          <w:rFonts w:ascii="Calibri" w:hAnsi="Calibri"/>
          <w:b/>
          <w:color w:val="024C41"/>
          <w:sz w:val="26"/>
        </w:rPr>
        <w:t>4.1 Significato del passaggio alpha → beta</w:t>
      </w:r>
    </w:p>
    <w:p>
      <w:pPr>
        <w:spacing w:after="120"/>
        <w:jc w:val="both"/>
      </w:pPr>
      <w:r>
        <w:rPr>
          <w:rFonts w:ascii="Calibri" w:hAnsi="Calibri"/>
          <w:b w:val="0"/>
          <w:sz w:val="22"/>
        </w:rPr>
        <w:t>Il risultato metodologico principale è la trasformazione dell'EEA+ da quadro teorico a procedura operativa, ottenuta non aggregando i risultati delle quattro impronte ma costruendo un linguaggio metrico comune (Joule) e regole esplicite di traduzione. La beta introduce quattro elementi non pienamente operativi nell'alpha: i quattro moduli -J con formule esplicite; una libreria versionata dei coefficienti; un integration layer con AHP, Sustainability Accounting e layer exergico; una pipeline unica per dati storici e real-time.</w:t>
      </w:r>
    </w:p>
    <w:p>
      <w:pPr>
        <w:spacing w:before="160" w:after="60"/>
      </w:pPr>
      <w:r>
        <w:rPr>
          <w:rFonts w:ascii="Calibri" w:hAnsi="Calibri"/>
          <w:b/>
          <w:color w:val="024C41"/>
          <w:sz w:val="26"/>
        </w:rPr>
        <w:t>4.2 Commensurabilità e ponderazione</w:t>
      </w:r>
    </w:p>
    <w:p>
      <w:pPr>
        <w:spacing w:after="120"/>
        <w:jc w:val="both"/>
      </w:pPr>
      <w:r>
        <w:rPr>
          <w:rFonts w:ascii="Calibri" w:hAnsi="Calibri"/>
          <w:b w:val="0"/>
          <w:sz w:val="22"/>
        </w:rPr>
        <w:t xml:space="preserve">Il modello separa due problemi spesso confusi: la conversione in J/GJ affronta la </w:t>
      </w:r>
      <w:r>
        <w:rPr>
          <w:rFonts w:ascii="Calibri" w:hAnsi="Calibri"/>
          <w:b/>
          <w:sz w:val="22"/>
        </w:rPr>
        <w:t>commensurabilità</w:t>
      </w:r>
      <w:r>
        <w:rPr>
          <w:rFonts w:ascii="Calibri" w:hAnsi="Calibri"/>
          <w:b w:val="0"/>
          <w:sz w:val="22"/>
        </w:rPr>
        <w:t xml:space="preserve"> (le dimensioni diventano sommabili); l'AHP affronta la </w:t>
      </w:r>
      <w:r>
        <w:rPr>
          <w:rFonts w:ascii="Calibri" w:hAnsi="Calibri"/>
          <w:b/>
          <w:sz w:val="22"/>
        </w:rPr>
        <w:t>ponderazione</w:t>
      </w:r>
      <w:r>
        <w:rPr>
          <w:rFonts w:ascii="Calibri" w:hAnsi="Calibri"/>
          <w:b w:val="0"/>
          <w:sz w:val="22"/>
        </w:rPr>
        <w:t xml:space="preserve"> (i pesi derivano da una matrice di giudizi con CR verificato, anziché essere nascosti nella normalizzazione). La separazione consente di distinguere ciò che deriva dai dati fisici da ciò che deriva da una scelta decisionale.</w:t>
      </w:r>
    </w:p>
    <w:p>
      <w:pPr>
        <w:spacing w:before="160" w:after="60"/>
      </w:pPr>
      <w:r>
        <w:rPr>
          <w:rFonts w:ascii="Calibri" w:hAnsi="Calibri"/>
          <w:b/>
          <w:color w:val="024C41"/>
          <w:sz w:val="26"/>
        </w:rPr>
        <w:t>4.3 Interpretazione dei risultati dimostrativi</w:t>
      </w:r>
    </w:p>
    <w:p>
      <w:pPr>
        <w:spacing w:after="120"/>
        <w:jc w:val="both"/>
      </w:pPr>
      <w:r>
        <w:rPr>
          <w:rFonts w:ascii="Calibri" w:hAnsi="Calibri"/>
          <w:b w:val="0"/>
          <w:sz w:val="22"/>
        </w:rPr>
        <w:t xml:space="preserve">Sui dati dimostrativi la pipeline restituisce un miglioramento sistematico storico→real-time (TSI_rel ≈ 1,36–1,39) e un ordinamento D240 &gt; D060 &gt; D020 coerente con la footprint family di OR6, robusto in sensibilità. Poiché i dati sono dimostrativi (confidenza C), questi esiti </w:t>
      </w:r>
      <w:r>
        <w:rPr>
          <w:rFonts w:ascii="Calibri" w:hAnsi="Calibri"/>
          <w:b/>
          <w:sz w:val="22"/>
        </w:rPr>
        <w:t>non hanno valore probatorio</w:t>
      </w:r>
      <w:r>
        <w:rPr>
          <w:rFonts w:ascii="Calibri" w:hAnsi="Calibri"/>
          <w:b w:val="0"/>
          <w:sz w:val="22"/>
        </w:rPr>
        <w:t>: dimostrano la correttezza e la robustezza della pipeline, non le prestazioni reali degli stabilimenti. I valori assoluti del TSI (ordine 0,09–0,13) riflettono la bassa efficienza exergica dei processi ceramici e vanno letti in chiave relativa.</w:t>
      </w:r>
    </w:p>
    <w:p>
      <w:pPr>
        <w:spacing w:before="160" w:after="60"/>
      </w:pPr>
      <w:r>
        <w:rPr>
          <w:rFonts w:ascii="Calibri" w:hAnsi="Calibri"/>
          <w:b/>
          <w:color w:val="024C41"/>
          <w:sz w:val="26"/>
        </w:rPr>
        <w:t>4.4 Interdipendenze progettuali</w:t>
      </w:r>
    </w:p>
    <w:p>
      <w:pPr>
        <w:spacing w:after="120"/>
        <w:jc w:val="both"/>
      </w:pPr>
      <w:r>
        <w:rPr>
          <w:rFonts w:ascii="Calibri" w:hAnsi="Calibri"/>
          <w:b w:val="0"/>
          <w:sz w:val="22"/>
        </w:rPr>
        <w:t>L'attività dipende da: OR6.1–6.4 (modelli e dati dei footprint); OR6.5 (EEA+ alpha e TSI); OR6.6–6.7 e OR6.10 (architettura E2C, Intelligent Factory/Industry); OR7.1–7.2 (collaudo dell'infrastruttura usata come sorgente operativa); OR4–OR5 (framework AI e controllo predittivo, contesto tecnologico del miglioramento). La RP7.3 è il punto di collegamento fra la misurazione della sostenibilità e l'architettura digitale della fabbrica.</w:t>
      </w:r>
    </w:p>
    <w:p>
      <w:pPr>
        <w:spacing w:before="160" w:after="60"/>
      </w:pPr>
      <w:r>
        <w:rPr>
          <w:rFonts w:ascii="Calibri" w:hAnsi="Calibri"/>
          <w:b/>
          <w:color w:val="024C41"/>
          <w:sz w:val="26"/>
        </w:rPr>
        <w:t>4.5 Limiti e condizioni di chiusura</w:t>
      </w:r>
    </w:p>
    <w:p>
      <w:pPr>
        <w:spacing w:after="120"/>
        <w:jc w:val="both"/>
      </w:pPr>
      <w:r>
        <w:rPr>
          <w:rFonts w:ascii="Calibri" w:hAnsi="Calibri"/>
          <w:b w:val="0"/>
          <w:sz w:val="22"/>
        </w:rPr>
        <w:t xml:space="preserve">Vanno dichiarati i limiti: assenza dei dati primari (i risultati sono dimostrativi); incertezza dei coefficienti non primari (confidenza B/C); sensibilità ai giudizi AHP; possibile non uniformità temporale fra i dataset dei quattro footprint; disponibilità e granularità dei dati real-time; necessità di evitare doppio conteggio; permanenza di indicatori sociali diagnostici (DALY) non convertiti in J. L'attività potrà dichiarare formalmente il </w:t>
      </w:r>
      <w:r>
        <w:rPr>
          <w:rFonts w:ascii="Calibri" w:hAnsi="Calibri"/>
          <w:b/>
          <w:sz w:val="22"/>
        </w:rPr>
        <w:t>collaudo della versione beta</w:t>
      </w:r>
      <w:r>
        <w:rPr>
          <w:rFonts w:ascii="Calibri" w:hAnsi="Calibri"/>
          <w:b w:val="0"/>
          <w:sz w:val="22"/>
        </w:rPr>
        <w:t xml:space="preserve"> solo quando saranno disponibili, sui dati primari: 3 TSI storici e 3 TSI real-time, la scomposizione dei contributi, i pesi AHP del panel con CR verificato, l'analisi di sensibilità, la libreria coefficienti valorizzata e la dimostrazione di replicabilità su ERP/MES ed E2C.</w:t>
      </w:r>
    </w:p>
    <w:p>
      <w:pPr>
        <w:spacing w:before="160" w:after="60"/>
      </w:pPr>
      <w:r>
        <w:rPr>
          <w:rFonts w:ascii="Calibri" w:hAnsi="Calibri"/>
          <w:b/>
          <w:color w:val="024C41"/>
          <w:sz w:val="26"/>
        </w:rPr>
        <w:t>4.6 Conclusioni</w:t>
      </w:r>
    </w:p>
    <w:p>
      <w:pPr>
        <w:spacing w:after="120"/>
        <w:jc w:val="both"/>
      </w:pPr>
      <w:r>
        <w:rPr>
          <w:rFonts w:ascii="Calibri" w:hAnsi="Calibri"/>
          <w:b w:val="0"/>
          <w:sz w:val="22"/>
        </w:rPr>
        <w:t>La V1 consegna la pipeline EEA+ beta completa, eseguibile e tracciabile, sul dominio delle tre unità produttive, con equazioni, tabelle e figure conformi al formato di progetto. Restano da integrare i dati primari, che sostituiranno i valori dimostrativi qui riportati senza modificare la struttura di calcolo. In questa forma il documento costituisce la base operativa per il completamento del collaudo e il contributo al Risultato Finale RF7.</w:t>
      </w:r>
    </w:p>
    <w:p>
      <w:pPr>
        <w:spacing w:after="120"/>
        <w:jc w:val="both"/>
      </w:pPr>
    </w:p>
    <w:p>
      <w:r>
        <w:rPr>
          <w:i/>
          <w:color w:val="333333"/>
          <w:sz w:val="16"/>
        </w:rPr>
        <w:t>Fine documento — RP7.3 V1.0 (versione di lavoro, valori dimostrativi) · Progetto START · Prog. F/310087/01-05/X56 · www.start-innovability.it</w:t>
      </w:r>
    </w:p>
    <w:sectPr w:rsidRPr="008B7110" w:rsidR="00E72CA7" w:rsidSect="00087A59">
      <w:headerReference w:type="default" r:id="rId12"/>
      <w:footerReference w:type="default" r:id="rId13"/>
      <w:headerReference w:type="first" r:id="rId14"/>
      <w:footerReference w:type="first" r:id="rId15"/>
      <w:pgSz w:w="11906" w:h="16838" w:orient="portrait" w:code="9"/>
      <w:pgMar w:top="1701" w:right="567" w:bottom="1701" w:left="567"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E00C2B" w:rsidRDefault="00E00C2B" w14:paraId="33A06B7B" w14:textId="77777777">
      <w:r>
        <w:separator/>
      </w:r>
    </w:p>
  </w:endnote>
  <w:endnote w:type="continuationSeparator" w:id="0">
    <w:p w:rsidR="00E00C2B" w:rsidRDefault="00E00C2B" w14:paraId="64C84C61" w14:textId="77777777">
      <w:r>
        <w:continuationSeparator/>
      </w:r>
    </w:p>
  </w:endnote>
  <w:endnote w:type="continuationNotice" w:id="1">
    <w:p w:rsidR="00E00C2B" w:rsidRDefault="00E00C2B" w14:paraId="3C9B36D7"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73605069"/>
      <w:docPartObj>
        <w:docPartGallery w:val="Page Numbers (Bottom of Page)"/>
        <w:docPartUnique/>
      </w:docPartObj>
    </w:sdtPr>
    <w:sdtEndPr/>
    <w:sdtContent>
      <w:p w:rsidR="00370626" w:rsidRDefault="00370626" w14:paraId="19381E81" w14:textId="728262E7">
        <w:pPr>
          <w:pStyle w:val="Pidipagina"/>
          <w:jc w:val="center"/>
        </w:pPr>
        <w:r>
          <w:fldChar w:fldCharType="begin"/>
        </w:r>
        <w:r>
          <w:instrText>PAGE   \* MERGEFORMAT</w:instrText>
        </w:r>
        <w:r>
          <w:fldChar w:fldCharType="separate"/>
        </w:r>
        <w:r w:rsidR="00C04F39">
          <w:rPr>
            <w:noProof/>
          </w:rPr>
          <w:t>2</w:t>
        </w:r>
        <w:r>
          <w:fldChar w:fldCharType="end"/>
        </w:r>
      </w:p>
    </w:sdtContent>
  </w:sdt>
  <w:p w:rsidRPr="00087A59" w:rsidR="00A45435" w:rsidP="00087A59" w:rsidRDefault="00A45435" w14:paraId="5067C47B" w14:textId="673FE4C4">
    <w:pPr>
      <w:pStyle w:val="Intestazione"/>
      <w:spacing w:before="60" w:after="240"/>
      <w:jc w:val="center"/>
      <w:rPr>
        <w:rFonts w:ascii="Arial" w:hAnsi="Arial" w:cs="Arial"/>
        <w:b/>
        <w:color w:val="FC4F02"/>
        <w:szCs w:val="3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mc:Ignorable="w14 w15 w16se w16cid w16 w16cex w16sdtdh w16du wp14">
  <w:p w:rsidR="00F17E66" w:rsidP="00F17E66" w:rsidRDefault="00F17E66" w14:paraId="7829F121" w14:textId="4CADEE65">
    <w:pPr>
      <w:pStyle w:val="Intestazione"/>
      <w:pBdr>
        <w:bottom w:val="single" w:color="024C41" w:sz="18" w:space="1"/>
      </w:pBdr>
      <w:spacing w:before="60" w:after="240"/>
      <w:rPr>
        <w:rFonts w:asciiTheme="minorHAnsi" w:hAnsiTheme="minorHAnsi" w:cstheme="minorHAnsi"/>
        <w:color w:val="00A98E"/>
        <w:sz w:val="28"/>
        <w:szCs w:val="36"/>
      </w:rPr>
    </w:pPr>
  </w:p>
  <w:p w:rsidR="00F17E66" w:rsidP="00F17E66" w:rsidRDefault="003D56D6" w14:paraId="6F2805CB" w14:textId="6463FEE0">
    <w:pPr>
      <w:pStyle w:val="Intestazione"/>
      <w:spacing w:before="60" w:after="240"/>
      <w:jc w:val="center"/>
      <w:rPr>
        <w:rFonts w:asciiTheme="minorHAnsi" w:hAnsiTheme="minorHAnsi" w:cstheme="minorHAnsi"/>
        <w:color w:val="00A98E"/>
        <w:sz w:val="28"/>
        <w:szCs w:val="36"/>
      </w:rPr>
    </w:pPr>
    <w:r w:rsidRPr="003D56D6">
      <w:rPr>
        <w:rFonts w:asciiTheme="minorHAnsi" w:hAnsiTheme="minorHAnsi" w:cstheme="minorHAnsi"/>
        <w:color w:val="00A98E"/>
        <w:sz w:val="28"/>
        <w:szCs w:val="36"/>
      </w:rPr>
      <w:drawing>
        <wp:inline distT="0" distB="0" distL="0" distR="0" wp14:anchorId="6B35C285" wp14:editId="14EFDE97">
          <wp:extent cx="6840220" cy="584835"/>
          <wp:effectExtent l="0" t="0" r="0" b="5715"/>
          <wp:docPr id="27" name="Immagine 26">
            <a:extLst xmlns:a="http://schemas.openxmlformats.org/drawingml/2006/main">
              <a:ext uri="{FF2B5EF4-FFF2-40B4-BE49-F238E27FC236}">
                <a16:creationId xmlns:a16="http://schemas.microsoft.com/office/drawing/2014/main" id="{534DBD57-FA8C-4557-94E5-9E23A699C8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magine 26">
                    <a:extLst>
                      <a:ext uri="{FF2B5EF4-FFF2-40B4-BE49-F238E27FC236}">
                        <a16:creationId xmlns:a16="http://schemas.microsoft.com/office/drawing/2014/main" id="{534DBD57-FA8C-4557-94E5-9E23A699C807}"/>
                      </a:ext>
                    </a:extLst>
                  </pic:cNvPr>
                  <pic:cNvPicPr>
                    <a:picLocks noChangeAspect="1"/>
                  </pic:cNvPicPr>
                </pic:nvPicPr>
                <pic:blipFill>
                  <a:blip r:embed="rId1"/>
                  <a:stretch>
                    <a:fillRect/>
                  </a:stretch>
                </pic:blipFill>
                <pic:spPr>
                  <a:xfrm>
                    <a:off x="0" y="0"/>
                    <a:ext cx="6840220" cy="584835"/>
                  </a:xfrm>
                  <a:prstGeom prst="rect">
                    <a:avLst/>
                  </a:prstGeom>
                </pic:spPr>
              </pic:pic>
            </a:graphicData>
          </a:graphic>
        </wp:inline>
      </w:drawing>
    </w:r>
  </w:p>
  <w:p w:rsidRPr="00D311C2" w:rsidR="00A45435" w:rsidP="00F17E66" w:rsidRDefault="00087A59" w14:paraId="4F75B270" w14:textId="0D97F0C7">
    <w:pPr>
      <w:pStyle w:val="Intestazione"/>
      <w:spacing w:before="60" w:after="240"/>
      <w:jc w:val="center"/>
      <w:rPr>
        <w:rFonts w:asciiTheme="minorHAnsi" w:hAnsiTheme="minorHAnsi" w:cstheme="minorHAnsi"/>
        <w:b/>
        <w:bCs/>
        <w:color w:val="00A98E"/>
        <w:sz w:val="28"/>
        <w:szCs w:val="36"/>
      </w:rPr>
    </w:pPr>
    <w:r w:rsidRPr="00D311C2">
      <w:rPr>
        <w:rFonts w:asciiTheme="minorHAnsi" w:hAnsiTheme="minorHAnsi" w:cstheme="minorHAnsi"/>
        <w:b/>
        <w:bCs/>
        <w:color w:val="00A98E"/>
        <w:sz w:val="28"/>
        <w:szCs w:val="36"/>
      </w:rPr>
      <w:t>www.</w:t>
    </w:r>
    <w:r w:rsidRPr="00D311C2" w:rsidR="00A42963">
      <w:rPr>
        <w:rFonts w:asciiTheme="minorHAnsi" w:hAnsiTheme="minorHAnsi" w:cstheme="minorHAnsi"/>
        <w:b/>
        <w:bCs/>
        <w:color w:val="00A98E"/>
        <w:sz w:val="28"/>
        <w:szCs w:val="36"/>
      </w:rPr>
      <w:t>start</w:t>
    </w:r>
    <w:r w:rsidR="003D56D6">
      <w:rPr>
        <w:rFonts w:asciiTheme="minorHAnsi" w:hAnsiTheme="minorHAnsi" w:cstheme="minorHAnsi"/>
        <w:b/>
        <w:bCs/>
        <w:color w:val="00A98E"/>
        <w:sz w:val="28"/>
        <w:szCs w:val="36"/>
      </w:rPr>
      <w:t>-innovability</w:t>
    </w:r>
    <w:r w:rsidRPr="00D311C2">
      <w:rPr>
        <w:rFonts w:asciiTheme="minorHAnsi" w:hAnsiTheme="minorHAnsi" w:cstheme="minorHAnsi"/>
        <w:b/>
        <w:bCs/>
        <w:color w:val="00A98E"/>
        <w:sz w:val="28"/>
        <w:szCs w:val="36"/>
      </w:rPr>
      <w:t>.</w:t>
    </w:r>
    <w:r w:rsidRPr="00D311C2" w:rsidR="00064C8D">
      <w:rPr>
        <w:rFonts w:asciiTheme="minorHAnsi" w:hAnsiTheme="minorHAnsi" w:cstheme="minorHAnsi"/>
        <w:b/>
        <w:bCs/>
        <w:color w:val="00A98E"/>
        <w:sz w:val="28"/>
        <w:szCs w:val="36"/>
      </w:rPr>
      <w:t>it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E00C2B" w:rsidRDefault="00E00C2B" w14:paraId="02105F46" w14:textId="77777777">
      <w:r>
        <w:separator/>
      </w:r>
    </w:p>
  </w:footnote>
  <w:footnote w:type="continuationSeparator" w:id="0">
    <w:p w:rsidR="00E00C2B" w:rsidRDefault="00E00C2B" w14:paraId="76C87ED6" w14:textId="77777777">
      <w:r>
        <w:continuationSeparator/>
      </w:r>
    </w:p>
  </w:footnote>
  <w:footnote w:type="continuationNotice" w:id="1">
    <w:p w:rsidR="00E00C2B" w:rsidRDefault="00E00C2B" w14:paraId="73FD6273"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tbl>
    <w:tblPr>
      <w:tblStyle w:val="Grigliatabella"/>
      <w:tblW w:w="10762" w:type="dxa"/>
      <w:tblInd w:w="-108" w:type="dxa"/>
      <w:tblBorders>
        <w:top w:val="single" w:color="024C41" w:sz="18" w:space="0"/>
        <w:left w:val="none" w:color="auto" w:sz="0" w:space="0"/>
        <w:bottom w:val="single" w:color="024C41" w:sz="18" w:space="0"/>
        <w:right w:val="none" w:color="auto" w:sz="0" w:space="0"/>
        <w:insideH w:val="none" w:color="auto" w:sz="0" w:space="0"/>
        <w:insideV w:val="none" w:color="auto" w:sz="0" w:space="0"/>
      </w:tblBorders>
      <w:tblLook w:val="04A0" w:firstRow="1" w:lastRow="0" w:firstColumn="1" w:lastColumn="0" w:noHBand="0" w:noVBand="1"/>
    </w:tblPr>
    <w:tblGrid>
      <w:gridCol w:w="4542"/>
      <w:gridCol w:w="6220"/>
    </w:tblGrid>
    <w:tr w:rsidRPr="00A42963" w:rsidR="00380ACF" w:rsidTr="00A42963" w14:paraId="139FF03E" w14:textId="77777777">
      <w:tc>
        <w:tcPr>
          <w:tcW w:w="4542" w:type="dxa"/>
        </w:tcPr>
        <w:p w:rsidRPr="00F17E66" w:rsidR="00F17E66" w:rsidP="007D40B1" w:rsidRDefault="00F17E66" w14:paraId="16933ECD" w14:textId="77777777">
          <w:pPr>
            <w:rPr>
              <w:sz w:val="10"/>
              <w:szCs w:val="10"/>
            </w:rPr>
          </w:pPr>
        </w:p>
        <w:p w:rsidR="00380ACF" w:rsidP="007D40B1" w:rsidRDefault="00A42963" w14:paraId="218CE45F" w14:textId="77777777">
          <w:r w:rsidRPr="00380ACF">
            <w:rPr>
              <w:noProof/>
            </w:rPr>
            <w:drawing>
              <wp:inline distT="0" distB="0" distL="0" distR="0" wp14:anchorId="3F19B9DA" wp14:editId="4A2D37D4">
                <wp:extent cx="2047875" cy="1134548"/>
                <wp:effectExtent l="0" t="0" r="0" b="8890"/>
                <wp:docPr id="526394239" name="Immagine 526394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62020" name=""/>
                        <pic:cNvPicPr/>
                      </pic:nvPicPr>
                      <pic:blipFill>
                        <a:blip r:embed="rId1"/>
                        <a:stretch>
                          <a:fillRect/>
                        </a:stretch>
                      </pic:blipFill>
                      <pic:spPr>
                        <a:xfrm>
                          <a:off x="0" y="0"/>
                          <a:ext cx="2058155" cy="1140243"/>
                        </a:xfrm>
                        <a:prstGeom prst="rect">
                          <a:avLst/>
                        </a:prstGeom>
                      </pic:spPr>
                    </pic:pic>
                  </a:graphicData>
                </a:graphic>
              </wp:inline>
            </w:drawing>
          </w:r>
        </w:p>
        <w:p w:rsidRPr="00F17E66" w:rsidR="00F17E66" w:rsidP="007D40B1" w:rsidRDefault="00F17E66" w14:paraId="47756266" w14:textId="51DC96D5">
          <w:pPr>
            <w:rPr>
              <w:sz w:val="10"/>
              <w:szCs w:val="10"/>
            </w:rPr>
          </w:pPr>
        </w:p>
      </w:tc>
      <w:tc>
        <w:tcPr>
          <w:tcW w:w="6220" w:type="dxa"/>
        </w:tcPr>
        <w:p w:rsidR="00A42963" w:rsidP="007D40B1" w:rsidRDefault="00A42963" w14:paraId="6E891721" w14:textId="77777777">
          <w:pPr>
            <w:jc w:val="center"/>
            <w:rPr>
              <w:rFonts w:asciiTheme="minorHAnsi" w:hAnsiTheme="minorHAnsi" w:cstheme="minorHAnsi"/>
              <w:b/>
              <w:color w:val="595959"/>
              <w:szCs w:val="24"/>
              <w:lang w:val="en-US"/>
            </w:rPr>
          </w:pPr>
        </w:p>
        <w:p w:rsidRPr="00A42963" w:rsidR="00380ACF" w:rsidP="007D40B1" w:rsidRDefault="00380ACF" w14:paraId="01794B94" w14:textId="22CA4F9A">
          <w:pPr>
            <w:jc w:val="center"/>
            <w:rPr>
              <w:rFonts w:asciiTheme="minorHAnsi" w:hAnsiTheme="minorHAnsi" w:cstheme="minorHAnsi"/>
              <w:b/>
              <w:color w:val="024C41"/>
              <w:sz w:val="32"/>
              <w:szCs w:val="36"/>
              <w:lang w:val="en-US"/>
            </w:rPr>
          </w:pPr>
          <w:proofErr w:type="spellStart"/>
          <w:r w:rsidRPr="00A42963">
            <w:rPr>
              <w:rFonts w:asciiTheme="minorHAnsi" w:hAnsiTheme="minorHAnsi" w:cstheme="minorHAnsi"/>
              <w:b/>
              <w:color w:val="024C41"/>
              <w:sz w:val="32"/>
              <w:szCs w:val="36"/>
              <w:lang w:val="en-US"/>
            </w:rPr>
            <w:t>SusTainable</w:t>
          </w:r>
          <w:proofErr w:type="spellEnd"/>
          <w:r w:rsidRPr="00A42963">
            <w:rPr>
              <w:rFonts w:asciiTheme="minorHAnsi" w:hAnsiTheme="minorHAnsi" w:cstheme="minorHAnsi"/>
              <w:b/>
              <w:color w:val="024C41"/>
              <w:sz w:val="32"/>
              <w:szCs w:val="36"/>
              <w:lang w:val="en-US"/>
            </w:rPr>
            <w:t xml:space="preserve"> </w:t>
          </w:r>
          <w:proofErr w:type="spellStart"/>
          <w:r w:rsidRPr="00A42963">
            <w:rPr>
              <w:rFonts w:asciiTheme="minorHAnsi" w:hAnsiTheme="minorHAnsi" w:cstheme="minorHAnsi"/>
              <w:b/>
              <w:color w:val="024C41"/>
              <w:sz w:val="32"/>
              <w:szCs w:val="36"/>
              <w:lang w:val="en-US"/>
            </w:rPr>
            <w:t>dAta-dRiven</w:t>
          </w:r>
          <w:proofErr w:type="spellEnd"/>
          <w:r w:rsidRPr="00A42963">
            <w:rPr>
              <w:rFonts w:asciiTheme="minorHAnsi" w:hAnsiTheme="minorHAnsi" w:cstheme="minorHAnsi"/>
              <w:b/>
              <w:color w:val="024C41"/>
              <w:sz w:val="32"/>
              <w:szCs w:val="36"/>
              <w:lang w:val="en-US"/>
            </w:rPr>
            <w:t xml:space="preserve"> </w:t>
          </w:r>
          <w:proofErr w:type="spellStart"/>
          <w:r w:rsidRPr="00A42963">
            <w:rPr>
              <w:rFonts w:asciiTheme="minorHAnsi" w:hAnsiTheme="minorHAnsi" w:cstheme="minorHAnsi"/>
              <w:b/>
              <w:color w:val="024C41"/>
              <w:sz w:val="32"/>
              <w:szCs w:val="36"/>
              <w:lang w:val="en-US"/>
            </w:rPr>
            <w:t>manufacTuring</w:t>
          </w:r>
          <w:proofErr w:type="spellEnd"/>
        </w:p>
        <w:p w:rsidRPr="00A42963" w:rsidR="00380ACF" w:rsidP="007D40B1" w:rsidRDefault="00380ACF" w14:paraId="255519F3" w14:textId="77777777">
          <w:pPr>
            <w:jc w:val="center"/>
            <w:rPr>
              <w:rFonts w:asciiTheme="minorHAnsi" w:hAnsiTheme="minorHAnsi" w:cstheme="minorHAnsi"/>
              <w:b/>
              <w:color w:val="525252" w:themeColor="accent3" w:themeShade="80"/>
              <w:sz w:val="16"/>
              <w:szCs w:val="20"/>
              <w:lang w:val="en-US"/>
            </w:rPr>
          </w:pPr>
        </w:p>
        <w:p w:rsidRPr="00A42963" w:rsidR="00A42963" w:rsidP="007D40B1" w:rsidRDefault="00A42963" w14:paraId="4CBF8299" w14:textId="77777777">
          <w:pPr>
            <w:jc w:val="center"/>
            <w:rPr>
              <w:rFonts w:asciiTheme="minorHAnsi" w:hAnsiTheme="minorHAnsi" w:cstheme="minorHAnsi"/>
              <w:b/>
              <w:color w:val="00A98E"/>
              <w:sz w:val="24"/>
              <w:szCs w:val="32"/>
            </w:rPr>
          </w:pPr>
          <w:r w:rsidRPr="00A42963">
            <w:rPr>
              <w:rFonts w:asciiTheme="minorHAnsi" w:hAnsiTheme="minorHAnsi" w:cstheme="minorHAnsi"/>
              <w:b/>
              <w:color w:val="00A98E"/>
              <w:sz w:val="24"/>
              <w:szCs w:val="32"/>
            </w:rPr>
            <w:t>Accordo Innovazione DM 31/12/2021</w:t>
          </w:r>
        </w:p>
        <w:p w:rsidRPr="00A42963" w:rsidR="00380ACF" w:rsidP="007D40B1" w:rsidRDefault="00380ACF" w14:paraId="4CD1470F" w14:textId="201B274D">
          <w:pPr>
            <w:jc w:val="center"/>
            <w:rPr>
              <w:rFonts w:asciiTheme="minorHAnsi" w:hAnsiTheme="minorHAnsi" w:cstheme="minorHAnsi"/>
              <w:b/>
              <w:color w:val="595959"/>
              <w:szCs w:val="24"/>
            </w:rPr>
          </w:pPr>
          <w:r w:rsidRPr="00A42963">
            <w:rPr>
              <w:rFonts w:asciiTheme="minorHAnsi" w:hAnsiTheme="minorHAnsi" w:cstheme="minorHAnsi"/>
              <w:b/>
              <w:color w:val="00A98E"/>
              <w:sz w:val="24"/>
              <w:szCs w:val="32"/>
            </w:rPr>
            <w:t xml:space="preserve">Prog. n. </w:t>
          </w:r>
          <w:r w:rsidRPr="00A42963" w:rsidR="00A42963">
            <w:rPr>
              <w:rFonts w:asciiTheme="minorHAnsi" w:hAnsiTheme="minorHAnsi" w:cstheme="minorHAnsi"/>
              <w:b/>
              <w:color w:val="00A98E"/>
              <w:sz w:val="24"/>
              <w:szCs w:val="32"/>
            </w:rPr>
            <w:t>F/310087/01-05/X56</w:t>
          </w:r>
          <w:r w:rsidRPr="00A42963" w:rsidR="00A42963">
            <w:rPr>
              <w:rFonts w:asciiTheme="minorHAnsi" w:hAnsiTheme="minorHAnsi" w:cstheme="minorHAnsi"/>
              <w:b/>
              <w:color w:val="595959"/>
              <w:sz w:val="24"/>
              <w:szCs w:val="32"/>
            </w:rPr>
            <w:t xml:space="preserve"> </w:t>
          </w:r>
        </w:p>
      </w:tc>
    </w:tr>
  </w:tbl>
  <w:p w:rsidRPr="00A42963" w:rsidR="00087A59" w:rsidP="00087A59" w:rsidRDefault="00087A59" w14:paraId="02404575" w14:textId="77777777">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tbl>
    <w:tblPr>
      <w:tblStyle w:val="Grigliatabella"/>
      <w:tblW w:w="0" w:type="auto"/>
      <w:tblBorders>
        <w:top w:val="single" w:color="024C41" w:sz="18" w:space="0"/>
        <w:left w:val="none" w:color="auto" w:sz="0" w:space="0"/>
        <w:bottom w:val="single" w:color="024C41" w:sz="18" w:space="0"/>
        <w:right w:val="none" w:color="auto" w:sz="0" w:space="0"/>
        <w:insideH w:val="none" w:color="auto" w:sz="0" w:space="0"/>
        <w:insideV w:val="none" w:color="auto" w:sz="0" w:space="0"/>
      </w:tblBorders>
      <w:tblLook w:val="04A0" w:firstRow="1" w:lastRow="0" w:firstColumn="1" w:lastColumn="0" w:noHBand="0" w:noVBand="1"/>
    </w:tblPr>
    <w:tblGrid>
      <w:gridCol w:w="4542"/>
      <w:gridCol w:w="6220"/>
    </w:tblGrid>
    <w:tr w:rsidRPr="00380ACF" w:rsidR="00380ACF" w:rsidTr="00A42963" w14:paraId="5203FB71" w14:textId="77777777">
      <w:tc>
        <w:tcPr>
          <w:tcW w:w="4542" w:type="dxa"/>
        </w:tcPr>
        <w:p w:rsidRPr="00F17E66" w:rsidR="00F17E66" w:rsidP="0015016E" w:rsidRDefault="00F17E66" w14:paraId="2F4F55F4" w14:textId="77777777">
          <w:pPr>
            <w:rPr>
              <w:sz w:val="10"/>
              <w:szCs w:val="10"/>
            </w:rPr>
          </w:pPr>
        </w:p>
        <w:p w:rsidR="00380ACF" w:rsidP="0015016E" w:rsidRDefault="00380ACF" w14:paraId="0EFBB021" w14:textId="6C951B90">
          <w:r w:rsidRPr="00380ACF">
            <w:rPr>
              <w:noProof/>
            </w:rPr>
            <w:drawing>
              <wp:inline distT="0" distB="0" distL="0" distR="0" wp14:anchorId="0A26CCA4" wp14:editId="55E72B44">
                <wp:extent cx="2047875" cy="1134548"/>
                <wp:effectExtent l="0" t="0" r="0" b="8890"/>
                <wp:docPr id="8886202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62020" name=""/>
                        <pic:cNvPicPr/>
                      </pic:nvPicPr>
                      <pic:blipFill>
                        <a:blip r:embed="rId1"/>
                        <a:stretch>
                          <a:fillRect/>
                        </a:stretch>
                      </pic:blipFill>
                      <pic:spPr>
                        <a:xfrm>
                          <a:off x="0" y="0"/>
                          <a:ext cx="2058155" cy="1140243"/>
                        </a:xfrm>
                        <a:prstGeom prst="rect">
                          <a:avLst/>
                        </a:prstGeom>
                      </pic:spPr>
                    </pic:pic>
                  </a:graphicData>
                </a:graphic>
              </wp:inline>
            </w:drawing>
          </w:r>
        </w:p>
        <w:p w:rsidRPr="00F17E66" w:rsidR="00F17E66" w:rsidP="0015016E" w:rsidRDefault="00F17E66" w14:paraId="6F560366" w14:textId="31DA55B3">
          <w:pPr>
            <w:rPr>
              <w:sz w:val="10"/>
              <w:szCs w:val="10"/>
            </w:rPr>
          </w:pPr>
        </w:p>
      </w:tc>
      <w:tc>
        <w:tcPr>
          <w:tcW w:w="6220" w:type="dxa"/>
        </w:tcPr>
        <w:p w:rsidR="00380ACF" w:rsidP="00002427" w:rsidRDefault="00380ACF" w14:paraId="236DDD0D" w14:textId="77777777">
          <w:pPr>
            <w:jc w:val="center"/>
            <w:rPr>
              <w:rFonts w:asciiTheme="minorHAnsi" w:hAnsiTheme="minorHAnsi" w:cstheme="minorHAnsi"/>
              <w:color w:val="525252" w:themeColor="accent3" w:themeShade="80"/>
              <w:sz w:val="28"/>
              <w:szCs w:val="24"/>
            </w:rPr>
          </w:pPr>
        </w:p>
        <w:p w:rsidRPr="00A42963" w:rsidR="00A42963" w:rsidP="00A42963" w:rsidRDefault="00A42963" w14:paraId="2BBAF2B0" w14:textId="77777777">
          <w:pPr>
            <w:jc w:val="center"/>
            <w:rPr>
              <w:rFonts w:asciiTheme="minorHAnsi" w:hAnsiTheme="minorHAnsi" w:cstheme="minorHAnsi"/>
              <w:b/>
              <w:color w:val="024C41"/>
              <w:sz w:val="32"/>
              <w:szCs w:val="36"/>
              <w:lang w:val="en-US"/>
            </w:rPr>
          </w:pPr>
          <w:proofErr w:type="spellStart"/>
          <w:r w:rsidRPr="00A42963">
            <w:rPr>
              <w:rFonts w:asciiTheme="minorHAnsi" w:hAnsiTheme="minorHAnsi" w:cstheme="minorHAnsi"/>
              <w:b/>
              <w:color w:val="024C41"/>
              <w:sz w:val="32"/>
              <w:szCs w:val="36"/>
              <w:lang w:val="en-US"/>
            </w:rPr>
            <w:t>SusTainable</w:t>
          </w:r>
          <w:proofErr w:type="spellEnd"/>
          <w:r w:rsidRPr="00A42963">
            <w:rPr>
              <w:rFonts w:asciiTheme="minorHAnsi" w:hAnsiTheme="minorHAnsi" w:cstheme="minorHAnsi"/>
              <w:b/>
              <w:color w:val="024C41"/>
              <w:sz w:val="32"/>
              <w:szCs w:val="36"/>
              <w:lang w:val="en-US"/>
            </w:rPr>
            <w:t xml:space="preserve"> </w:t>
          </w:r>
          <w:proofErr w:type="spellStart"/>
          <w:r w:rsidRPr="00A42963">
            <w:rPr>
              <w:rFonts w:asciiTheme="minorHAnsi" w:hAnsiTheme="minorHAnsi" w:cstheme="minorHAnsi"/>
              <w:b/>
              <w:color w:val="024C41"/>
              <w:sz w:val="32"/>
              <w:szCs w:val="36"/>
              <w:lang w:val="en-US"/>
            </w:rPr>
            <w:t>dAta-dRiven</w:t>
          </w:r>
          <w:proofErr w:type="spellEnd"/>
          <w:r w:rsidRPr="00A42963">
            <w:rPr>
              <w:rFonts w:asciiTheme="minorHAnsi" w:hAnsiTheme="minorHAnsi" w:cstheme="minorHAnsi"/>
              <w:b/>
              <w:color w:val="024C41"/>
              <w:sz w:val="32"/>
              <w:szCs w:val="36"/>
              <w:lang w:val="en-US"/>
            </w:rPr>
            <w:t xml:space="preserve"> </w:t>
          </w:r>
          <w:proofErr w:type="spellStart"/>
          <w:r w:rsidRPr="00A42963">
            <w:rPr>
              <w:rFonts w:asciiTheme="minorHAnsi" w:hAnsiTheme="minorHAnsi" w:cstheme="minorHAnsi"/>
              <w:b/>
              <w:color w:val="024C41"/>
              <w:sz w:val="32"/>
              <w:szCs w:val="36"/>
              <w:lang w:val="en-US"/>
            </w:rPr>
            <w:t>manufacTuring</w:t>
          </w:r>
          <w:proofErr w:type="spellEnd"/>
        </w:p>
        <w:p w:rsidRPr="00A42963" w:rsidR="00A42963" w:rsidP="00A42963" w:rsidRDefault="00A42963" w14:paraId="3DFD2533" w14:textId="77777777">
          <w:pPr>
            <w:jc w:val="center"/>
            <w:rPr>
              <w:rFonts w:asciiTheme="minorHAnsi" w:hAnsiTheme="minorHAnsi" w:cstheme="minorHAnsi"/>
              <w:b/>
              <w:color w:val="525252" w:themeColor="accent3" w:themeShade="80"/>
              <w:sz w:val="16"/>
              <w:szCs w:val="20"/>
              <w:lang w:val="en-US"/>
            </w:rPr>
          </w:pPr>
        </w:p>
        <w:p w:rsidRPr="00A42963" w:rsidR="00A42963" w:rsidP="00A42963" w:rsidRDefault="00A42963" w14:paraId="3388F882" w14:textId="77777777">
          <w:pPr>
            <w:jc w:val="center"/>
            <w:rPr>
              <w:rFonts w:asciiTheme="minorHAnsi" w:hAnsiTheme="minorHAnsi" w:cstheme="minorHAnsi"/>
              <w:b/>
              <w:color w:val="00A98E"/>
              <w:sz w:val="24"/>
              <w:szCs w:val="32"/>
            </w:rPr>
          </w:pPr>
          <w:r w:rsidRPr="00A42963">
            <w:rPr>
              <w:rFonts w:asciiTheme="minorHAnsi" w:hAnsiTheme="minorHAnsi" w:cstheme="minorHAnsi"/>
              <w:b/>
              <w:color w:val="00A98E"/>
              <w:sz w:val="24"/>
              <w:szCs w:val="32"/>
            </w:rPr>
            <w:t>Accordo Innovazione DM 31/12/2021</w:t>
          </w:r>
        </w:p>
        <w:p w:rsidRPr="008862C9" w:rsidR="00380ACF" w:rsidP="00A42963" w:rsidRDefault="00A42963" w14:paraId="0D1DF9C7" w14:textId="28B26B0B">
          <w:pPr>
            <w:jc w:val="center"/>
            <w:rPr>
              <w:rFonts w:asciiTheme="minorHAnsi" w:hAnsiTheme="minorHAnsi" w:cstheme="minorHAnsi"/>
              <w:b/>
              <w:color w:val="595959"/>
              <w:szCs w:val="24"/>
              <w:lang w:val="en-US"/>
            </w:rPr>
          </w:pPr>
          <w:r w:rsidRPr="00A42963">
            <w:rPr>
              <w:rFonts w:asciiTheme="minorHAnsi" w:hAnsiTheme="minorHAnsi" w:cstheme="minorHAnsi"/>
              <w:b/>
              <w:color w:val="00A98E"/>
              <w:sz w:val="24"/>
              <w:szCs w:val="32"/>
            </w:rPr>
            <w:t>Prog. n. F/310087/01-05/X56</w:t>
          </w:r>
        </w:p>
      </w:tc>
    </w:tr>
  </w:tbl>
  <w:p w:rsidRPr="00002427" w:rsidR="00A45435" w:rsidP="00087A59" w:rsidRDefault="00A45435" w14:paraId="7DD20812" w14:textId="77777777">
    <w:pPr>
      <w:pStyle w:val="Intestazione"/>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BD5014"/>
    <w:multiLevelType w:val="hybridMultilevel"/>
    <w:tmpl w:val="93769E98"/>
    <w:lvl w:ilvl="0" w:tplc="0410000F">
      <w:start w:val="1"/>
      <w:numFmt w:val="decimal"/>
      <w:lvlText w:val="%1."/>
      <w:lvlJc w:val="left"/>
      <w:pPr>
        <w:ind w:left="1004" w:hanging="360"/>
      </w:pPr>
    </w:lvl>
    <w:lvl w:ilvl="1" w:tplc="04100019" w:tentative="1">
      <w:start w:val="1"/>
      <w:numFmt w:val="lowerLetter"/>
      <w:lvlText w:val="%2."/>
      <w:lvlJc w:val="left"/>
      <w:pPr>
        <w:ind w:left="1724" w:hanging="360"/>
      </w:pPr>
    </w:lvl>
    <w:lvl w:ilvl="2" w:tplc="0410001B" w:tentative="1">
      <w:start w:val="1"/>
      <w:numFmt w:val="lowerRoman"/>
      <w:lvlText w:val="%3."/>
      <w:lvlJc w:val="right"/>
      <w:pPr>
        <w:ind w:left="2444" w:hanging="180"/>
      </w:pPr>
    </w:lvl>
    <w:lvl w:ilvl="3" w:tplc="0410000F" w:tentative="1">
      <w:start w:val="1"/>
      <w:numFmt w:val="decimal"/>
      <w:lvlText w:val="%4."/>
      <w:lvlJc w:val="left"/>
      <w:pPr>
        <w:ind w:left="3164" w:hanging="360"/>
      </w:pPr>
    </w:lvl>
    <w:lvl w:ilvl="4" w:tplc="04100019" w:tentative="1">
      <w:start w:val="1"/>
      <w:numFmt w:val="lowerLetter"/>
      <w:lvlText w:val="%5."/>
      <w:lvlJc w:val="left"/>
      <w:pPr>
        <w:ind w:left="3884" w:hanging="360"/>
      </w:pPr>
    </w:lvl>
    <w:lvl w:ilvl="5" w:tplc="0410001B" w:tentative="1">
      <w:start w:val="1"/>
      <w:numFmt w:val="lowerRoman"/>
      <w:lvlText w:val="%6."/>
      <w:lvlJc w:val="right"/>
      <w:pPr>
        <w:ind w:left="4604" w:hanging="180"/>
      </w:pPr>
    </w:lvl>
    <w:lvl w:ilvl="6" w:tplc="0410000F" w:tentative="1">
      <w:start w:val="1"/>
      <w:numFmt w:val="decimal"/>
      <w:lvlText w:val="%7."/>
      <w:lvlJc w:val="left"/>
      <w:pPr>
        <w:ind w:left="5324" w:hanging="360"/>
      </w:pPr>
    </w:lvl>
    <w:lvl w:ilvl="7" w:tplc="04100019" w:tentative="1">
      <w:start w:val="1"/>
      <w:numFmt w:val="lowerLetter"/>
      <w:lvlText w:val="%8."/>
      <w:lvlJc w:val="left"/>
      <w:pPr>
        <w:ind w:left="6044" w:hanging="360"/>
      </w:pPr>
    </w:lvl>
    <w:lvl w:ilvl="8" w:tplc="0410001B" w:tentative="1">
      <w:start w:val="1"/>
      <w:numFmt w:val="lowerRoman"/>
      <w:lvlText w:val="%9."/>
      <w:lvlJc w:val="right"/>
      <w:pPr>
        <w:ind w:left="6764" w:hanging="180"/>
      </w:pPr>
    </w:lvl>
  </w:abstractNum>
  <w:abstractNum w:abstractNumId="1" w15:restartNumberingAfterBreak="0">
    <w:nsid w:val="14121B98"/>
    <w:multiLevelType w:val="hybridMultilevel"/>
    <w:tmpl w:val="AD8680F6"/>
    <w:lvl w:ilvl="0" w:tplc="8AC64D14">
      <w:start w:val="1"/>
      <w:numFmt w:val="bullet"/>
      <w:pStyle w:val="cElencoPuntato"/>
      <w:lvlText w:val=""/>
      <w:lvlJc w:val="left"/>
      <w:pPr>
        <w:tabs>
          <w:tab w:val="num" w:pos="720"/>
        </w:tabs>
        <w:ind w:left="720" w:hanging="360"/>
      </w:pPr>
      <w:rPr>
        <w:rFonts w:hint="default" w:ascii="Symbol" w:hAnsi="Symbol"/>
      </w:rPr>
    </w:lvl>
    <w:lvl w:ilvl="1" w:tplc="C91830AC">
      <w:start w:val="1"/>
      <w:numFmt w:val="decimal"/>
      <w:pStyle w:val="cElencoNumerato"/>
      <w:lvlText w:val="%2."/>
      <w:lvlJc w:val="left"/>
      <w:pPr>
        <w:tabs>
          <w:tab w:val="num" w:pos="1440"/>
        </w:tabs>
        <w:ind w:left="1440" w:hanging="360"/>
      </w:pPr>
      <w:rPr>
        <w:rFonts w:hint="default"/>
      </w:rPr>
    </w:lvl>
    <w:lvl w:ilvl="2" w:tplc="04100005" w:tentative="1">
      <w:start w:val="1"/>
      <w:numFmt w:val="bullet"/>
      <w:lvlText w:val=""/>
      <w:lvlJc w:val="left"/>
      <w:pPr>
        <w:tabs>
          <w:tab w:val="num" w:pos="2160"/>
        </w:tabs>
        <w:ind w:left="2160" w:hanging="360"/>
      </w:pPr>
      <w:rPr>
        <w:rFonts w:hint="default" w:ascii="Wingdings" w:hAnsi="Wingdings"/>
      </w:rPr>
    </w:lvl>
    <w:lvl w:ilvl="3" w:tplc="04100001" w:tentative="1">
      <w:start w:val="1"/>
      <w:numFmt w:val="bullet"/>
      <w:lvlText w:val=""/>
      <w:lvlJc w:val="left"/>
      <w:pPr>
        <w:tabs>
          <w:tab w:val="num" w:pos="2880"/>
        </w:tabs>
        <w:ind w:left="2880" w:hanging="360"/>
      </w:pPr>
      <w:rPr>
        <w:rFonts w:hint="default" w:ascii="Symbol" w:hAnsi="Symbol"/>
      </w:rPr>
    </w:lvl>
    <w:lvl w:ilvl="4" w:tplc="04100003" w:tentative="1">
      <w:start w:val="1"/>
      <w:numFmt w:val="bullet"/>
      <w:lvlText w:val="o"/>
      <w:lvlJc w:val="left"/>
      <w:pPr>
        <w:tabs>
          <w:tab w:val="num" w:pos="3600"/>
        </w:tabs>
        <w:ind w:left="3600" w:hanging="360"/>
      </w:pPr>
      <w:rPr>
        <w:rFonts w:hint="default" w:ascii="Courier New" w:hAnsi="Courier New" w:cs="Courier New"/>
      </w:rPr>
    </w:lvl>
    <w:lvl w:ilvl="5" w:tplc="04100005" w:tentative="1">
      <w:start w:val="1"/>
      <w:numFmt w:val="bullet"/>
      <w:lvlText w:val=""/>
      <w:lvlJc w:val="left"/>
      <w:pPr>
        <w:tabs>
          <w:tab w:val="num" w:pos="4320"/>
        </w:tabs>
        <w:ind w:left="4320" w:hanging="360"/>
      </w:pPr>
      <w:rPr>
        <w:rFonts w:hint="default" w:ascii="Wingdings" w:hAnsi="Wingdings"/>
      </w:rPr>
    </w:lvl>
    <w:lvl w:ilvl="6" w:tplc="04100001" w:tentative="1">
      <w:start w:val="1"/>
      <w:numFmt w:val="bullet"/>
      <w:lvlText w:val=""/>
      <w:lvlJc w:val="left"/>
      <w:pPr>
        <w:tabs>
          <w:tab w:val="num" w:pos="5040"/>
        </w:tabs>
        <w:ind w:left="5040" w:hanging="360"/>
      </w:pPr>
      <w:rPr>
        <w:rFonts w:hint="default" w:ascii="Symbol" w:hAnsi="Symbol"/>
      </w:rPr>
    </w:lvl>
    <w:lvl w:ilvl="7" w:tplc="04100003" w:tentative="1">
      <w:start w:val="1"/>
      <w:numFmt w:val="bullet"/>
      <w:lvlText w:val="o"/>
      <w:lvlJc w:val="left"/>
      <w:pPr>
        <w:tabs>
          <w:tab w:val="num" w:pos="5760"/>
        </w:tabs>
        <w:ind w:left="5760" w:hanging="360"/>
      </w:pPr>
      <w:rPr>
        <w:rFonts w:hint="default" w:ascii="Courier New" w:hAnsi="Courier New" w:cs="Courier New"/>
      </w:rPr>
    </w:lvl>
    <w:lvl w:ilvl="8" w:tplc="04100005" w:tentative="1">
      <w:start w:val="1"/>
      <w:numFmt w:val="bullet"/>
      <w:lvlText w:val=""/>
      <w:lvlJc w:val="left"/>
      <w:pPr>
        <w:tabs>
          <w:tab w:val="num" w:pos="6480"/>
        </w:tabs>
        <w:ind w:left="6480" w:hanging="360"/>
      </w:pPr>
      <w:rPr>
        <w:rFonts w:hint="default" w:ascii="Wingdings" w:hAnsi="Wingdings"/>
      </w:rPr>
    </w:lvl>
  </w:abstractNum>
  <w:abstractNum w:abstractNumId="2" w15:restartNumberingAfterBreak="0">
    <w:nsid w:val="220557A6"/>
    <w:multiLevelType w:val="hybridMultilevel"/>
    <w:tmpl w:val="7F88E97C"/>
    <w:lvl w:ilvl="0" w:tplc="0410000F">
      <w:start w:val="1"/>
      <w:numFmt w:val="decimal"/>
      <w:lvlText w:val="%1."/>
      <w:lvlJc w:val="left"/>
      <w:pPr>
        <w:ind w:left="1068" w:hanging="360"/>
      </w:p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3" w15:restartNumberingAfterBreak="0">
    <w:nsid w:val="2D960A9C"/>
    <w:multiLevelType w:val="hybridMultilevel"/>
    <w:tmpl w:val="93769E98"/>
    <w:lvl w:ilvl="0" w:tplc="0410000F">
      <w:start w:val="1"/>
      <w:numFmt w:val="decimal"/>
      <w:lvlText w:val="%1."/>
      <w:lvlJc w:val="left"/>
      <w:pPr>
        <w:ind w:left="1004" w:hanging="360"/>
      </w:pPr>
    </w:lvl>
    <w:lvl w:ilvl="1" w:tplc="04100019" w:tentative="1">
      <w:start w:val="1"/>
      <w:numFmt w:val="lowerLetter"/>
      <w:lvlText w:val="%2."/>
      <w:lvlJc w:val="left"/>
      <w:pPr>
        <w:ind w:left="1724" w:hanging="360"/>
      </w:pPr>
    </w:lvl>
    <w:lvl w:ilvl="2" w:tplc="0410001B" w:tentative="1">
      <w:start w:val="1"/>
      <w:numFmt w:val="lowerRoman"/>
      <w:lvlText w:val="%3."/>
      <w:lvlJc w:val="right"/>
      <w:pPr>
        <w:ind w:left="2444" w:hanging="180"/>
      </w:pPr>
    </w:lvl>
    <w:lvl w:ilvl="3" w:tplc="0410000F" w:tentative="1">
      <w:start w:val="1"/>
      <w:numFmt w:val="decimal"/>
      <w:lvlText w:val="%4."/>
      <w:lvlJc w:val="left"/>
      <w:pPr>
        <w:ind w:left="3164" w:hanging="360"/>
      </w:pPr>
    </w:lvl>
    <w:lvl w:ilvl="4" w:tplc="04100019" w:tentative="1">
      <w:start w:val="1"/>
      <w:numFmt w:val="lowerLetter"/>
      <w:lvlText w:val="%5."/>
      <w:lvlJc w:val="left"/>
      <w:pPr>
        <w:ind w:left="3884" w:hanging="360"/>
      </w:pPr>
    </w:lvl>
    <w:lvl w:ilvl="5" w:tplc="0410001B" w:tentative="1">
      <w:start w:val="1"/>
      <w:numFmt w:val="lowerRoman"/>
      <w:lvlText w:val="%6."/>
      <w:lvlJc w:val="right"/>
      <w:pPr>
        <w:ind w:left="4604" w:hanging="180"/>
      </w:pPr>
    </w:lvl>
    <w:lvl w:ilvl="6" w:tplc="0410000F" w:tentative="1">
      <w:start w:val="1"/>
      <w:numFmt w:val="decimal"/>
      <w:lvlText w:val="%7."/>
      <w:lvlJc w:val="left"/>
      <w:pPr>
        <w:ind w:left="5324" w:hanging="360"/>
      </w:pPr>
    </w:lvl>
    <w:lvl w:ilvl="7" w:tplc="04100019" w:tentative="1">
      <w:start w:val="1"/>
      <w:numFmt w:val="lowerLetter"/>
      <w:lvlText w:val="%8."/>
      <w:lvlJc w:val="left"/>
      <w:pPr>
        <w:ind w:left="6044" w:hanging="360"/>
      </w:pPr>
    </w:lvl>
    <w:lvl w:ilvl="8" w:tplc="0410001B" w:tentative="1">
      <w:start w:val="1"/>
      <w:numFmt w:val="lowerRoman"/>
      <w:lvlText w:val="%9."/>
      <w:lvlJc w:val="right"/>
      <w:pPr>
        <w:ind w:left="6764" w:hanging="180"/>
      </w:pPr>
    </w:lvl>
  </w:abstractNum>
  <w:abstractNum w:abstractNumId="4" w15:restartNumberingAfterBreak="0">
    <w:nsid w:val="2DF2637A"/>
    <w:multiLevelType w:val="hybridMultilevel"/>
    <w:tmpl w:val="22441060"/>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5" w15:restartNumberingAfterBreak="0">
    <w:nsid w:val="475E36B0"/>
    <w:multiLevelType w:val="hybridMultilevel"/>
    <w:tmpl w:val="85B4CF3C"/>
    <w:lvl w:ilvl="0" w:tplc="0410001B">
      <w:start w:val="1"/>
      <w:numFmt w:val="lowerRoman"/>
      <w:lvlText w:val="%1."/>
      <w:lvlJc w:val="righ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4F5123DF"/>
    <w:multiLevelType w:val="hybridMultilevel"/>
    <w:tmpl w:val="BF0CD84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869414988">
    <w:abstractNumId w:val="1"/>
  </w:num>
  <w:num w:numId="2" w16cid:durableId="191889600">
    <w:abstractNumId w:val="0"/>
  </w:num>
  <w:num w:numId="3" w16cid:durableId="1405685383">
    <w:abstractNumId w:val="3"/>
  </w:num>
  <w:num w:numId="4" w16cid:durableId="905260640">
    <w:abstractNumId w:val="6"/>
  </w:num>
  <w:num w:numId="5" w16cid:durableId="453256951">
    <w:abstractNumId w:val="2"/>
  </w:num>
  <w:num w:numId="6" w16cid:durableId="522670935">
    <w:abstractNumId w:val="4"/>
  </w:num>
  <w:num w:numId="7" w16cid:durableId="10790593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08"/>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2CE5"/>
    <w:rsid w:val="00001033"/>
    <w:rsid w:val="00002427"/>
    <w:rsid w:val="00006006"/>
    <w:rsid w:val="00024280"/>
    <w:rsid w:val="00052384"/>
    <w:rsid w:val="00064C8D"/>
    <w:rsid w:val="0008606B"/>
    <w:rsid w:val="00087A59"/>
    <w:rsid w:val="000A188F"/>
    <w:rsid w:val="000B3532"/>
    <w:rsid w:val="000B5364"/>
    <w:rsid w:val="000E0F4B"/>
    <w:rsid w:val="00100C27"/>
    <w:rsid w:val="0010451F"/>
    <w:rsid w:val="001051CE"/>
    <w:rsid w:val="0010645D"/>
    <w:rsid w:val="00113341"/>
    <w:rsid w:val="00127BBC"/>
    <w:rsid w:val="001449AE"/>
    <w:rsid w:val="001462FF"/>
    <w:rsid w:val="00146F78"/>
    <w:rsid w:val="0015016E"/>
    <w:rsid w:val="001510E5"/>
    <w:rsid w:val="001554A8"/>
    <w:rsid w:val="001653F0"/>
    <w:rsid w:val="001822C7"/>
    <w:rsid w:val="00191ADB"/>
    <w:rsid w:val="001A0748"/>
    <w:rsid w:val="001C44BF"/>
    <w:rsid w:val="001E600D"/>
    <w:rsid w:val="00222544"/>
    <w:rsid w:val="00227AC2"/>
    <w:rsid w:val="002975EB"/>
    <w:rsid w:val="002A5642"/>
    <w:rsid w:val="002B45C4"/>
    <w:rsid w:val="002E15C9"/>
    <w:rsid w:val="002E47CA"/>
    <w:rsid w:val="002E484B"/>
    <w:rsid w:val="002F7338"/>
    <w:rsid w:val="00315AA6"/>
    <w:rsid w:val="003322CF"/>
    <w:rsid w:val="00343A1A"/>
    <w:rsid w:val="00347BBE"/>
    <w:rsid w:val="00350A3F"/>
    <w:rsid w:val="00370626"/>
    <w:rsid w:val="00371FD0"/>
    <w:rsid w:val="00380ACF"/>
    <w:rsid w:val="0038210E"/>
    <w:rsid w:val="00382ABE"/>
    <w:rsid w:val="00383857"/>
    <w:rsid w:val="00383873"/>
    <w:rsid w:val="00385DCD"/>
    <w:rsid w:val="00387C8F"/>
    <w:rsid w:val="003A3863"/>
    <w:rsid w:val="003A57CA"/>
    <w:rsid w:val="003C3A0D"/>
    <w:rsid w:val="003C64CC"/>
    <w:rsid w:val="003C78BD"/>
    <w:rsid w:val="003D56D6"/>
    <w:rsid w:val="003E42C0"/>
    <w:rsid w:val="003F4647"/>
    <w:rsid w:val="0040212E"/>
    <w:rsid w:val="00414D72"/>
    <w:rsid w:val="00426722"/>
    <w:rsid w:val="00432469"/>
    <w:rsid w:val="00434775"/>
    <w:rsid w:val="00442016"/>
    <w:rsid w:val="00443BED"/>
    <w:rsid w:val="00450950"/>
    <w:rsid w:val="00450A34"/>
    <w:rsid w:val="00450E87"/>
    <w:rsid w:val="0047034A"/>
    <w:rsid w:val="004710B2"/>
    <w:rsid w:val="004916F7"/>
    <w:rsid w:val="00493606"/>
    <w:rsid w:val="00493E90"/>
    <w:rsid w:val="004B09C4"/>
    <w:rsid w:val="004E415B"/>
    <w:rsid w:val="004E44AC"/>
    <w:rsid w:val="004F0C5E"/>
    <w:rsid w:val="004F0D85"/>
    <w:rsid w:val="004F32C6"/>
    <w:rsid w:val="004F52C7"/>
    <w:rsid w:val="005020E1"/>
    <w:rsid w:val="00506E16"/>
    <w:rsid w:val="0052090E"/>
    <w:rsid w:val="00530C1B"/>
    <w:rsid w:val="00562094"/>
    <w:rsid w:val="005635AE"/>
    <w:rsid w:val="0057172B"/>
    <w:rsid w:val="0058302C"/>
    <w:rsid w:val="005A3044"/>
    <w:rsid w:val="005A5BFE"/>
    <w:rsid w:val="005B40DA"/>
    <w:rsid w:val="005B52BF"/>
    <w:rsid w:val="005B5379"/>
    <w:rsid w:val="005B6BE3"/>
    <w:rsid w:val="005C62FD"/>
    <w:rsid w:val="005E6551"/>
    <w:rsid w:val="005E7218"/>
    <w:rsid w:val="005F7F0A"/>
    <w:rsid w:val="0061475E"/>
    <w:rsid w:val="00615811"/>
    <w:rsid w:val="00625C20"/>
    <w:rsid w:val="0063488E"/>
    <w:rsid w:val="00634A47"/>
    <w:rsid w:val="00641534"/>
    <w:rsid w:val="00642610"/>
    <w:rsid w:val="00655FC3"/>
    <w:rsid w:val="006870C1"/>
    <w:rsid w:val="006C6880"/>
    <w:rsid w:val="006C6D64"/>
    <w:rsid w:val="006F4EFB"/>
    <w:rsid w:val="006F5C0B"/>
    <w:rsid w:val="006F7023"/>
    <w:rsid w:val="00720738"/>
    <w:rsid w:val="00725F1C"/>
    <w:rsid w:val="00730651"/>
    <w:rsid w:val="00730942"/>
    <w:rsid w:val="00755FC1"/>
    <w:rsid w:val="007646A3"/>
    <w:rsid w:val="00783232"/>
    <w:rsid w:val="00792B4F"/>
    <w:rsid w:val="00796574"/>
    <w:rsid w:val="007D40B1"/>
    <w:rsid w:val="007F6F05"/>
    <w:rsid w:val="0081034F"/>
    <w:rsid w:val="0083544C"/>
    <w:rsid w:val="0083750A"/>
    <w:rsid w:val="0084603E"/>
    <w:rsid w:val="00846290"/>
    <w:rsid w:val="0085429B"/>
    <w:rsid w:val="008629CF"/>
    <w:rsid w:val="008862C9"/>
    <w:rsid w:val="00893C53"/>
    <w:rsid w:val="008A5A0D"/>
    <w:rsid w:val="008B7110"/>
    <w:rsid w:val="008C7ABE"/>
    <w:rsid w:val="008F5B7D"/>
    <w:rsid w:val="008F7966"/>
    <w:rsid w:val="00924708"/>
    <w:rsid w:val="0097184C"/>
    <w:rsid w:val="00973674"/>
    <w:rsid w:val="00992EC6"/>
    <w:rsid w:val="00993B29"/>
    <w:rsid w:val="009A3651"/>
    <w:rsid w:val="009A6504"/>
    <w:rsid w:val="009B40B9"/>
    <w:rsid w:val="009B5D8D"/>
    <w:rsid w:val="009D4F69"/>
    <w:rsid w:val="009F0CC0"/>
    <w:rsid w:val="009F6E03"/>
    <w:rsid w:val="00A031DD"/>
    <w:rsid w:val="00A107D3"/>
    <w:rsid w:val="00A17053"/>
    <w:rsid w:val="00A265D6"/>
    <w:rsid w:val="00A3371E"/>
    <w:rsid w:val="00A4172F"/>
    <w:rsid w:val="00A42963"/>
    <w:rsid w:val="00A45435"/>
    <w:rsid w:val="00A52CEE"/>
    <w:rsid w:val="00A550B9"/>
    <w:rsid w:val="00A67E40"/>
    <w:rsid w:val="00A72558"/>
    <w:rsid w:val="00A914BD"/>
    <w:rsid w:val="00AA3622"/>
    <w:rsid w:val="00AB1E29"/>
    <w:rsid w:val="00AC7E41"/>
    <w:rsid w:val="00AE28DE"/>
    <w:rsid w:val="00AF5714"/>
    <w:rsid w:val="00B1109C"/>
    <w:rsid w:val="00B2460F"/>
    <w:rsid w:val="00B30CF7"/>
    <w:rsid w:val="00B34DCE"/>
    <w:rsid w:val="00B52762"/>
    <w:rsid w:val="00B613C9"/>
    <w:rsid w:val="00B70282"/>
    <w:rsid w:val="00B70A7C"/>
    <w:rsid w:val="00B71BC6"/>
    <w:rsid w:val="00B751DC"/>
    <w:rsid w:val="00B75822"/>
    <w:rsid w:val="00B76C04"/>
    <w:rsid w:val="00B80B8C"/>
    <w:rsid w:val="00B83568"/>
    <w:rsid w:val="00B8550D"/>
    <w:rsid w:val="00B86FB9"/>
    <w:rsid w:val="00B91BC2"/>
    <w:rsid w:val="00BA013B"/>
    <w:rsid w:val="00BA6AFC"/>
    <w:rsid w:val="00BA7CD5"/>
    <w:rsid w:val="00BB2626"/>
    <w:rsid w:val="00BE07DF"/>
    <w:rsid w:val="00BE3462"/>
    <w:rsid w:val="00BE7CC2"/>
    <w:rsid w:val="00BF0D90"/>
    <w:rsid w:val="00C04F39"/>
    <w:rsid w:val="00C05E87"/>
    <w:rsid w:val="00C10053"/>
    <w:rsid w:val="00C209DC"/>
    <w:rsid w:val="00C231E0"/>
    <w:rsid w:val="00C27F1C"/>
    <w:rsid w:val="00C57075"/>
    <w:rsid w:val="00C8188E"/>
    <w:rsid w:val="00CA6DE6"/>
    <w:rsid w:val="00CB0E79"/>
    <w:rsid w:val="00CE26FC"/>
    <w:rsid w:val="00CF2A77"/>
    <w:rsid w:val="00D00B54"/>
    <w:rsid w:val="00D13170"/>
    <w:rsid w:val="00D2509B"/>
    <w:rsid w:val="00D311C2"/>
    <w:rsid w:val="00D37CF8"/>
    <w:rsid w:val="00D42E90"/>
    <w:rsid w:val="00D50B33"/>
    <w:rsid w:val="00D651DA"/>
    <w:rsid w:val="00D74CD3"/>
    <w:rsid w:val="00D93A8C"/>
    <w:rsid w:val="00D94EF4"/>
    <w:rsid w:val="00D97864"/>
    <w:rsid w:val="00DA23F0"/>
    <w:rsid w:val="00DB1A5B"/>
    <w:rsid w:val="00DC1BE9"/>
    <w:rsid w:val="00DE103F"/>
    <w:rsid w:val="00DE2135"/>
    <w:rsid w:val="00DE3725"/>
    <w:rsid w:val="00DE3A80"/>
    <w:rsid w:val="00DE7D27"/>
    <w:rsid w:val="00DF70B0"/>
    <w:rsid w:val="00E00C2B"/>
    <w:rsid w:val="00E14603"/>
    <w:rsid w:val="00E15F0D"/>
    <w:rsid w:val="00E34E57"/>
    <w:rsid w:val="00E551CC"/>
    <w:rsid w:val="00E611F1"/>
    <w:rsid w:val="00E64474"/>
    <w:rsid w:val="00E72CA7"/>
    <w:rsid w:val="00E84486"/>
    <w:rsid w:val="00E924E9"/>
    <w:rsid w:val="00EB1C73"/>
    <w:rsid w:val="00EC0D9B"/>
    <w:rsid w:val="00EE5CAC"/>
    <w:rsid w:val="00F17E66"/>
    <w:rsid w:val="00F21F66"/>
    <w:rsid w:val="00F232FF"/>
    <w:rsid w:val="00F34BF3"/>
    <w:rsid w:val="00F406F1"/>
    <w:rsid w:val="00F560E0"/>
    <w:rsid w:val="00F6345D"/>
    <w:rsid w:val="00F85C74"/>
    <w:rsid w:val="00F92042"/>
    <w:rsid w:val="00F976DC"/>
    <w:rsid w:val="00FA2CE5"/>
    <w:rsid w:val="00FC24C7"/>
    <w:rsid w:val="00FC3370"/>
    <w:rsid w:val="00FD34F7"/>
    <w:rsid w:val="00FD6B54"/>
    <w:rsid w:val="00FF0C55"/>
    <w:rsid w:val="1775785A"/>
    <w:rsid w:val="1956D9D2"/>
    <w:rsid w:val="23A1DAF1"/>
    <w:rsid w:val="23DA3E87"/>
    <w:rsid w:val="2CCD05E7"/>
    <w:rsid w:val="4663C8B5"/>
    <w:rsid w:val="55E9D4E7"/>
    <w:rsid w:val="70697FB7"/>
    <w:rsid w:val="7191D35C"/>
    <w:rsid w:val="76E9792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A5BCCB"/>
  <w15:chartTrackingRefBased/>
  <w15:docId w15:val="{8246964D-62D7-48E0-80E5-947F35355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hAnsi="Times New Roman" w:eastAsia="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e" w:default="1">
    <w:name w:val="Normal"/>
    <w:qFormat/>
    <w:rsid w:val="00A42963"/>
    <w:rPr>
      <w:rFonts w:ascii="Arial Narrow" w:hAnsi="Arial Narrow"/>
      <w:sz w:val="22"/>
      <w:szCs w:val="22"/>
    </w:rPr>
  </w:style>
  <w:style w:type="character" w:styleId="Carpredefinitoparagrafo" w:default="1">
    <w:name w:val="Default Paragraph Font"/>
    <w:uiPriority w:val="1"/>
    <w:unhideWhenUsed/>
  </w:style>
  <w:style w:type="table" w:styleId="Tabellanormale" w:default="1">
    <w:name w:val="Normal Table"/>
    <w:uiPriority w:val="99"/>
    <w:semiHidden/>
    <w:unhideWhenUsed/>
    <w:tblPr>
      <w:tblInd w:w="0" w:type="dxa"/>
      <w:tblCellMar>
        <w:top w:w="0" w:type="dxa"/>
        <w:left w:w="108" w:type="dxa"/>
        <w:bottom w:w="0" w:type="dxa"/>
        <w:right w:w="108" w:type="dxa"/>
      </w:tblCellMar>
    </w:tblPr>
  </w:style>
  <w:style w:type="numbering" w:styleId="Nessunelenco" w:default="1">
    <w:name w:val="No List"/>
    <w:uiPriority w:val="99"/>
    <w:semiHidden/>
    <w:unhideWhenUsed/>
  </w:style>
  <w:style w:type="paragraph" w:styleId="Intestazione">
    <w:name w:val="header"/>
    <w:basedOn w:val="Normale"/>
    <w:rsid w:val="0083544C"/>
    <w:pPr>
      <w:tabs>
        <w:tab w:val="center" w:pos="4819"/>
        <w:tab w:val="right" w:pos="9638"/>
      </w:tabs>
    </w:pPr>
  </w:style>
  <w:style w:type="paragraph" w:styleId="Pidipagina">
    <w:name w:val="footer"/>
    <w:basedOn w:val="Normale"/>
    <w:link w:val="PidipaginaCarattere"/>
    <w:uiPriority w:val="99"/>
    <w:rsid w:val="0083544C"/>
    <w:pPr>
      <w:tabs>
        <w:tab w:val="center" w:pos="4819"/>
        <w:tab w:val="right" w:pos="9638"/>
      </w:tabs>
    </w:pPr>
  </w:style>
  <w:style w:type="character" w:styleId="Collegamentoipertestuale">
    <w:name w:val="Hyperlink"/>
    <w:basedOn w:val="Carpredefinitoparagrafo"/>
    <w:rsid w:val="00383873"/>
    <w:rPr>
      <w:color w:val="0000FF"/>
      <w:u w:val="single"/>
    </w:rPr>
  </w:style>
  <w:style w:type="paragraph" w:styleId="cIndirizzo" w:customStyle="1">
    <w:name w:val="cIndirizzo"/>
    <w:basedOn w:val="Normale"/>
    <w:next w:val="Normale"/>
    <w:rsid w:val="00893C53"/>
    <w:pPr>
      <w:ind w:left="6804"/>
    </w:pPr>
  </w:style>
  <w:style w:type="paragraph" w:styleId="cCorteseAttenzione" w:customStyle="1">
    <w:name w:val="cCorteseAttenzione"/>
    <w:basedOn w:val="Normale"/>
    <w:next w:val="cIndirizzo"/>
    <w:rsid w:val="00893C53"/>
    <w:pPr>
      <w:ind w:left="6804"/>
    </w:pPr>
    <w:rPr>
      <w:i/>
    </w:rPr>
  </w:style>
  <w:style w:type="paragraph" w:styleId="cRagioneSociale" w:customStyle="1">
    <w:name w:val="cRagioneSociale"/>
    <w:basedOn w:val="Normale"/>
    <w:next w:val="cCorteseAttenzione"/>
    <w:rsid w:val="00E14603"/>
    <w:pPr>
      <w:spacing w:before="480"/>
      <w:ind w:left="6804"/>
    </w:pPr>
    <w:rPr>
      <w:b/>
    </w:rPr>
  </w:style>
  <w:style w:type="paragraph" w:styleId="cOggetto" w:customStyle="1">
    <w:name w:val="cOggetto"/>
    <w:basedOn w:val="Normale"/>
    <w:next w:val="Normale"/>
    <w:rsid w:val="00893C53"/>
    <w:pPr>
      <w:spacing w:before="480" w:after="360"/>
    </w:pPr>
  </w:style>
  <w:style w:type="paragraph" w:styleId="cElencoPuntato" w:customStyle="1">
    <w:name w:val="cElencoPuntato"/>
    <w:basedOn w:val="Normale"/>
    <w:rsid w:val="00893C53"/>
    <w:pPr>
      <w:numPr>
        <w:numId w:val="1"/>
      </w:numPr>
      <w:tabs>
        <w:tab w:val="clear" w:pos="720"/>
        <w:tab w:val="num" w:pos="360"/>
      </w:tabs>
      <w:ind w:left="360" w:hanging="180"/>
    </w:pPr>
  </w:style>
  <w:style w:type="paragraph" w:styleId="cElencoNumerato" w:customStyle="1">
    <w:name w:val="cElencoNumerato"/>
    <w:basedOn w:val="Normale"/>
    <w:rsid w:val="00893C53"/>
    <w:pPr>
      <w:numPr>
        <w:ilvl w:val="1"/>
        <w:numId w:val="1"/>
      </w:numPr>
      <w:tabs>
        <w:tab w:val="clear" w:pos="1440"/>
        <w:tab w:val="num" w:pos="360"/>
      </w:tabs>
      <w:ind w:left="360" w:hanging="180"/>
    </w:pPr>
  </w:style>
  <w:style w:type="paragraph" w:styleId="cSaluto" w:customStyle="1">
    <w:name w:val="cSaluto"/>
    <w:basedOn w:val="Normale"/>
    <w:next w:val="Normale"/>
    <w:rsid w:val="00DE103F"/>
    <w:pPr>
      <w:spacing w:after="120"/>
    </w:pPr>
    <w:rPr>
      <w:i/>
    </w:rPr>
  </w:style>
  <w:style w:type="paragraph" w:styleId="cFunzioneFirmatario" w:customStyle="1">
    <w:name w:val="cFunzioneFirmatario"/>
    <w:basedOn w:val="Normale"/>
    <w:next w:val="Normale"/>
    <w:rsid w:val="00D00B54"/>
    <w:pPr>
      <w:ind w:left="6804"/>
    </w:pPr>
    <w:rPr>
      <w:i/>
    </w:rPr>
  </w:style>
  <w:style w:type="paragraph" w:styleId="cFirmatario" w:customStyle="1">
    <w:name w:val="cFirmatario"/>
    <w:basedOn w:val="Normale"/>
    <w:next w:val="cFunzioneFirmatario"/>
    <w:rsid w:val="00D00B54"/>
    <w:pPr>
      <w:spacing w:before="480"/>
      <w:ind w:left="6804"/>
    </w:pPr>
  </w:style>
  <w:style w:type="table" w:styleId="Grigliatabella">
    <w:name w:val="Table Grid"/>
    <w:basedOn w:val="Tabellanormale"/>
    <w:rsid w:val="00B751DC"/>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Numeropagina">
    <w:name w:val="page number"/>
    <w:basedOn w:val="Carpredefinitoparagrafo"/>
    <w:rsid w:val="00B751DC"/>
  </w:style>
  <w:style w:type="paragraph" w:styleId="Paragrafoelenco">
    <w:name w:val="List Paragraph"/>
    <w:basedOn w:val="Normale"/>
    <w:uiPriority w:val="34"/>
    <w:qFormat/>
    <w:rsid w:val="00CA6DE6"/>
    <w:pPr>
      <w:ind w:left="720"/>
      <w:contextualSpacing/>
    </w:pPr>
  </w:style>
  <w:style w:type="character" w:styleId="PidipaginaCarattere" w:customStyle="1">
    <w:name w:val="Piè di pagina Carattere"/>
    <w:basedOn w:val="Carpredefinitoparagrafo"/>
    <w:link w:val="Pidipagina"/>
    <w:uiPriority w:val="99"/>
    <w:rsid w:val="00370626"/>
    <w:rPr>
      <w:rFonts w:ascii="Arial Narrow" w:hAnsi="Arial Narrow"/>
      <w:sz w:val="22"/>
      <w:szCs w:val="22"/>
    </w:rPr>
  </w:style>
  <w:style w:type="character" w:styleId="Collegamentovisitato">
    <w:name w:val="FollowedHyperlink"/>
    <w:basedOn w:val="Carpredefinitoparagrafo"/>
    <w:rsid w:val="00F560E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eramichegresmalt.sharepoint.com/sites/progettistartvolt/Documenti%20condivisi/S4.Attivit&#224;%20di%20R&amp;S%20-%20OR/1.Piano%20di%20Sviluppo%20Finale/START_Piano_di_Sviluppo_all4_integrato.pdf?CT=1689066917148&amp;OR=ItemsView"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18" Type="http://schemas.openxmlformats.org/officeDocument/2006/relationships/image" Target="media/image3.png"/><Relationship Id="rId19" Type="http://schemas.openxmlformats.org/officeDocument/2006/relationships/image" Target="media/svg1.svg"/><Relationship Id="rId20" Type="http://schemas.openxmlformats.org/officeDocument/2006/relationships/image" Target="media/image4.png"/><Relationship Id="rId21" Type="http://schemas.openxmlformats.org/officeDocument/2006/relationships/image" Target="media/svg2.svg"/><Relationship Id="rId22" Type="http://schemas.openxmlformats.org/officeDocument/2006/relationships/image" Target="media/image5.png"/><Relationship Id="rId23" Type="http://schemas.openxmlformats.org/officeDocument/2006/relationships/image" Target="media/svg3.svg"/><Relationship Id="rId24" Type="http://schemas.openxmlformats.org/officeDocument/2006/relationships/image" Target="media/image6.png"/><Relationship Id="rId25" Type="http://schemas.openxmlformats.org/officeDocument/2006/relationships/image" Target="media/svg4.svg"/><Relationship Id="rId26" Type="http://schemas.openxmlformats.org/officeDocument/2006/relationships/image" Target="media/image7.png"/><Relationship Id="rId27" Type="http://schemas.openxmlformats.org/officeDocument/2006/relationships/image" Target="media/svg5.svg"/><Relationship Id="rId28" Type="http://schemas.openxmlformats.org/officeDocument/2006/relationships/image" Target="media/image8.png"/><Relationship Id="rId29" Type="http://schemas.openxmlformats.org/officeDocument/2006/relationships/image" Target="media/svg6.svg"/><Relationship Id="rId30" Type="http://schemas.openxmlformats.org/officeDocument/2006/relationships/image" Target="media/image9.png"/><Relationship Id="rId31" Type="http://schemas.openxmlformats.org/officeDocument/2006/relationships/image" Target="media/svg7.svg"/><Relationship Id="rId32" Type="http://schemas.openxmlformats.org/officeDocument/2006/relationships/image" Target="media/image10.png"/><Relationship Id="rId33" Type="http://schemas.openxmlformats.org/officeDocument/2006/relationships/image" Target="media/svg8.svg"/><Relationship Id="rId34" Type="http://schemas.openxmlformats.org/officeDocument/2006/relationships/image" Target="media/image11.png"/><Relationship Id="rId35" Type="http://schemas.openxmlformats.org/officeDocument/2006/relationships/image" Target="media/svg9.svg"/><Relationship Id="rId36" Type="http://schemas.openxmlformats.org/officeDocument/2006/relationships/image" Target="media/image12.png"/><Relationship Id="rId37" Type="http://schemas.openxmlformats.org/officeDocument/2006/relationships/image" Target="media/svg10.svg"/><Relationship Id="rId38" Type="http://schemas.openxmlformats.org/officeDocument/2006/relationships/image" Target="media/image13.png"/><Relationship Id="rId39" Type="http://schemas.openxmlformats.org/officeDocument/2006/relationships/image" Target="media/svg11.svg"/><Relationship Id="rId40" Type="http://schemas.openxmlformats.org/officeDocument/2006/relationships/image" Target="media/image14.png"/><Relationship Id="rId41" Type="http://schemas.openxmlformats.org/officeDocument/2006/relationships/image" Target="media/svg12.svg"/><Relationship Id="rId42" Type="http://schemas.openxmlformats.org/officeDocument/2006/relationships/image" Target="media/image15.png"/><Relationship Id="rId43" Type="http://schemas.openxmlformats.org/officeDocument/2006/relationships/image" Target="media/svg13.svg"/><Relationship Id="rId44" Type="http://schemas.openxmlformats.org/officeDocument/2006/relationships/image" Target="media/image16.png"/><Relationship Id="rId45" Type="http://schemas.openxmlformats.org/officeDocument/2006/relationships/image" Target="media/svg14.svg"/><Relationship Id="rId46" Type="http://schemas.openxmlformats.org/officeDocument/2006/relationships/image" Target="media/image17.png"/><Relationship Id="rId47" Type="http://schemas.openxmlformats.org/officeDocument/2006/relationships/image" Target="media/svg15.svg"/><Relationship Id="rId48" Type="http://schemas.openxmlformats.org/officeDocument/2006/relationships/image" Target="media/image18.png"/><Relationship Id="rId49" Type="http://schemas.openxmlformats.org/officeDocument/2006/relationships/image" Target="media/svg16.svg"/><Relationship Id="rId50" Type="http://schemas.openxmlformats.org/officeDocument/2006/relationships/image" Target="media/image19.png"/><Relationship Id="rId51" Type="http://schemas.openxmlformats.org/officeDocument/2006/relationships/image" Target="media/svg17.svg"/><Relationship Id="rId52" Type="http://schemas.openxmlformats.org/officeDocument/2006/relationships/image" Target="media/image20.png"/><Relationship Id="rId53" Type="http://schemas.openxmlformats.org/officeDocument/2006/relationships/image" Target="media/svg18.svg"/><Relationship Id="rId54" Type="http://schemas.openxmlformats.org/officeDocument/2006/relationships/image" Target="media/image21.png"/><Relationship Id="rId55" Type="http://schemas.openxmlformats.org/officeDocument/2006/relationships/image" Target="media/svg19.svg"/><Relationship Id="rId56" Type="http://schemas.openxmlformats.org/officeDocument/2006/relationships/image" Target="media/image22.png"/><Relationship Id="rId57" Type="http://schemas.openxmlformats.org/officeDocument/2006/relationships/image" Target="media/svg20.svg"/><Relationship Id="rId58" Type="http://schemas.openxmlformats.org/officeDocument/2006/relationships/image" Target="media/image23.png"/><Relationship Id="rId59" Type="http://schemas.openxmlformats.org/officeDocument/2006/relationships/image" Target="media/svg21.svg"/><Relationship Id="rId60" Type="http://schemas.openxmlformats.org/officeDocument/2006/relationships/image" Target="media/image24.png"/><Relationship Id="rId61" Type="http://schemas.openxmlformats.org/officeDocument/2006/relationships/image" Target="media/svg22.svg"/><Relationship Id="rId62" Type="http://schemas.openxmlformats.org/officeDocument/2006/relationships/image" Target="media/image25.png"/><Relationship Id="rId63" Type="http://schemas.openxmlformats.org/officeDocument/2006/relationships/image" Target="media/svg23.svg"/><Relationship Id="rId64" Type="http://schemas.openxmlformats.org/officeDocument/2006/relationships/image" Target="media/image26.png"/><Relationship Id="rId65" Type="http://schemas.openxmlformats.org/officeDocument/2006/relationships/image" Target="media/svg24.svg"/><Relationship Id="rId66" Type="http://schemas.openxmlformats.org/officeDocument/2006/relationships/image" Target="media/image27.png"/><Relationship Id="rId67" Type="http://schemas.openxmlformats.org/officeDocument/2006/relationships/image" Target="media/svg25.svg"/><Relationship Id="rId68" Type="http://schemas.openxmlformats.org/officeDocument/2006/relationships/image" Target="media/image28.png"/><Relationship Id="rId69" Type="http://schemas.openxmlformats.org/officeDocument/2006/relationships/image" Target="media/svg26.svg"/><Relationship Id="rId70" Type="http://schemas.openxmlformats.org/officeDocument/2006/relationships/image" Target="media/image29.png"/><Relationship Id="rId71" Type="http://schemas.openxmlformats.org/officeDocument/2006/relationships/image" Target="media/svg27.sv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COMMERCIALE%20FIORANO\Tesi\2010\Alessandro%20Vitto\Autorizzazione%20Alessandro.dot" TargetMode="External"/></Relationships>
</file>

<file path=word/theme/theme1.xml><?xml version="1.0" encoding="utf-8"?>
<a:theme xmlns:a="http://schemas.openxmlformats.org/drawingml/2006/main" xmlns:thm15="http://schemas.microsoft.com/office/thememl/2012/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chicago.xsl" StyleName="Chicago" Version="15"/>
</file>

<file path=customXml/item2.xml><?xml version="1.0" encoding="utf-8"?>
<ct:contentTypeSchema xmlns:ct="http://schemas.microsoft.com/office/2006/metadata/contentType" xmlns:ma="http://schemas.microsoft.com/office/2006/metadata/properties/metaAttributes" ct:_="" ma:_="" ma:contentTypeName="Documento" ma:contentTypeID="0x0101000CC961CE0EB86C4BAF5FBA22B52F24DB" ma:contentTypeVersion="17" ma:contentTypeDescription="Creare un nuovo documento." ma:contentTypeScope="" ma:versionID="0a5f7229cbb106ba2abe7c95b092b442">
  <xsd:schema xmlns:xsd="http://www.w3.org/2001/XMLSchema" xmlns:xs="http://www.w3.org/2001/XMLSchema" xmlns:p="http://schemas.microsoft.com/office/2006/metadata/properties" xmlns:ns2="56f694ce-0d8d-4140-af7b-51105567e791" xmlns:ns3="ad955218-927d-446f-bd94-718ac5e6255c" targetNamespace="http://schemas.microsoft.com/office/2006/metadata/properties" ma:root="true" ma:fieldsID="5e0b6d1355d1909234ea1c3671f66232" ns2:_="" ns3:_="">
    <xsd:import namespace="56f694ce-0d8d-4140-af7b-51105567e791"/>
    <xsd:import namespace="ad955218-927d-446f-bd94-718ac5e6255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f694ce-0d8d-4140-af7b-51105567e7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Tag immagine" ma:readOnly="false" ma:fieldId="{5cf76f15-5ced-4ddc-b409-7134ff3c332f}" ma:taxonomyMulti="true" ma:sspId="a3126849-ed39-4324-a057-c3f9becfefc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d955218-927d-446f-bd94-718ac5e6255c" elementFormDefault="qualified">
    <xsd:import namespace="http://schemas.microsoft.com/office/2006/documentManagement/types"/>
    <xsd:import namespace="http://schemas.microsoft.com/office/infopath/2007/PartnerControls"/>
    <xsd:element name="SharedWithUsers" ma:index="10"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Condiviso con dettagli" ma:internalName="SharedWithDetails" ma:readOnly="true">
      <xsd:simpleType>
        <xsd:restriction base="dms:Note">
          <xsd:maxLength value="255"/>
        </xsd:restriction>
      </xsd:simpleType>
    </xsd:element>
    <xsd:element name="TaxCatchAll" ma:index="22" nillable="true" ma:displayName="Taxonomy Catch All Column" ma:hidden="true" ma:list="{2aca5ff2-35fa-4634-855e-35521b5f5a05}" ma:internalName="TaxCatchAll" ma:showField="CatchAllData" ma:web="ad955218-927d-446f-bd94-718ac5e6255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6f694ce-0d8d-4140-af7b-51105567e791">
      <Terms xmlns="http://schemas.microsoft.com/office/infopath/2007/PartnerControls"/>
    </lcf76f155ced4ddcb4097134ff3c332f>
    <TaxCatchAll xmlns="ad955218-927d-446f-bd94-718ac5e6255c" xsi:nil="true"/>
  </documentManagement>
</p:properties>
</file>

<file path=customXml/itemProps1.xml><?xml version="1.0" encoding="utf-8"?>
<ds:datastoreItem xmlns:ds="http://schemas.openxmlformats.org/officeDocument/2006/customXml" ds:itemID="{BB0AA0DE-F95E-48A6-A386-1FF17D0AB3F2}">
  <ds:schemaRefs>
    <ds:schemaRef ds:uri="http://schemas.openxmlformats.org/officeDocument/2006/bibliography"/>
  </ds:schemaRefs>
</ds:datastoreItem>
</file>

<file path=customXml/itemProps2.xml><?xml version="1.0" encoding="utf-8"?>
<ds:datastoreItem xmlns:ds="http://schemas.openxmlformats.org/officeDocument/2006/customXml" ds:itemID="{F5A8B1E8-67FC-48F3-80DE-6E09F3797C2A}"/>
</file>

<file path=customXml/itemProps3.xml><?xml version="1.0" encoding="utf-8"?>
<ds:datastoreItem xmlns:ds="http://schemas.openxmlformats.org/officeDocument/2006/customXml" ds:itemID="{CC107ABC-960D-44AD-BFCA-9ECF2E83289D}">
  <ds:schemaRefs>
    <ds:schemaRef ds:uri="http://schemas.microsoft.com/sharepoint/v3/contenttype/forms"/>
  </ds:schemaRefs>
</ds:datastoreItem>
</file>

<file path=customXml/itemProps4.xml><?xml version="1.0" encoding="utf-8"?>
<ds:datastoreItem xmlns:ds="http://schemas.openxmlformats.org/officeDocument/2006/customXml" ds:itemID="{673B02D6-3A44-4F96-A66F-28D9C110DA91}">
  <ds:schemaRefs>
    <ds:schemaRef ds:uri="http://schemas.openxmlformats.org/package/2006/metadata/core-properties"/>
    <ds:schemaRef ds:uri="http://purl.org/dc/dcmitype/"/>
    <ds:schemaRef ds:uri="http://schemas.microsoft.com/office/2006/metadata/properties"/>
    <ds:schemaRef ds:uri="http://schemas.microsoft.com/office/2006/documentManagement/types"/>
    <ds:schemaRef ds:uri="http://schemas.microsoft.com/office/infopath/2007/PartnerControls"/>
    <ds:schemaRef ds:uri="ad955218-927d-446f-bd94-718ac5e6255c"/>
    <ds:schemaRef ds:uri="56f694ce-0d8d-4140-af7b-51105567e791"/>
    <ds:schemaRef ds:uri="http://www.w3.org/XML/1998/namespace"/>
    <ds:schemaRef ds:uri="http://purl.org/dc/terms/"/>
    <ds:schemaRef ds:uri="http://purl.org/dc/elements/1.1/"/>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Autorizzazione Alessandro</ap:Template>
  <ap:Application>Microsoft Word for the web</ap:Application>
  <ap:DocSecurity>0</ap:DocSecurity>
  <ap:ScaleCrop>false</ap:ScaleCrop>
  <ap:Company>Proelia Sistemi Srl</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Ragione Sociale</dc:title>
  <dc:subject/>
  <dc:creator>Settembre Davide</dc:creator>
  <cp:keywords/>
  <dc:description/>
  <cp:lastModifiedBy>Luca Iattici</cp:lastModifiedBy>
  <cp:revision>81</cp:revision>
  <cp:lastPrinted>2018-04-19T13:54:00Z</cp:lastPrinted>
  <dcterms:created xsi:type="dcterms:W3CDTF">2018-04-19T13:56:00Z</dcterms:created>
  <dcterms:modified xsi:type="dcterms:W3CDTF">2025-09-25T14:00:07Z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0x0101000CC961CE0EB86C4BAF5FBA22B52F24DB</vt:lpwstr>
  </property>
  <property fmtid="{D5CDD505-2E9C-101B-9397-08002B2CF9AE}" pid="3" name="MediaServiceImageTags">
    <vt:lpwstr/>
  </property>
  <property fmtid="{D5CDD505-2E9C-101B-9397-08002B2CF9AE}" pid="5" name="docLang">
    <vt:lpwstr>it</vt:lpwstr>
  </property>
</Properties>
</file>