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8B7110" w:rsidR="00A265D6" w:rsidP="00A265D6" w:rsidRDefault="00A265D6" w14:paraId="1C580B53" w14:textId="77777777">
      <w:pPr>
        <w:spacing w:line="360" w:lineRule="auto"/>
        <w:jc w:val="center"/>
        <w:rPr>
          <w:rFonts w:asciiTheme="minorHAnsi" w:hAnsiTheme="minorHAnsi"/>
          <w:b/>
          <w:caps/>
          <w:sz w:val="44"/>
        </w:rPr>
      </w:pPr>
    </w:p>
    <w:p w:rsidRPr="008B7110" w:rsidR="00A265D6" w:rsidP="00A265D6" w:rsidRDefault="00A265D6" w14:paraId="295B76C0" w14:textId="1018BFC7">
      <w:pPr>
        <w:spacing w:line="360" w:lineRule="auto"/>
        <w:jc w:val="center"/>
        <w:rPr>
          <w:rFonts w:asciiTheme="minorHAnsi" w:hAnsiTheme="minorHAnsi"/>
          <w:b/>
          <w:caps/>
          <w:sz w:val="44"/>
        </w:rPr>
      </w:pPr>
    </w:p>
    <w:p w:rsidRPr="008B7110" w:rsidR="003C64CC" w:rsidP="00A265D6" w:rsidRDefault="003C64CC" w14:paraId="2081E780" w14:textId="77777777">
      <w:pPr>
        <w:spacing w:line="360" w:lineRule="auto"/>
        <w:jc w:val="center"/>
        <w:rPr>
          <w:rFonts w:asciiTheme="minorHAnsi" w:hAnsiTheme="minorHAnsi"/>
          <w:b/>
          <w:caps/>
          <w:sz w:val="44"/>
        </w:rPr>
      </w:pPr>
    </w:p>
    <w:p w:rsidRPr="008B7110" w:rsidR="00A265D6" w:rsidP="00A265D6" w:rsidRDefault="00A265D6" w14:paraId="2DA1F45C" w14:textId="77777777">
      <w:pPr>
        <w:spacing w:line="360" w:lineRule="auto"/>
        <w:jc w:val="center"/>
        <w:rPr>
          <w:rFonts w:asciiTheme="minorHAnsi" w:hAnsiTheme="minorHAnsi"/>
          <w:b/>
          <w:caps/>
          <w:sz w:val="44"/>
        </w:rPr>
      </w:pPr>
    </w:p>
    <w:p w:rsidRPr="008B7110" w:rsidR="003C64CC" w:rsidP="00A265D6" w:rsidRDefault="003C64CC" w14:paraId="30067E77" w14:textId="77777777">
      <w:pPr>
        <w:spacing w:line="360" w:lineRule="auto"/>
        <w:jc w:val="center"/>
        <w:rPr>
          <w:rFonts w:asciiTheme="minorHAnsi" w:hAnsiTheme="minorHAnsi"/>
          <w:b/>
          <w:caps/>
          <w:sz w:val="44"/>
        </w:rPr>
      </w:pPr>
    </w:p>
    <w:p w:rsidRPr="00F560E0" w:rsidR="00A265D6" w:rsidP="23A1DAF1" w:rsidRDefault="006C6D64" w14:paraId="7E02FF58" w14:textId="0CEBC6ED">
      <w:pPr>
        <w:spacing w:line="360" w:lineRule="auto"/>
        <w:jc w:val="center"/>
        <w:rPr>
          <w:rFonts w:asciiTheme="minorHAnsi" w:hAnsiTheme="minorHAnsi"/>
          <w:b/>
          <w:bCs/>
          <w:caps/>
          <w:color w:val="024C41"/>
          <w:sz w:val="72"/>
          <w:szCs w:val="56"/>
        </w:rPr>
      </w:pPr>
      <w:r w:rsidRPr="00F560E0">
        <w:rPr>
          <w:rFonts w:asciiTheme="minorHAnsi" w:hAnsiTheme="minorHAnsi"/>
          <w:b/>
          <w:bCs/>
          <w:caps/>
          <w:color w:val="024C41"/>
          <w:sz w:val="72"/>
          <w:szCs w:val="56"/>
        </w:rPr>
        <w:t>Report di collaudo della</w:t>
      </w:r>
    </w:p>
    <w:p w:rsidRPr="00F560E0" w:rsidR="00A265D6" w:rsidP="23A1DAF1" w:rsidRDefault="006C6D64" w14:paraId="7E02FF58" w14:textId="0CEBC6ED">
      <w:pPr>
        <w:spacing w:line="360" w:lineRule="auto"/>
        <w:jc w:val="center"/>
        <w:rPr>
          <w:rFonts w:asciiTheme="minorHAnsi" w:hAnsiTheme="minorHAnsi"/>
          <w:b/>
          <w:bCs/>
          <w:caps/>
          <w:color w:val="024C41"/>
          <w:sz w:val="72"/>
          <w:szCs w:val="56"/>
        </w:rPr>
      </w:pPr>
      <w:r w:rsidRPr="00F560E0">
        <w:rPr>
          <w:rFonts w:asciiTheme="minorHAnsi" w:hAnsiTheme="minorHAnsi"/>
          <w:b/>
          <w:bCs/>
          <w:caps/>
          <w:color w:val="024C41"/>
          <w:sz w:val="72"/>
          <w:szCs w:val="56"/>
        </w:rPr>
        <w:t>Intelligent Industry</w:t>
      </w:r>
    </w:p>
    <w:p w:rsidRPr="00F560E0" w:rsidR="23A1DAF1" w:rsidP="23A1DAF1" w:rsidRDefault="00002427" w14:paraId="67411CDB" w14:textId="40AB4836">
      <w:pPr>
        <w:jc w:val="center"/>
        <w:rPr>
          <w:rFonts w:ascii="Calibri" w:hAnsi="Calibri" w:eastAsia="Calibri" w:cs="Calibri"/>
          <w:b/>
          <w:color w:val="00A98E"/>
          <w:sz w:val="40"/>
          <w:szCs w:val="40"/>
        </w:rPr>
      </w:pPr>
      <w:r w:rsidRPr="00F560E0">
        <w:rPr>
          <w:rFonts w:ascii="Calibri" w:hAnsi="Calibri" w:eastAsia="Calibri" w:cs="Calibri"/>
          <w:b/>
          <w:color w:val="00A98E"/>
          <w:sz w:val="40"/>
          <w:szCs w:val="40"/>
        </w:rPr>
        <w:t>Relazione Parziale N°: RP 7.8</w:t>
      </w:r>
      <w:r w:rsidRPr="00F560E0" w:rsidR="23A1DAF1">
        <w:rPr>
          <w:rFonts w:ascii="Calibri" w:hAnsi="Calibri" w:eastAsia="Calibri" w:cs="Calibri"/>
          <w:b/>
          <w:color w:val="00A98E"/>
          <w:sz w:val="40"/>
          <w:szCs w:val="40"/>
        </w:rPr>
      </w:r>
      <w:r w:rsidRPr="00F560E0">
        <w:rPr>
          <w:rFonts w:ascii="Calibri" w:hAnsi="Calibri" w:eastAsia="Calibri" w:cs="Calibri"/>
          <w:b/>
          <w:color w:val="00A98E"/>
          <w:sz w:val="40"/>
          <w:szCs w:val="40"/>
        </w:rPr>
      </w:r>
      <w:r w:rsidRPr="00F560E0" w:rsidR="23A1DAF1">
        <w:rPr>
          <w:rFonts w:ascii="Calibri" w:hAnsi="Calibri" w:eastAsia="Calibri" w:cs="Calibri"/>
          <w:b/>
          <w:color w:val="00A98E"/>
          <w:sz w:val="40"/>
          <w:szCs w:val="40"/>
        </w:rPr>
      </w:r>
      <w:r w:rsidRPr="00F560E0">
        <w:rPr>
          <w:rFonts w:ascii="Calibri" w:hAnsi="Calibri" w:eastAsia="Calibri" w:cs="Calibri"/>
          <w:b/>
          <w:color w:val="00A98E"/>
          <w:sz w:val="40"/>
          <w:szCs w:val="40"/>
        </w:rPr>
      </w:r>
      <w:r w:rsidRPr="00F560E0" w:rsidR="23A1DAF1">
        <w:rPr>
          <w:rFonts w:ascii="Calibri" w:hAnsi="Calibri" w:eastAsia="Calibri" w:cs="Calibri"/>
          <w:b/>
          <w:color w:val="00A98E"/>
          <w:sz w:val="40"/>
          <w:szCs w:val="40"/>
        </w:rPr>
      </w:r>
      <w:r w:rsidRPr="00F560E0">
        <w:rPr>
          <w:rFonts w:ascii="Calibri" w:hAnsi="Calibri" w:eastAsia="Calibri" w:cs="Calibri"/>
          <w:b/>
          <w:color w:val="00A98E"/>
          <w:sz w:val="40"/>
          <w:szCs w:val="40"/>
        </w:rPr>
      </w:r>
    </w:p>
    <w:p w:rsidRPr="00F560E0" w:rsidR="23A1DAF1" w:rsidP="23A1DAF1" w:rsidRDefault="006C6D64" w14:paraId="09952A4B" w14:textId="3812BA94">
      <w:pPr>
        <w:jc w:val="center"/>
        <w:rPr>
          <w:rFonts w:ascii="Calibri" w:hAnsi="Calibri" w:eastAsia="Calibri" w:cs="Calibri"/>
          <w:b/>
          <w:color w:val="00A98E"/>
          <w:sz w:val="40"/>
          <w:szCs w:val="40"/>
        </w:rPr>
      </w:pPr>
      <w:r w:rsidRPr="00F560E0">
        <w:rPr>
          <w:rFonts w:ascii="Calibri" w:hAnsi="Calibri" w:eastAsia="Calibri" w:cs="Calibri"/>
          <w:b/>
          <w:color w:val="00A98E"/>
          <w:sz w:val="40"/>
          <w:szCs w:val="40"/>
        </w:rPr>
        <w:t>Versione del Documento: RV.1</w:t>
      </w:r>
      <w:r w:rsidRPr="00F560E0" w:rsidR="23A1DAF1">
        <w:rPr>
          <w:rFonts w:ascii="Calibri" w:hAnsi="Calibri" w:eastAsia="Calibri" w:cs="Calibri"/>
          <w:b/>
          <w:color w:val="00A98E"/>
          <w:sz w:val="40"/>
          <w:szCs w:val="40"/>
        </w:rPr>
      </w:r>
      <w:r w:rsidRPr="00F560E0">
        <w:rPr>
          <w:rFonts w:ascii="Calibri" w:hAnsi="Calibri" w:eastAsia="Calibri" w:cs="Calibri"/>
          <w:b/>
          <w:color w:val="00A98E"/>
          <w:sz w:val="40"/>
          <w:szCs w:val="40"/>
        </w:rPr>
      </w:r>
    </w:p>
    <w:p w:rsidRPr="00F560E0" w:rsidR="23A1DAF1" w:rsidP="23A1DAF1" w:rsidRDefault="006C6D64" w14:paraId="0435DB43" w14:textId="24829324">
      <w:pPr>
        <w:jc w:val="center"/>
        <w:rPr>
          <w:rFonts w:ascii="Calibri" w:hAnsi="Calibri" w:eastAsia="Calibri" w:cs="Calibri"/>
          <w:b/>
          <w:color w:val="00A98E"/>
          <w:sz w:val="40"/>
          <w:szCs w:val="40"/>
        </w:rPr>
      </w:pPr>
      <w:r w:rsidRPr="00F560E0">
        <w:rPr>
          <w:rFonts w:ascii="Calibri" w:hAnsi="Calibri" w:eastAsia="Calibri" w:cs="Calibri"/>
          <w:b/>
          <w:color w:val="00A98E"/>
          <w:sz w:val="40"/>
          <w:szCs w:val="40"/>
        </w:rPr>
        <w:t>Data di Revisione del Documento: 31.10.26</w:t>
      </w:r>
      <w:r w:rsidRPr="00F560E0" w:rsidR="23A1DAF1">
        <w:rPr>
          <w:rFonts w:ascii="Calibri" w:hAnsi="Calibri" w:eastAsia="Calibri" w:cs="Calibri"/>
          <w:b/>
          <w:color w:val="00A98E"/>
          <w:sz w:val="40"/>
          <w:szCs w:val="40"/>
        </w:rPr>
      </w:r>
      <w:r w:rsidRPr="00F560E0">
        <w:rPr>
          <w:rFonts w:ascii="Calibri" w:hAnsi="Calibri" w:eastAsia="Calibri" w:cs="Calibri"/>
          <w:b/>
          <w:color w:val="00A98E"/>
          <w:sz w:val="40"/>
          <w:szCs w:val="40"/>
        </w:rPr>
      </w:r>
      <w:r w:rsidRPr="00F560E0" w:rsidR="23A1DAF1">
        <w:rPr>
          <w:rFonts w:ascii="Calibri" w:hAnsi="Calibri" w:eastAsia="Calibri" w:cs="Calibri"/>
          <w:b/>
          <w:color w:val="00A98E"/>
          <w:sz w:val="40"/>
          <w:szCs w:val="40"/>
        </w:rPr>
      </w:r>
      <w:proofErr w:type="gramStart"/>
      <w:r w:rsidRPr="00F560E0">
        <w:rPr>
          <w:rFonts w:ascii="Calibri" w:hAnsi="Calibri" w:eastAsia="Calibri" w:cs="Calibri"/>
          <w:b/>
          <w:color w:val="00A98E"/>
          <w:sz w:val="40"/>
          <w:szCs w:val="40"/>
        </w:rPr>
      </w:r>
      <w:r w:rsidRPr="00F560E0" w:rsidR="23A1DAF1">
        <w:rPr>
          <w:rFonts w:ascii="Calibri" w:hAnsi="Calibri" w:eastAsia="Calibri" w:cs="Calibri"/>
          <w:b/>
          <w:color w:val="00A98E"/>
          <w:sz w:val="40"/>
          <w:szCs w:val="40"/>
        </w:rPr>
      </w:r>
      <w:r w:rsidRPr="00F560E0">
        <w:rPr>
          <w:rFonts w:ascii="Calibri" w:hAnsi="Calibri" w:eastAsia="Calibri" w:cs="Calibri"/>
          <w:b/>
          <w:color w:val="00A98E"/>
          <w:sz w:val="40"/>
          <w:szCs w:val="40"/>
        </w:rPr>
      </w:r>
      <w:proofErr w:type="gramEnd"/>
    </w:p>
    <w:p w:rsidRPr="00F560E0" w:rsidR="23A1DAF1" w:rsidP="23A1DAF1" w:rsidRDefault="006C6D64" w14:paraId="603630B3" w14:textId="17A94853">
      <w:pPr>
        <w:spacing w:line="360" w:lineRule="auto"/>
        <w:jc w:val="center"/>
        <w:rPr>
          <w:rFonts w:ascii="Calibri" w:hAnsi="Calibri" w:eastAsia="Calibri" w:cs="Calibri"/>
          <w:b/>
          <w:color w:val="00A98E"/>
          <w:sz w:val="44"/>
          <w:szCs w:val="44"/>
        </w:rPr>
      </w:pPr>
      <w:proofErr w:type="gramStart"/>
      <w:r w:rsidRPr="00F560E0">
        <w:rPr>
          <w:rFonts w:ascii="Calibri" w:hAnsi="Calibri" w:eastAsia="Calibri" w:cs="Calibri"/>
          <w:b/>
          <w:color w:val="00A98E"/>
          <w:sz w:val="40"/>
          <w:szCs w:val="40"/>
        </w:rPr>
        <w:t>Responsabilità: Gresmalt - Capofila</w:t>
      </w:r>
      <w:r w:rsidRPr="00F560E0" w:rsidR="23A1DAF1">
        <w:rPr>
          <w:rFonts w:ascii="Calibri" w:hAnsi="Calibri" w:eastAsia="Calibri" w:cs="Calibri"/>
          <w:b/>
          <w:color w:val="00A98E"/>
          <w:sz w:val="40"/>
          <w:szCs w:val="40"/>
        </w:rPr>
      </w:r>
      <w:r w:rsidRPr="00F560E0">
        <w:rPr>
          <w:rFonts w:ascii="Calibri" w:hAnsi="Calibri" w:eastAsia="Calibri" w:cs="Calibri"/>
          <w:b/>
          <w:color w:val="00A98E"/>
          <w:sz w:val="40"/>
          <w:szCs w:val="40"/>
        </w:rPr>
      </w:r>
      <w:proofErr w:type="gramEnd"/>
      <w:r w:rsidRPr="00F560E0" w:rsidR="23A1DAF1">
        <w:rPr>
          <w:rFonts w:ascii="Calibri" w:hAnsi="Calibri" w:eastAsia="Calibri" w:cs="Calibri"/>
          <w:b/>
          <w:color w:val="00A98E"/>
          <w:sz w:val="40"/>
          <w:szCs w:val="40"/>
        </w:rPr>
      </w:r>
      <w:r w:rsidRPr="00F560E0">
        <w:rPr>
          <w:rFonts w:ascii="Calibri" w:hAnsi="Calibri" w:eastAsia="Calibri" w:cs="Calibri"/>
          <w:b/>
          <w:color w:val="00A98E"/>
          <w:sz w:val="40"/>
          <w:szCs w:val="40"/>
        </w:rPr>
      </w:r>
    </w:p>
    <w:p w:rsidRPr="008B7110" w:rsidR="00562094" w:rsidP="003C64CC" w:rsidRDefault="00562094" w14:paraId="003B6F2C" w14:textId="2971AB67">
      <w:pPr>
        <w:spacing w:line="360" w:lineRule="auto"/>
        <w:jc w:val="center"/>
        <w:rPr>
          <w:rFonts w:asciiTheme="minorHAnsi" w:hAnsiTheme="minorHAnsi"/>
          <w:sz w:val="44"/>
        </w:rPr>
      </w:pPr>
    </w:p>
    <w:p w:rsidRPr="008B7110" w:rsidR="005020E1" w:rsidP="003C64CC" w:rsidRDefault="005020E1" w14:paraId="08C95DEC" w14:textId="3024CF7F">
      <w:pPr>
        <w:spacing w:line="360" w:lineRule="auto"/>
        <w:jc w:val="center"/>
        <w:rPr>
          <w:rFonts w:asciiTheme="minorHAnsi" w:hAnsiTheme="minorHAnsi"/>
          <w:sz w:val="44"/>
        </w:rPr>
      </w:pPr>
    </w:p>
    <w:p w:rsidRPr="008B7110" w:rsidR="005020E1" w:rsidP="003C64CC" w:rsidRDefault="005020E1" w14:paraId="0F390DC9" w14:textId="4144E5CE">
      <w:pPr>
        <w:spacing w:line="360" w:lineRule="auto"/>
        <w:jc w:val="center"/>
        <w:rPr>
          <w:rFonts w:asciiTheme="minorHAnsi" w:hAnsiTheme="minorHAnsi"/>
          <w:sz w:val="44"/>
        </w:rPr>
      </w:pPr>
    </w:p>
    <w:p w:rsidRPr="008B7110" w:rsidR="001554A8" w:rsidP="003C64CC" w:rsidRDefault="001554A8" w14:paraId="0B30E4E2" w14:textId="77777777">
      <w:pPr>
        <w:spacing w:line="360" w:lineRule="auto"/>
        <w:jc w:val="center"/>
        <w:rPr>
          <w:rFonts w:asciiTheme="minorHAnsi" w:hAnsiTheme="minorHAnsi"/>
          <w:sz w:val="44"/>
        </w:rPr>
      </w:pPr>
    </w:p>
    <w:p w:rsidRPr="008B7110" w:rsidR="001554A8" w:rsidP="23A1DAF1" w:rsidRDefault="001554A8" w14:paraId="4D4FE911" w14:textId="77777777">
      <w:pPr>
        <w:spacing w:line="360" w:lineRule="auto"/>
        <w:jc w:val="both"/>
        <w:rPr>
          <w:rFonts w:asciiTheme="minorHAnsi" w:hAnsiTheme="minorHAnsi"/>
          <w:b/>
          <w:bCs/>
          <w:color w:val="2F5496" w:themeColor="accent1" w:themeShade="BF"/>
          <w:sz w:val="36"/>
          <w:szCs w:val="36"/>
        </w:rPr>
      </w:pPr>
    </w:p>
    <w:p>
      <w:pPr>
        <w:pStyle w:val="1RELTITOLO"/>
      </w:pPr>
      <w:r>
        <w:rPr>
          <w:i w:val="0"/>
        </w:rPr>
        <w:t>1. Introduzione</w:t>
      </w:r>
    </w:p>
    <w:p>
      <w:pPr>
        <w:pStyle w:val="2RELSottotit"/>
      </w:pPr>
      <w:r>
        <w:rPr>
          <w:i w:val="0"/>
        </w:rPr>
        <w:t>1.1 Inquadramento dell’attività</w:t>
      </w:r>
    </w:p>
    <w:p>
      <w:pPr>
        <w:pStyle w:val="3RELTestoBase"/>
      </w:pPr>
      <w:r>
        <w:rPr>
          <w:i w:val="0"/>
        </w:rPr>
        <w:t>L’attività 7.8 chiude l’Obiettivo Realizzativo 7 del progetto START ed è quella in cui il percorso di sviluppo sperimentale viene messo alla prova nel suo insieme. Gli OR 7.1 e 7.2 hanno collaudato la piattaforma Edge-to-Cloud (E2C) e l’architettura della Intelligent Factory; gli OR 7.3 e 7.4 hanno reso operativi i due strumenti di misura della sostenibilità, l’Extended Exergy Accounting Plus (EEA+) per la fabbrica e il Product Technological Sustainability Assessment (P-TSA) per il prodotto; l’OR 7.5 ha implementato il sistema di Data-Driven Product Quality Management. Ciascuna di queste attività ha verificato un componente. L’attività 7.8 verifica il sistema che i componenti, una volta collegati, costituiscono.</w:t>
      </w:r>
    </w:p>
    <w:p>
      <w:pPr>
        <w:pStyle w:val="3RELTestoBase"/>
      </w:pPr>
      <w:r>
        <w:rPr>
          <w:i w:val="0"/>
        </w:rPr>
        <w:t>Il Piano di Sviluppo descrive l’attività come il trasferimento del sistema dalla fase di sviluppo a quella operativa industriale, interfacciando l’ambiente di fabbrica (Intelligent Factory) con l’ambiente direzionale (Intelligent Organization), allo scopo di trasformare l’azienda in una Intelligent Industry. La conformità del sistema alle specifiche progettuali è verificata monitorando i dati di produzione e di consegna del prodotto finito con entrambi gli strumenti di assessment sviluppati nel progetto: l’EEA+ (OR 7.3) e il P-TSA (OR 7.4). Le specifiche rispetto alle quali si collauda sono quelle del Modello della Intelligent Industry formalizzato nell’OR 6.10, articolato in quattro layer (fisico-operativo, informativo, cognitivo, di sostenibilità) chiusi in un ciclo percezione → comprensione → conoscenza → giudizio → azione.</w:t>
      </w:r>
    </w:p>
    <w:p>
      <w:pPr>
        <w:pStyle w:val="2RELSottotit"/>
      </w:pPr>
      <w:r>
        <w:rPr>
          <w:i w:val="0"/>
        </w:rPr>
        <w:t>1.2 Baseline e scopi dell’attività</w:t>
      </w:r>
    </w:p>
    <w:p>
      <w:pPr>
        <w:pStyle w:val="3RELTestoBase"/>
      </w:pPr>
      <w:r>
        <w:rPr>
          <w:i w:val="0"/>
        </w:rPr>
        <w:t>La baseline dei due KPI di attività è costituita dai risultati degli assessment che li hanno prodotti: l’EEA+ Index (EEA+I) calcolato nell’OR 7.3 e il Product Technological Sustainability Index (P-TSI) calcolato nell’OR 7.4. In entrambi i casi la baseline è un risultato puntuale di collaudo dello strumento; l’obiettivo fissato dal Piano è l’osservazione dell’indice per almeno dodici mesi, cioè il passaggio dalla misura isolata alla serie temporale che consente di leggere il comportamento del sistema nel tempo.</w:t>
      </w:r>
    </w:p>
    <w:p>
      <w:pPr>
        <w:pStyle w:val="3RELTestoBase"/>
      </w:pPr>
      <w:r>
        <w:rPr>
          <w:i w:val="0"/>
        </w:rPr>
        <w:t>L’attività si propone quattro scopi. Verificare che la catena di calcolo degli indici, eseguita nell’ambiente integrato della Intelligent Industry, riproduca i risultati validati negli OR 7.3 e 7.4. Osservare i due indici lungo la serie disponibile e verificarne l’andamento rispetto alla baseline. Verificare la conformità del sistema alle specifiche progettuali, alla normativa di prodotto e ai requisiti di governo del dato. Leggere infine gli indici di sostenibilità insieme agli indicatori di qualità dell’OR 7.5, cioè mettere alla prova proprio l’integrazione fra fabbrica e organizzazione che qualifica la Intelligent Industry.</w:t>
      </w:r>
    </w:p>
    <w:p>
      <w:pPr>
        <w:pStyle w:val="2RELSottotit"/>
      </w:pPr>
      <w:r>
        <w:rPr>
          <w:i w:val="0"/>
        </w:rPr>
        <w:t>1.3 Perimetro e serie di osservazione</w:t>
      </w:r>
    </w:p>
    <w:p>
      <w:pPr>
        <w:pStyle w:val="3RELTestoBase"/>
      </w:pPr>
      <w:r>
        <w:rPr>
          <w:i w:val="0"/>
        </w:rPr>
        <w:t>Il perimetro comprende le tre unità produttive del Gruppo: D020 (Viano, MTO), D060 (Scandiano, ibrida MTS+MTO, sede del reparto di preparazione dell’impasto atomizzato) e D240 (Frassinoro, MTO). Il collaudo è condotto sulle serie annuali 2023–2025, con il 2022 come anno di riferimento per le differenze dei moduli EEA+, coerentemente con l’OR 7.3. Sul versante del prodotto il perimetro è quello delle tre tipologie dell’OR 7.4, definite dalle EPD di Gruppo: T1 (7,4 mm, D060), T2 (8,2 mm, D060) e T3 (20 mm, D240). Gli indicatori di qualità sono quelli dell’OR 7.5, sulle medesime unità e sui medesimi anni.</w:t>
      </w:r>
    </w:p>
    <w:p>
      <w:pPr>
        <w:pStyle w:val="3RELTestoBase"/>
      </w:pPr>
      <w:r>
        <w:rPr>
          <w:i w:val="0"/>
        </w:rPr>
        <w:t>Il Piano prevedeva un monitoraggio minimo di sei mesi, con un buffer di ulteriori sei mesi a fronte del rischio che il primo periodo non fosse sufficiente (problema progettuale n. 8); il KPI fissa l’obiettivo a dodici mesi. L’adozione di serie annuali complete assorbe entrambe le soglie: ogni valore annuale dell’EEA+I copre dodici mesi di produzione, e la serie triennale ne copre trentasei, assicurando la rappresentatività di tutte le tipologie produttive per colore, formato e spessore che il Piano richiede. Per l’unità D020, riconvertita a polo logistico nel corso del 2025 (OR 7.5), il valore 2025 della serie EEA+ è quello della serie provvisoria dell’OR 7.3 e sarà riallineato in sede di consolidamento.</w:t>
      </w:r>
    </w:p>
    <w:p>
      <w:pPr>
        <w:pStyle w:val="1RELTITOLO"/>
      </w:pPr>
      <w:r>
        <w:rPr>
          <w:i w:val="0"/>
        </w:rPr>
        <w:t>2. Metodologia</w:t>
      </w:r>
    </w:p>
    <w:p>
      <w:pPr>
        <w:pStyle w:val="2RELSottotit"/>
      </w:pPr>
      <w:r>
        <w:rPr>
          <w:i w:val="0"/>
        </w:rPr>
        <w:t>2.1 Oggetto del collaudo: il Modello della Intelligent Industry</w:t>
      </w:r>
    </w:p>
    <w:p>
      <w:pPr>
        <w:pStyle w:val="3RELTestoBase"/>
      </w:pPr>
      <w:r>
        <w:rPr>
          <w:i w:val="0"/>
        </w:rPr>
        <w:t>Il collaudo assume come specifica il modello dell’OR 6.10 e ne verifica l’attuazione layer per layer. Il layer fisico-operativo è costituito dalle tre unità produttive e dai reparti ingegnerizzati nell’OR 7.6. Il layer informativo è la piattaforma E2C collaudata negli OR 7.1 e 7.2, che porta i dati di ERP, MES e laboratorio fino al livello di analisi. Il layer cognitivo comprende i modelli predittivi e di simulazione: il motore RT-PSE dell’OR 6.10 e la sperimentazione predittiva sulla qualità dell’OR 7.5. Il layer di sostenibilità comprende l’EEA+ e il P-TSA.</w:t>
      </w:r>
    </w:p>
    <w:p>
      <w:pPr>
        <w:pStyle w:val="3RELTestoBase"/>
      </w:pPr>
      <w:r>
        <w:rPr>
          <w:i w:val="0"/>
        </w:rPr>
        <w:t>L’interfaccia fra ambiente di fabbrica e ambiente direzionale è realizzata dal Digital Shadow della Intelligent Industry (IIDS), l’implementazione di riferimento che ricompone i risultati del progetto in due domini accoppiati: il dominio fabbrica-organizzazione, che porta l’EEA+ e il TSI, e il dominio prodotto-portafoglio, che porta l’analisi di prodotto, il Product Design e il P-TSA. I due domini convergono attraverso la catena prodotto ↔ lotto ↔ processo in una vista integrata unica dello stato della Intelligent Industry, esposta alla direzione tramite interfacce in sola lettura per fabbrica, prodotto, lotto e Gruppo. Il sistema è per costruzione un Digital Shadow e non un Digital Twin bidirezionale: il flusso è fisico → digitale, con analisi, previsione e raccomandazione a supporto della decisione umana, senza scrittura automatica verso PLC o SCADA. La scelta è coerente con l’OR 6.10, che indica la capacità di autogestione del sistema come prospettiva evolutiva subordinata a requisiti tecnologici, di sicurezza e di governance non ancora maturi.</w:t>
      </w:r>
    </w:p>
    <w:p>
      <w:pPr>
        <w:pStyle w:val="2RELSottotit"/>
      </w:pPr>
      <w:r>
        <w:rPr>
          <w:i w:val="0"/>
        </w:rPr>
        <w:t>2.2 Strumenti di misura: EEA+ Index e P-TSI</w:t>
      </w:r>
    </w:p>
    <w:p>
      <w:pPr>
        <w:pStyle w:val="3RELTestoBase"/>
      </w:pPr>
      <w:r>
        <w:rPr>
          <w:i w:val="0"/>
        </w:rPr>
        <w:t>L’EEA+ Index del Piano coincide con l’Indice Termodinamico di Sostenibilità (TSI) calcolato dalla versione beta dell’EEA+ (OR 7.3). I quattro moduli in Joule (TEI-J, EFA-J, EcoFA-J, SFA-J) producono i contributi tecnologico, ambientale, economico e sociale come differenze rispetto al 2022; la loro somma ponderata con i pesi AHP fornisce la Sustainability Accounting SA_w; il rapporto con l’exergia di riferimento dei vettori energetici, Ex_ref = Ex_el + Ex_fuel, fornisce lo score multidimensionale Φ = SA_w/Ex_ref; l’efficienza exergetica di secondo principio è Ψ = Ex_useful/Ex_ref. L’indice è TSI_abs = αΦ + βΨ con α = β = 0,5, e la lettura relativa è TSI_rel = TSI(2025)/TSI(2023).</w:t>
      </w:r>
    </w:p>
    <w:p>
      <w:pPr>
        <w:pStyle w:val="3RELTestoBase"/>
      </w:pPr>
      <w:r>
        <w:rPr>
          <w:i w:val="0"/>
        </w:rPr>
        <w:t>Il P-TSI (OR 7.4) sintetizza la sostenibilità tecnologica del prodotto su tre categorie d’impatto: In-/Outputs Availability (IOA, misurata dallo Stock Coverage Rate), Operational Performance (OP, Productivity Indicator) e Technical Quality (TQ, Output Conformity Rate). Ai fini del collaudo si adotta la lettura assoluta su scala 1–5 con pesi AHP, l’unica confrontabile fra periodi, affiancata dalla lettura relativa z-score per l’ordinamento fra tipologie. La dinamica è letta dal Technology Improvement Index, TII = (P-TSI_t / P-TSI_t−1 − 1) × 100.</w:t>
      </w:r>
    </w:p>
    <w:p>
      <w:pPr>
        <w:pStyle w:val="2RELSottotit"/>
      </w:pPr>
      <w:r>
        <w:rPr>
          <w:i w:val="0"/>
        </w:rPr>
        <w:t>2.3 Compliance analysis</w:t>
      </w:r>
    </w:p>
    <w:p>
      <w:pPr>
        <w:pStyle w:val="3RELTestoBase"/>
      </w:pPr>
      <w:r>
        <w:rPr>
          <w:i w:val="0"/>
        </w:rPr>
        <w:t>Il Piano indica due metodi per la validazione in contesto operativo: la compliance analysis, per verificare l’osservanza delle prestazioni rispetto alle normative vigenti e agli standard interni, e la trade-off analysis, per il confronto fra alternative. La compliance analysis è condotta su tre livelli, ciascuno con criteri di accettazione espliciti (Tabella 1).</w:t>
      </w:r>
    </w:p>
    <w:tbl>
      <w:tblPr>
        <w:tblStyle w:val="Grigliatabella"/>
        <w:tblW w:type="auto" w:w="0"/>
        <w:jc w:val="center"/>
        <w:tblLook w:firstColumn="1" w:firstRow="1" w:lastColumn="0" w:lastRow="0" w:noHBand="0" w:noVBand="1" w:val="04A0"/>
      </w:tblPr>
      <w:tblGrid>
        <w:gridCol w:w="3591"/>
        <w:gridCol w:w="3591"/>
        <w:gridCol w:w="3591"/>
      </w:tblGrid>
      <w:tr>
        <w:tc>
          <w:tcPr>
            <w:tcW w:type="dxa" w:w="2041"/>
            <w:shd w:val="clear" w:color="auto" w:fill="024C41"/>
          </w:tcPr>
          <w:p>
            <w:pPr>
              <w:jc w:val="center"/>
            </w:pPr>
            <w:r/>
            <w:r>
              <w:rPr>
                <w:b/>
                <w:color w:val="FFFFFF"/>
                <w:sz w:val="18"/>
              </w:rPr>
              <w:t>Livello</w:t>
            </w:r>
          </w:p>
        </w:tc>
        <w:tc>
          <w:tcPr>
            <w:tcW w:type="dxa" w:w="5329"/>
            <w:shd w:val="clear" w:color="auto" w:fill="024C41"/>
          </w:tcPr>
          <w:p>
            <w:pPr>
              <w:jc w:val="center"/>
            </w:pPr>
            <w:r/>
            <w:r>
              <w:rPr>
                <w:b/>
                <w:color w:val="FFFFFF"/>
                <w:sz w:val="18"/>
              </w:rPr>
              <w:t>Criterio di accettazione</w:t>
            </w:r>
          </w:p>
        </w:tc>
        <w:tc>
          <w:tcPr>
            <w:tcW w:type="dxa" w:w="2041"/>
            <w:shd w:val="clear" w:color="auto" w:fill="024C41"/>
          </w:tcPr>
          <w:p>
            <w:pPr>
              <w:jc w:val="center"/>
            </w:pPr>
            <w:r/>
            <w:r>
              <w:rPr>
                <w:b/>
                <w:color w:val="FFFFFF"/>
                <w:sz w:val="18"/>
              </w:rPr>
              <w:t>Fonte della verifica</w:t>
            </w:r>
          </w:p>
        </w:tc>
      </w:tr>
      <w:tr>
        <w:tc>
          <w:tcPr>
            <w:tcW w:type="dxa" w:w="2041"/>
          </w:tcPr>
          <w:p>
            <w:pPr>
              <w:jc w:val="left"/>
            </w:pPr>
            <w:r/>
            <w:r>
              <w:rPr>
                <w:sz w:val="18"/>
              </w:rPr>
              <w:t>C1 · Specifiche progettuali</w:t>
            </w:r>
          </w:p>
        </w:tc>
        <w:tc>
          <w:tcPr>
            <w:tcW w:type="dxa" w:w="5329"/>
          </w:tcPr>
          <w:p>
            <w:pPr>
              <w:jc w:val="center"/>
            </w:pPr>
            <w:r/>
            <w:r>
              <w:rPr>
                <w:sz w:val="18"/>
              </w:rPr>
              <w:t>Ciascuno dei quattro layer del modello OR 6.10 è attuato e alimenta il layer successivo; fabbrica e organizzazione leggono la stessa vista integrata</w:t>
            </w:r>
          </w:p>
        </w:tc>
        <w:tc>
          <w:tcPr>
            <w:tcW w:type="dxa" w:w="2041"/>
          </w:tcPr>
          <w:p>
            <w:pPr>
              <w:jc w:val="center"/>
            </w:pPr>
            <w:r/>
            <w:r>
              <w:rPr>
                <w:sz w:val="18"/>
              </w:rPr>
              <w:t>OR 6.10, 7.1–7.6; IIDS</w:t>
            </w:r>
          </w:p>
        </w:tc>
      </w:tr>
      <w:tr>
        <w:tc>
          <w:tcPr>
            <w:tcW w:type="dxa" w:w="2041"/>
          </w:tcPr>
          <w:p>
            <w:pPr>
              <w:jc w:val="left"/>
            </w:pPr>
            <w:r/>
            <w:r>
              <w:rPr>
                <w:sz w:val="18"/>
              </w:rPr>
              <w:t>C2 · Normativa di prodotto</w:t>
            </w:r>
          </w:p>
        </w:tc>
        <w:tc>
          <w:tcPr>
            <w:tcW w:type="dxa" w:w="5329"/>
          </w:tcPr>
          <w:p>
            <w:pPr>
              <w:jc w:val="center"/>
            </w:pPr>
            <w:r/>
            <w:r>
              <w:rPr>
                <w:sz w:val="18"/>
              </w:rPr>
              <w:t>Output Conformity Rate ≥ 1 per tutti i parametri ISO 10545 / EN 14411 BIa; Right First Time stabile sui requisiti dell’Allegato G della UNI EN ISO 13006</w:t>
            </w:r>
          </w:p>
        </w:tc>
        <w:tc>
          <w:tcPr>
            <w:tcW w:type="dxa" w:w="2041"/>
          </w:tcPr>
          <w:p>
            <w:pPr>
              <w:jc w:val="center"/>
            </w:pPr>
            <w:r/>
            <w:r>
              <w:rPr>
                <w:sz w:val="18"/>
              </w:rPr>
              <w:t>OR 7.4, 7.5</w:t>
            </w:r>
          </w:p>
        </w:tc>
      </w:tr>
      <w:tr>
        <w:tc>
          <w:tcPr>
            <w:tcW w:type="dxa" w:w="2041"/>
          </w:tcPr>
          <w:p>
            <w:pPr>
              <w:jc w:val="left"/>
            </w:pPr>
            <w:r/>
            <w:r>
              <w:rPr>
                <w:sz w:val="18"/>
              </w:rPr>
              <w:t>C3 · Calcolo e governo del dato</w:t>
            </w:r>
          </w:p>
        </w:tc>
        <w:tc>
          <w:tcPr>
            <w:tcW w:type="dxa" w:w="5329"/>
          </w:tcPr>
          <w:p>
            <w:pPr>
              <w:jc w:val="center"/>
            </w:pPr>
            <w:r/>
            <w:r>
              <w:rPr>
                <w:sz w:val="18"/>
              </w:rPr>
              <w:t>Riproduzione dei valori validati entro la tolleranza di arrotondamento; set di coefficienti e pesi approvati e versionati; consistenza AHP (CR ≤ 0,10); convenzione di unità MJ interno / GJ output; assenza di attuazione automatica</w:t>
            </w:r>
          </w:p>
        </w:tc>
        <w:tc>
          <w:tcPr>
            <w:tcW w:type="dxa" w:w="2041"/>
          </w:tcPr>
          <w:p>
            <w:pPr>
              <w:jc w:val="center"/>
            </w:pPr>
            <w:r/>
            <w:r>
              <w:rPr>
                <w:sz w:val="18"/>
              </w:rPr>
              <w:t>IIDS, OR 7.3, 7.4</w:t>
            </w:r>
          </w:p>
        </w:tc>
      </w:tr>
    </w:tbl>
    <w:p>
      <w:pPr>
        <w:spacing w:after="200"/>
        <w:jc w:val="center"/>
      </w:pPr>
      <w:r>
        <w:rPr>
          <w:i/>
          <w:sz w:val="18"/>
        </w:rPr>
        <w:t>Tabella 1. Livelli e criteri di accettazione della compliance analysis.</w:t>
      </w:r>
    </w:p>
    <w:p>
      <w:pPr>
        <w:pStyle w:val="2RELSottotit"/>
      </w:pPr>
      <w:r>
        <w:rPr>
          <w:i w:val="0"/>
        </w:rPr>
        <w:t>2.4 Trade-off analysis</w:t>
      </w:r>
    </w:p>
    <w:p>
      <w:pPr>
        <w:pStyle w:val="3RELTestoBase"/>
      </w:pPr>
      <w:r>
        <w:rPr>
          <w:i w:val="0"/>
        </w:rPr>
        <w:t>La trade-off analysis verifica che le decisioni rese possibili dal sistema restino leggibili quando gli obiettivi entrano in tensione. Sono esaminati quattro confronti: il bilanciamento fra score multidimensionale ed efficienza exergetica (α/β) e la ponderazione AHP nell’EEA+; il confronto fra tipologie di prodotto nel P-TSA al variare della priorità strategica; il confronto fra resa volumetrica e diffusione del declassamento fra unità produttive; il confronto, centrale per il collaudo, fra andamento degli indici di sostenibilità e andamento degli indicatori di qualità.</w:t>
      </w:r>
    </w:p>
    <w:p>
      <w:pPr>
        <w:pStyle w:val="2RELSottotit"/>
      </w:pPr>
      <w:r>
        <w:rPr>
          <w:i w:val="0"/>
        </w:rPr>
        <w:t>2.5 Ambiente di collaudo e riproducibilità</w:t>
      </w:r>
    </w:p>
    <w:p>
      <w:pPr>
        <w:pStyle w:val="3RELTestoBase"/>
      </w:pPr>
      <w:r>
        <w:rPr>
          <w:i w:val="0"/>
        </w:rPr>
        <w:t>Il collaudo è eseguito nell’ambiente IIDS. La pipeline aggregata EEA+/TSI è alimentata dalla scheda di raccolta dati 2023–2025 dell’OR 7.3 (anagrafica e produzione delle unità, consumi di gas naturale ed energia elettrica, termini exergetici dei quattro moduli, libreria dei coefficienti, matrice AHP) e restituisce un registro di calcolo per unità, anno e variabile. Il registro è confrontato, valore per valore, con il registro di calcolo pubblicato con l’OR 7.3. Il set di coefficienti e il set di pesi impiegati sono stati approvati formalmente il 1° settembre 2026 e sono tracciati con identificativo e versione; ogni esecuzione registra il set utilizzato. L’intera base di codice è verificata da una suite di test automatici di unità, integrazione, regressione e contratto dati, eseguita a ogni modifica.</w:t>
      </w:r>
    </w:p>
    <w:p>
      <w:pPr>
        <w:pStyle w:val="1RELTITOLO"/>
      </w:pPr>
      <w:r>
        <w:rPr>
          <w:i w:val="0"/>
        </w:rPr>
        <w:t>3. Risultati</w:t>
      </w:r>
    </w:p>
    <w:p>
      <w:pPr>
        <w:pStyle w:val="3RELTestoBase"/>
      </w:pPr>
      <w:r>
        <w:rPr>
          <w:i w:val="0"/>
        </w:rPr>
        <w:t>Seguono la verifica di riproducibilità della catena di calcolo, l’osservazione dei due indici sulla serie, la lettura integrata con gli indicatori di qualità, gli esiti della compliance analysis e della trade-off analysis e la verifica dei KPI di attività.</w:t>
      </w:r>
    </w:p>
    <w:p>
      <w:pPr>
        <w:pStyle w:val="2RELSottotit"/>
      </w:pPr>
      <w:r>
        <w:rPr>
          <w:i w:val="0"/>
        </w:rPr>
        <w:t>3.1 Riproducibilità della catena di calcolo</w:t>
      </w:r>
    </w:p>
    <w:p>
      <w:pPr>
        <w:pStyle w:val="3RELTestoBase"/>
      </w:pPr>
      <w:r>
        <w:rPr>
          <w:i w:val="0"/>
        </w:rPr>
        <w:t>La pipeline EEA+ eseguita nell’ambiente IIDS ha riprodotto tutti i 93 valori del registro di calcolo dell’OR 7.3, per le tre unità e i tre anni (Tabella 2). I contributi dei moduli, la Sustainability Accounting grezza, l’exergia di riferimento e l’efficienza Ψ coincidono esattamente; gli scarti residui su SA_w, Φ, TSI_abs e TSI_rel sono interamente attribuibili all’arrotondamento a quattro decimali dei pesi AHP e dei valori pubblicati, e il massimo, su Φ, è pari a 0,22 per cento. La suite di test dell’ambiente IIDS si è conclusa con 181 test superati e uno saltato per un elemento di formula in attesa di conferma documentato, senza esiti negativi.</w:t>
      </w:r>
    </w:p>
    <w:tbl>
      <w:tblPr>
        <w:tblStyle w:val="Grigliatabella"/>
        <w:tblW w:type="auto" w:w="0"/>
        <w:jc w:val="center"/>
        <w:tblLook w:firstColumn="1" w:firstRow="1" w:lastColumn="0" w:lastRow="0" w:noHBand="0" w:noVBand="1" w:val="04A0"/>
      </w:tblPr>
      <w:tblGrid>
        <w:gridCol w:w="2693"/>
        <w:gridCol w:w="2693"/>
        <w:gridCol w:w="2693"/>
        <w:gridCol w:w="2693"/>
      </w:tblGrid>
      <w:tr>
        <w:tc>
          <w:tcPr>
            <w:tcW w:type="dxa" w:w="2608"/>
            <w:shd w:val="clear" w:color="auto" w:fill="024C41"/>
          </w:tcPr>
          <w:p>
            <w:pPr>
              <w:jc w:val="center"/>
            </w:pPr>
            <w:r/>
            <w:r>
              <w:rPr>
                <w:b/>
                <w:color w:val="FFFFFF"/>
                <w:sz w:val="18"/>
              </w:rPr>
              <w:t>Variabile</w:t>
            </w:r>
          </w:p>
        </w:tc>
        <w:tc>
          <w:tcPr>
            <w:tcW w:type="dxa" w:w="1814"/>
            <w:shd w:val="clear" w:color="auto" w:fill="024C41"/>
          </w:tcPr>
          <w:p>
            <w:pPr>
              <w:jc w:val="center"/>
            </w:pPr>
            <w:r/>
            <w:r>
              <w:rPr>
                <w:b/>
                <w:color w:val="FFFFFF"/>
                <w:sz w:val="18"/>
              </w:rPr>
              <w:t>Valori confrontati</w:t>
            </w:r>
          </w:p>
        </w:tc>
        <w:tc>
          <w:tcPr>
            <w:tcW w:type="dxa" w:w="1701"/>
            <w:shd w:val="clear" w:color="auto" w:fill="024C41"/>
          </w:tcPr>
          <w:p>
            <w:pPr>
              <w:jc w:val="center"/>
            </w:pPr>
            <w:r/>
            <w:r>
              <w:rPr>
                <w:b/>
                <w:color w:val="FFFFFF"/>
                <w:sz w:val="18"/>
              </w:rPr>
              <w:t>Scarto massimo</w:t>
            </w:r>
          </w:p>
        </w:tc>
        <w:tc>
          <w:tcPr>
            <w:tcW w:type="dxa" w:w="3288"/>
            <w:shd w:val="clear" w:color="auto" w:fill="024C41"/>
          </w:tcPr>
          <w:p>
            <w:pPr>
              <w:jc w:val="center"/>
            </w:pPr>
            <w:r/>
            <w:r>
              <w:rPr>
                <w:b/>
                <w:color w:val="FFFFFF"/>
                <w:sz w:val="18"/>
              </w:rPr>
              <w:t>Esito</w:t>
            </w:r>
          </w:p>
        </w:tc>
      </w:tr>
      <w:tr>
        <w:tc>
          <w:tcPr>
            <w:tcW w:type="dxa" w:w="2608"/>
          </w:tcPr>
          <w:p>
            <w:pPr>
              <w:jc w:val="left"/>
            </w:pPr>
            <w:r/>
            <w:r>
              <w:rPr>
                <w:sz w:val="18"/>
              </w:rPr>
              <w:t>f_env, f_econ, f_soc (GJ)</w:t>
            </w:r>
          </w:p>
        </w:tc>
        <w:tc>
          <w:tcPr>
            <w:tcW w:type="dxa" w:w="1814"/>
          </w:tcPr>
          <w:p>
            <w:pPr>
              <w:jc w:val="center"/>
            </w:pPr>
            <w:r/>
            <w:r>
              <w:rPr>
                <w:sz w:val="18"/>
              </w:rPr>
              <w:t>27</w:t>
            </w:r>
          </w:p>
        </w:tc>
        <w:tc>
          <w:tcPr>
            <w:tcW w:type="dxa" w:w="1701"/>
          </w:tcPr>
          <w:p>
            <w:pPr>
              <w:jc w:val="center"/>
            </w:pPr>
            <w:r/>
            <w:r>
              <w:rPr>
                <w:sz w:val="18"/>
              </w:rPr>
              <w:t>0,000 %</w:t>
            </w:r>
          </w:p>
        </w:tc>
        <w:tc>
          <w:tcPr>
            <w:tcW w:type="dxa" w:w="3288"/>
          </w:tcPr>
          <w:p>
            <w:pPr>
              <w:jc w:val="center"/>
            </w:pPr>
            <w:r/>
            <w:r>
              <w:rPr>
                <w:sz w:val="18"/>
              </w:rPr>
              <w:t>Riprodotto</w:t>
            </w:r>
          </w:p>
        </w:tc>
      </w:tr>
      <w:tr>
        <w:tc>
          <w:tcPr>
            <w:tcW w:type="dxa" w:w="2608"/>
          </w:tcPr>
          <w:p>
            <w:pPr>
              <w:jc w:val="left"/>
            </w:pPr>
            <w:r/>
            <w:r>
              <w:rPr>
                <w:sz w:val="18"/>
              </w:rPr>
              <w:t>f_tech (GJ)</w:t>
            </w:r>
          </w:p>
        </w:tc>
        <w:tc>
          <w:tcPr>
            <w:tcW w:type="dxa" w:w="1814"/>
          </w:tcPr>
          <w:p>
            <w:pPr>
              <w:jc w:val="center"/>
            </w:pPr>
            <w:r/>
            <w:r>
              <w:rPr>
                <w:sz w:val="18"/>
              </w:rPr>
              <w:t>9</w:t>
            </w:r>
          </w:p>
        </w:tc>
        <w:tc>
          <w:tcPr>
            <w:tcW w:type="dxa" w:w="1701"/>
          </w:tcPr>
          <w:p>
            <w:pPr>
              <w:jc w:val="center"/>
            </w:pPr>
            <w:r/>
            <w:r>
              <w:rPr>
                <w:sz w:val="18"/>
              </w:rPr>
              <w:t>0,001 %</w:t>
            </w:r>
          </w:p>
        </w:tc>
        <w:tc>
          <w:tcPr>
            <w:tcW w:type="dxa" w:w="3288"/>
          </w:tcPr>
          <w:p>
            <w:pPr>
              <w:jc w:val="center"/>
            </w:pPr>
            <w:r/>
            <w:r>
              <w:rPr>
                <w:sz w:val="18"/>
              </w:rPr>
              <w:t>Riprodotto</w:t>
            </w:r>
          </w:p>
        </w:tc>
      </w:tr>
      <w:tr>
        <w:tc>
          <w:tcPr>
            <w:tcW w:type="dxa" w:w="2608"/>
          </w:tcPr>
          <w:p>
            <w:pPr>
              <w:jc w:val="left"/>
            </w:pPr>
            <w:r/>
            <w:r>
              <w:rPr>
                <w:sz w:val="18"/>
              </w:rPr>
              <w:t>SA_raw (GJ)</w:t>
            </w:r>
          </w:p>
        </w:tc>
        <w:tc>
          <w:tcPr>
            <w:tcW w:type="dxa" w:w="1814"/>
          </w:tcPr>
          <w:p>
            <w:pPr>
              <w:jc w:val="center"/>
            </w:pPr>
            <w:r/>
            <w:r>
              <w:rPr>
                <w:sz w:val="18"/>
              </w:rPr>
              <w:t>9</w:t>
            </w:r>
          </w:p>
        </w:tc>
        <w:tc>
          <w:tcPr>
            <w:tcW w:type="dxa" w:w="1701"/>
          </w:tcPr>
          <w:p>
            <w:pPr>
              <w:jc w:val="center"/>
            </w:pPr>
            <w:r/>
            <w:r>
              <w:rPr>
                <w:sz w:val="18"/>
              </w:rPr>
              <w:t>0,000 %</w:t>
            </w:r>
          </w:p>
        </w:tc>
        <w:tc>
          <w:tcPr>
            <w:tcW w:type="dxa" w:w="3288"/>
          </w:tcPr>
          <w:p>
            <w:pPr>
              <w:jc w:val="center"/>
            </w:pPr>
            <w:r/>
            <w:r>
              <w:rPr>
                <w:sz w:val="18"/>
              </w:rPr>
              <w:t>Riprodotto</w:t>
            </w:r>
          </w:p>
        </w:tc>
      </w:tr>
      <w:tr>
        <w:tc>
          <w:tcPr>
            <w:tcW w:type="dxa" w:w="2608"/>
          </w:tcPr>
          <w:p>
            <w:pPr>
              <w:jc w:val="left"/>
            </w:pPr>
            <w:r/>
            <w:r>
              <w:rPr>
                <w:sz w:val="18"/>
              </w:rPr>
              <w:t>SA_w (GJ)</w:t>
            </w:r>
          </w:p>
        </w:tc>
        <w:tc>
          <w:tcPr>
            <w:tcW w:type="dxa" w:w="1814"/>
          </w:tcPr>
          <w:p>
            <w:pPr>
              <w:jc w:val="center"/>
            </w:pPr>
            <w:r/>
            <w:r>
              <w:rPr>
                <w:sz w:val="18"/>
              </w:rPr>
              <w:t>9</w:t>
            </w:r>
          </w:p>
        </w:tc>
        <w:tc>
          <w:tcPr>
            <w:tcW w:type="dxa" w:w="1701"/>
          </w:tcPr>
          <w:p>
            <w:pPr>
              <w:jc w:val="center"/>
            </w:pPr>
            <w:r/>
            <w:r>
              <w:rPr>
                <w:sz w:val="18"/>
              </w:rPr>
              <w:t>0,009 %</w:t>
            </w:r>
          </w:p>
        </w:tc>
        <w:tc>
          <w:tcPr>
            <w:tcW w:type="dxa" w:w="3288"/>
          </w:tcPr>
          <w:p>
            <w:pPr>
              <w:jc w:val="center"/>
            </w:pPr>
            <w:r/>
            <w:r>
              <w:rPr>
                <w:sz w:val="18"/>
              </w:rPr>
              <w:t>Riprodotto (arrotondamento pesi)</w:t>
            </w:r>
          </w:p>
        </w:tc>
      </w:tr>
      <w:tr>
        <w:tc>
          <w:tcPr>
            <w:tcW w:type="dxa" w:w="2608"/>
          </w:tcPr>
          <w:p>
            <w:pPr>
              <w:jc w:val="left"/>
            </w:pPr>
            <w:r/>
            <w:r>
              <w:rPr>
                <w:sz w:val="18"/>
              </w:rPr>
              <w:t>Ex_ref (GJ)</w:t>
            </w:r>
          </w:p>
        </w:tc>
        <w:tc>
          <w:tcPr>
            <w:tcW w:type="dxa" w:w="1814"/>
          </w:tcPr>
          <w:p>
            <w:pPr>
              <w:jc w:val="center"/>
            </w:pPr>
            <w:r/>
            <w:r>
              <w:rPr>
                <w:sz w:val="18"/>
              </w:rPr>
              <w:t>9</w:t>
            </w:r>
          </w:p>
        </w:tc>
        <w:tc>
          <w:tcPr>
            <w:tcW w:type="dxa" w:w="1701"/>
          </w:tcPr>
          <w:p>
            <w:pPr>
              <w:jc w:val="center"/>
            </w:pPr>
            <w:r/>
            <w:r>
              <w:rPr>
                <w:sz w:val="18"/>
              </w:rPr>
              <w:t>0,000 %</w:t>
            </w:r>
          </w:p>
        </w:tc>
        <w:tc>
          <w:tcPr>
            <w:tcW w:type="dxa" w:w="3288"/>
          </w:tcPr>
          <w:p>
            <w:pPr>
              <w:jc w:val="center"/>
            </w:pPr>
            <w:r/>
            <w:r>
              <w:rPr>
                <w:sz w:val="18"/>
              </w:rPr>
              <w:t>Riprodotto</w:t>
            </w:r>
          </w:p>
        </w:tc>
      </w:tr>
      <w:tr>
        <w:tc>
          <w:tcPr>
            <w:tcW w:type="dxa" w:w="2608"/>
          </w:tcPr>
          <w:p>
            <w:pPr>
              <w:jc w:val="left"/>
            </w:pPr>
            <w:r/>
            <w:r>
              <w:rPr>
                <w:sz w:val="18"/>
              </w:rPr>
              <w:t>Φ</w:t>
            </w:r>
          </w:p>
        </w:tc>
        <w:tc>
          <w:tcPr>
            <w:tcW w:type="dxa" w:w="1814"/>
          </w:tcPr>
          <w:p>
            <w:pPr>
              <w:jc w:val="center"/>
            </w:pPr>
            <w:r/>
            <w:r>
              <w:rPr>
                <w:sz w:val="18"/>
              </w:rPr>
              <w:t>9</w:t>
            </w:r>
          </w:p>
        </w:tc>
        <w:tc>
          <w:tcPr>
            <w:tcW w:type="dxa" w:w="1701"/>
          </w:tcPr>
          <w:p>
            <w:pPr>
              <w:jc w:val="center"/>
            </w:pPr>
            <w:r/>
            <w:r>
              <w:rPr>
                <w:sz w:val="18"/>
              </w:rPr>
              <w:t>0,217 %</w:t>
            </w:r>
          </w:p>
        </w:tc>
        <w:tc>
          <w:tcPr>
            <w:tcW w:type="dxa" w:w="3288"/>
          </w:tcPr>
          <w:p>
            <w:pPr>
              <w:jc w:val="center"/>
            </w:pPr>
            <w:r/>
            <w:r>
              <w:rPr>
                <w:sz w:val="18"/>
              </w:rPr>
              <w:t>Riprodotto (arrotondamento a 4 decimali)</w:t>
            </w:r>
          </w:p>
        </w:tc>
      </w:tr>
      <w:tr>
        <w:tc>
          <w:tcPr>
            <w:tcW w:type="dxa" w:w="2608"/>
          </w:tcPr>
          <w:p>
            <w:pPr>
              <w:jc w:val="left"/>
            </w:pPr>
            <w:r/>
            <w:r>
              <w:rPr>
                <w:sz w:val="18"/>
              </w:rPr>
              <w:t>Ψ</w:t>
            </w:r>
          </w:p>
        </w:tc>
        <w:tc>
          <w:tcPr>
            <w:tcW w:type="dxa" w:w="1814"/>
          </w:tcPr>
          <w:p>
            <w:pPr>
              <w:jc w:val="center"/>
            </w:pPr>
            <w:r/>
            <w:r>
              <w:rPr>
                <w:sz w:val="18"/>
              </w:rPr>
              <w:t>9</w:t>
            </w:r>
          </w:p>
        </w:tc>
        <w:tc>
          <w:tcPr>
            <w:tcW w:type="dxa" w:w="1701"/>
          </w:tcPr>
          <w:p>
            <w:pPr>
              <w:jc w:val="center"/>
            </w:pPr>
            <w:r/>
            <w:r>
              <w:rPr>
                <w:sz w:val="18"/>
              </w:rPr>
              <w:t>0,000 %</w:t>
            </w:r>
          </w:p>
        </w:tc>
        <w:tc>
          <w:tcPr>
            <w:tcW w:type="dxa" w:w="3288"/>
          </w:tcPr>
          <w:p>
            <w:pPr>
              <w:jc w:val="center"/>
            </w:pPr>
            <w:r/>
            <w:r>
              <w:rPr>
                <w:sz w:val="18"/>
              </w:rPr>
              <w:t>Riprodotto</w:t>
            </w:r>
          </w:p>
        </w:tc>
      </w:tr>
      <w:tr>
        <w:tc>
          <w:tcPr>
            <w:tcW w:type="dxa" w:w="2608"/>
          </w:tcPr>
          <w:p>
            <w:pPr>
              <w:jc w:val="left"/>
            </w:pPr>
            <w:r/>
            <w:r>
              <w:rPr>
                <w:sz w:val="18"/>
              </w:rPr>
              <w:t>TSI_abs</w:t>
            </w:r>
          </w:p>
        </w:tc>
        <w:tc>
          <w:tcPr>
            <w:tcW w:type="dxa" w:w="1814"/>
          </w:tcPr>
          <w:p>
            <w:pPr>
              <w:jc w:val="center"/>
            </w:pPr>
            <w:r/>
            <w:r>
              <w:rPr>
                <w:sz w:val="18"/>
              </w:rPr>
              <w:t>9</w:t>
            </w:r>
          </w:p>
        </w:tc>
        <w:tc>
          <w:tcPr>
            <w:tcW w:type="dxa" w:w="1701"/>
          </w:tcPr>
          <w:p>
            <w:pPr>
              <w:jc w:val="center"/>
            </w:pPr>
            <w:r/>
            <w:r>
              <w:rPr>
                <w:sz w:val="18"/>
              </w:rPr>
              <w:t>0,044 %</w:t>
            </w:r>
          </w:p>
        </w:tc>
        <w:tc>
          <w:tcPr>
            <w:tcW w:type="dxa" w:w="3288"/>
          </w:tcPr>
          <w:p>
            <w:pPr>
              <w:jc w:val="center"/>
            </w:pPr>
            <w:r/>
            <w:r>
              <w:rPr>
                <w:sz w:val="18"/>
              </w:rPr>
              <w:t>Riprodotto (arrotondamento a 4 decimali)</w:t>
            </w:r>
          </w:p>
        </w:tc>
      </w:tr>
      <w:tr>
        <w:tc>
          <w:tcPr>
            <w:tcW w:type="dxa" w:w="2608"/>
          </w:tcPr>
          <w:p>
            <w:pPr>
              <w:jc w:val="left"/>
            </w:pPr>
            <w:r/>
            <w:r>
              <w:rPr>
                <w:sz w:val="18"/>
              </w:rPr>
              <w:t>TSI_rel</w:t>
            </w:r>
          </w:p>
        </w:tc>
        <w:tc>
          <w:tcPr>
            <w:tcW w:type="dxa" w:w="1814"/>
          </w:tcPr>
          <w:p>
            <w:pPr>
              <w:jc w:val="center"/>
            </w:pPr>
            <w:r/>
            <w:r>
              <w:rPr>
                <w:sz w:val="18"/>
              </w:rPr>
              <w:t>3</w:t>
            </w:r>
          </w:p>
        </w:tc>
        <w:tc>
          <w:tcPr>
            <w:tcW w:type="dxa" w:w="1701"/>
          </w:tcPr>
          <w:p>
            <w:pPr>
              <w:jc w:val="center"/>
            </w:pPr>
            <w:r/>
            <w:r>
              <w:rPr>
                <w:sz w:val="18"/>
              </w:rPr>
              <w:t>0,005 %</w:t>
            </w:r>
          </w:p>
        </w:tc>
        <w:tc>
          <w:tcPr>
            <w:tcW w:type="dxa" w:w="3288"/>
          </w:tcPr>
          <w:p>
            <w:pPr>
              <w:jc w:val="center"/>
            </w:pPr>
            <w:r/>
            <w:r>
              <w:rPr>
                <w:sz w:val="18"/>
              </w:rPr>
              <w:t>Riprodotto</w:t>
            </w:r>
          </w:p>
        </w:tc>
      </w:tr>
      <w:tr>
        <w:tc>
          <w:tcPr>
            <w:tcW w:type="dxa" w:w="2608"/>
          </w:tcPr>
          <w:p>
            <w:pPr>
              <w:jc w:val="left"/>
            </w:pPr>
            <w:r/>
            <w:r>
              <w:rPr>
                <w:sz w:val="18"/>
              </w:rPr>
              <w:t>Totale</w:t>
            </w:r>
          </w:p>
        </w:tc>
        <w:tc>
          <w:tcPr>
            <w:tcW w:type="dxa" w:w="1814"/>
          </w:tcPr>
          <w:p>
            <w:pPr>
              <w:jc w:val="center"/>
            </w:pPr>
            <w:r/>
            <w:r>
              <w:rPr>
                <w:sz w:val="18"/>
              </w:rPr>
              <w:t>93</w:t>
            </w:r>
          </w:p>
        </w:tc>
        <w:tc>
          <w:tcPr>
            <w:tcW w:type="dxa" w:w="1701"/>
          </w:tcPr>
          <w:p>
            <w:pPr>
              <w:jc w:val="center"/>
            </w:pPr>
            <w:r/>
            <w:r>
              <w:rPr>
                <w:sz w:val="18"/>
              </w:rPr>
              <w:t>—</w:t>
            </w:r>
          </w:p>
        </w:tc>
        <w:tc>
          <w:tcPr>
            <w:tcW w:type="dxa" w:w="3288"/>
          </w:tcPr>
          <w:p>
            <w:pPr>
              <w:jc w:val="center"/>
            </w:pPr>
            <w:r/>
            <w:r>
              <w:rPr>
                <w:sz w:val="18"/>
              </w:rPr>
              <w:t>93 su 93</w:t>
            </w:r>
          </w:p>
        </w:tc>
      </w:tr>
    </w:tbl>
    <w:p>
      <w:pPr>
        <w:spacing w:after="200"/>
        <w:jc w:val="center"/>
      </w:pPr>
      <w:r>
        <w:rPr>
          <w:i/>
          <w:sz w:val="18"/>
        </w:rPr>
        <w:t>Tabella 2. Riproduzione del registro di calcolo OR 7.3 nell’ambiente IIDS.</w:t>
      </w:r>
    </w:p>
    <w:p>
      <w:pPr>
        <w:pStyle w:val="2RELSottotit"/>
      </w:pPr>
      <w:r>
        <w:rPr>
          <w:i w:val="0"/>
        </w:rPr>
        <w:t>3.2 Osservazione dell’EEA+ Index</w:t>
      </w:r>
    </w:p>
    <w:p>
      <w:pPr>
        <w:pStyle w:val="3RELTestoBase"/>
      </w:pPr>
      <w:r>
        <w:rPr>
          <w:i w:val="0"/>
        </w:rPr>
        <w:t>L’EEA+I cresce in tutte le unità e in tutti gli anni della serie (Tabella 3, Figura 1). Il valore di Gruppo, media ponderata sulla produzione, passa da 0,0909 nel 2023 a 0,1060 nel 2024 e a 0,1219 nel 2025, con un incremento del 16,6 per cento nel primo anno e del 15,0 per cento nel secondo; la lettura relativa TSI_rel di Gruppo è pari a 1,341. Il passo di crescita rallenta leggermente in tutte le unità fra il primo e il secondo intervallo, segno che il miglioramento procede con regolarità ma non accelera.</w:t>
      </w:r>
    </w:p>
    <w:tbl>
      <w:tblPr>
        <w:tblStyle w:val="Grigliatabella"/>
        <w:tblW w:type="auto" w:w="0"/>
        <w:jc w:val="center"/>
        <w:tblLook w:firstColumn="1" w:firstRow="1" w:lastColumn="0" w:lastRow="0" w:noHBand="0" w:noVBand="1" w:val="04A0"/>
      </w:tblPr>
      <w:tblGrid>
        <w:gridCol w:w="1539"/>
        <w:gridCol w:w="1539"/>
        <w:gridCol w:w="1539"/>
        <w:gridCol w:w="1539"/>
        <w:gridCol w:w="1539"/>
        <w:gridCol w:w="1539"/>
        <w:gridCol w:w="1539"/>
      </w:tblGrid>
      <w:tr>
        <w:tc>
          <w:tcPr>
            <w:tcW w:type="dxa" w:w="1247"/>
            <w:shd w:val="clear" w:color="auto" w:fill="024C41"/>
          </w:tcPr>
          <w:p>
            <w:pPr>
              <w:jc w:val="center"/>
            </w:pPr>
            <w:r/>
            <w:r>
              <w:rPr>
                <w:b/>
                <w:color w:val="FFFFFF"/>
                <w:sz w:val="18"/>
              </w:rPr>
              <w:t>Unità</w:t>
            </w:r>
          </w:p>
        </w:tc>
        <w:tc>
          <w:tcPr>
            <w:tcW w:type="dxa" w:w="1134"/>
            <w:shd w:val="clear" w:color="auto" w:fill="024C41"/>
          </w:tcPr>
          <w:p>
            <w:pPr>
              <w:jc w:val="center"/>
            </w:pPr>
            <w:r/>
            <w:r>
              <w:rPr>
                <w:b/>
                <w:color w:val="FFFFFF"/>
                <w:sz w:val="18"/>
              </w:rPr>
              <w:t>2023</w:t>
            </w:r>
          </w:p>
        </w:tc>
        <w:tc>
          <w:tcPr>
            <w:tcW w:type="dxa" w:w="1134"/>
            <w:shd w:val="clear" w:color="auto" w:fill="024C41"/>
          </w:tcPr>
          <w:p>
            <w:pPr>
              <w:jc w:val="center"/>
            </w:pPr>
            <w:r/>
            <w:r>
              <w:rPr>
                <w:b/>
                <w:color w:val="FFFFFF"/>
                <w:sz w:val="18"/>
              </w:rPr>
              <w:t>2024</w:t>
            </w:r>
          </w:p>
        </w:tc>
        <w:tc>
          <w:tcPr>
            <w:tcW w:type="dxa" w:w="1134"/>
            <w:shd w:val="clear" w:color="auto" w:fill="024C41"/>
          </w:tcPr>
          <w:p>
            <w:pPr>
              <w:jc w:val="center"/>
            </w:pPr>
            <w:r/>
            <w:r>
              <w:rPr>
                <w:b/>
                <w:color w:val="FFFFFF"/>
                <w:sz w:val="18"/>
              </w:rPr>
              <w:t>2025</w:t>
            </w:r>
          </w:p>
        </w:tc>
        <w:tc>
          <w:tcPr>
            <w:tcW w:type="dxa" w:w="1474"/>
            <w:shd w:val="clear" w:color="auto" w:fill="024C41"/>
          </w:tcPr>
          <w:p>
            <w:pPr>
              <w:jc w:val="center"/>
            </w:pPr>
            <w:r/>
            <w:r>
              <w:rPr>
                <w:b/>
                <w:color w:val="FFFFFF"/>
                <w:sz w:val="18"/>
              </w:rPr>
              <w:t>Δ 2024/2023</w:t>
            </w:r>
          </w:p>
        </w:tc>
        <w:tc>
          <w:tcPr>
            <w:tcW w:type="dxa" w:w="1474"/>
            <w:shd w:val="clear" w:color="auto" w:fill="024C41"/>
          </w:tcPr>
          <w:p>
            <w:pPr>
              <w:jc w:val="center"/>
            </w:pPr>
            <w:r/>
            <w:r>
              <w:rPr>
                <w:b/>
                <w:color w:val="FFFFFF"/>
                <w:sz w:val="18"/>
              </w:rPr>
              <w:t>Δ 2025/2024</w:t>
            </w:r>
          </w:p>
        </w:tc>
        <w:tc>
          <w:tcPr>
            <w:tcW w:type="dxa" w:w="1814"/>
            <w:shd w:val="clear" w:color="auto" w:fill="024C41"/>
          </w:tcPr>
          <w:p>
            <w:pPr>
              <w:jc w:val="center"/>
            </w:pPr>
            <w:r/>
            <w:r>
              <w:rPr>
                <w:b/>
                <w:color w:val="FFFFFF"/>
                <w:sz w:val="18"/>
              </w:rPr>
              <w:t>TSI_rel 2025/2023</w:t>
            </w:r>
          </w:p>
        </w:tc>
      </w:tr>
      <w:tr>
        <w:tc>
          <w:tcPr>
            <w:tcW w:type="dxa" w:w="1247"/>
          </w:tcPr>
          <w:p>
            <w:pPr>
              <w:jc w:val="left"/>
            </w:pPr>
            <w:r/>
            <w:r>
              <w:rPr>
                <w:sz w:val="18"/>
              </w:rPr>
              <w:t>D020</w:t>
            </w:r>
          </w:p>
        </w:tc>
        <w:tc>
          <w:tcPr>
            <w:tcW w:type="dxa" w:w="1134"/>
          </w:tcPr>
          <w:p>
            <w:pPr>
              <w:jc w:val="center"/>
            </w:pPr>
            <w:r/>
            <w:r>
              <w:rPr>
                <w:sz w:val="18"/>
              </w:rPr>
              <w:t>0,0867</w:t>
            </w:r>
          </w:p>
        </w:tc>
        <w:tc>
          <w:tcPr>
            <w:tcW w:type="dxa" w:w="1134"/>
          </w:tcPr>
          <w:p>
            <w:pPr>
              <w:jc w:val="center"/>
            </w:pPr>
            <w:r/>
            <w:r>
              <w:rPr>
                <w:sz w:val="18"/>
              </w:rPr>
              <w:t>0,1020</w:t>
            </w:r>
          </w:p>
        </w:tc>
        <w:tc>
          <w:tcPr>
            <w:tcW w:type="dxa" w:w="1134"/>
          </w:tcPr>
          <w:p>
            <w:pPr>
              <w:jc w:val="center"/>
            </w:pPr>
            <w:r/>
            <w:r>
              <w:rPr>
                <w:sz w:val="18"/>
              </w:rPr>
              <w:t>0,1180</w:t>
            </w:r>
          </w:p>
        </w:tc>
        <w:tc>
          <w:tcPr>
            <w:tcW w:type="dxa" w:w="1474"/>
          </w:tcPr>
          <w:p>
            <w:pPr>
              <w:jc w:val="center"/>
            </w:pPr>
            <w:r/>
            <w:r>
              <w:rPr>
                <w:sz w:val="18"/>
              </w:rPr>
              <w:t>+17,6 %</w:t>
            </w:r>
          </w:p>
        </w:tc>
        <w:tc>
          <w:tcPr>
            <w:tcW w:type="dxa" w:w="1474"/>
          </w:tcPr>
          <w:p>
            <w:pPr>
              <w:jc w:val="center"/>
            </w:pPr>
            <w:r/>
            <w:r>
              <w:rPr>
                <w:sz w:val="18"/>
              </w:rPr>
              <w:t>+15,8 %</w:t>
            </w:r>
          </w:p>
        </w:tc>
        <w:tc>
          <w:tcPr>
            <w:tcW w:type="dxa" w:w="1814"/>
          </w:tcPr>
          <w:p>
            <w:pPr>
              <w:jc w:val="center"/>
            </w:pPr>
            <w:r/>
            <w:r>
              <w:rPr>
                <w:sz w:val="18"/>
              </w:rPr>
              <w:t>1,362</w:t>
            </w:r>
          </w:p>
        </w:tc>
      </w:tr>
      <w:tr>
        <w:tc>
          <w:tcPr>
            <w:tcW w:type="dxa" w:w="1247"/>
          </w:tcPr>
          <w:p>
            <w:pPr>
              <w:jc w:val="left"/>
            </w:pPr>
            <w:r/>
            <w:r>
              <w:rPr>
                <w:sz w:val="18"/>
              </w:rPr>
              <w:t>D060</w:t>
            </w:r>
          </w:p>
        </w:tc>
        <w:tc>
          <w:tcPr>
            <w:tcW w:type="dxa" w:w="1134"/>
          </w:tcPr>
          <w:p>
            <w:pPr>
              <w:jc w:val="center"/>
            </w:pPr>
            <w:r/>
            <w:r>
              <w:rPr>
                <w:sz w:val="18"/>
              </w:rPr>
              <w:t>0,0912</w:t>
            </w:r>
          </w:p>
        </w:tc>
        <w:tc>
          <w:tcPr>
            <w:tcW w:type="dxa" w:w="1134"/>
          </w:tcPr>
          <w:p>
            <w:pPr>
              <w:jc w:val="center"/>
            </w:pPr>
            <w:r/>
            <w:r>
              <w:rPr>
                <w:sz w:val="18"/>
              </w:rPr>
              <w:t>0,1065</w:t>
            </w:r>
          </w:p>
        </w:tc>
        <w:tc>
          <w:tcPr>
            <w:tcW w:type="dxa" w:w="1134"/>
          </w:tcPr>
          <w:p>
            <w:pPr>
              <w:jc w:val="center"/>
            </w:pPr>
            <w:r/>
            <w:r>
              <w:rPr>
                <w:sz w:val="18"/>
              </w:rPr>
              <w:t>0,1227</w:t>
            </w:r>
          </w:p>
        </w:tc>
        <w:tc>
          <w:tcPr>
            <w:tcW w:type="dxa" w:w="1474"/>
          </w:tcPr>
          <w:p>
            <w:pPr>
              <w:jc w:val="center"/>
            </w:pPr>
            <w:r/>
            <w:r>
              <w:rPr>
                <w:sz w:val="18"/>
              </w:rPr>
              <w:t>+16,8 %</w:t>
            </w:r>
          </w:p>
        </w:tc>
        <w:tc>
          <w:tcPr>
            <w:tcW w:type="dxa" w:w="1474"/>
          </w:tcPr>
          <w:p>
            <w:pPr>
              <w:jc w:val="center"/>
            </w:pPr>
            <w:r/>
            <w:r>
              <w:rPr>
                <w:sz w:val="18"/>
              </w:rPr>
              <w:t>+15,2 %</w:t>
            </w:r>
          </w:p>
        </w:tc>
        <w:tc>
          <w:tcPr>
            <w:tcW w:type="dxa" w:w="1814"/>
          </w:tcPr>
          <w:p>
            <w:pPr>
              <w:jc w:val="center"/>
            </w:pPr>
            <w:r/>
            <w:r>
              <w:rPr>
                <w:sz w:val="18"/>
              </w:rPr>
              <w:t>1,345</w:t>
            </w:r>
          </w:p>
        </w:tc>
      </w:tr>
      <w:tr>
        <w:tc>
          <w:tcPr>
            <w:tcW w:type="dxa" w:w="1247"/>
          </w:tcPr>
          <w:p>
            <w:pPr>
              <w:jc w:val="left"/>
            </w:pPr>
            <w:r/>
            <w:r>
              <w:rPr>
                <w:sz w:val="18"/>
              </w:rPr>
              <w:t>D240</w:t>
            </w:r>
          </w:p>
        </w:tc>
        <w:tc>
          <w:tcPr>
            <w:tcW w:type="dxa" w:w="1134"/>
          </w:tcPr>
          <w:p>
            <w:pPr>
              <w:jc w:val="center"/>
            </w:pPr>
            <w:r/>
            <w:r>
              <w:rPr>
                <w:sz w:val="18"/>
              </w:rPr>
              <w:t>0,0937</w:t>
            </w:r>
          </w:p>
        </w:tc>
        <w:tc>
          <w:tcPr>
            <w:tcW w:type="dxa" w:w="1134"/>
          </w:tcPr>
          <w:p>
            <w:pPr>
              <w:jc w:val="center"/>
            </w:pPr>
            <w:r/>
            <w:r>
              <w:rPr>
                <w:sz w:val="18"/>
              </w:rPr>
              <w:t>0,1085</w:t>
            </w:r>
          </w:p>
        </w:tc>
        <w:tc>
          <w:tcPr>
            <w:tcW w:type="dxa" w:w="1134"/>
          </w:tcPr>
          <w:p>
            <w:pPr>
              <w:jc w:val="center"/>
            </w:pPr>
            <w:r/>
            <w:r>
              <w:rPr>
                <w:sz w:val="18"/>
              </w:rPr>
              <w:t>0,1239</w:t>
            </w:r>
          </w:p>
        </w:tc>
        <w:tc>
          <w:tcPr>
            <w:tcW w:type="dxa" w:w="1474"/>
          </w:tcPr>
          <w:p>
            <w:pPr>
              <w:jc w:val="center"/>
            </w:pPr>
            <w:r/>
            <w:r>
              <w:rPr>
                <w:sz w:val="18"/>
              </w:rPr>
              <w:t>+15,8 %</w:t>
            </w:r>
          </w:p>
        </w:tc>
        <w:tc>
          <w:tcPr>
            <w:tcW w:type="dxa" w:w="1474"/>
          </w:tcPr>
          <w:p>
            <w:pPr>
              <w:jc w:val="center"/>
            </w:pPr>
            <w:r/>
            <w:r>
              <w:rPr>
                <w:sz w:val="18"/>
              </w:rPr>
              <w:t>+14,2 %</w:t>
            </w:r>
          </w:p>
        </w:tc>
        <w:tc>
          <w:tcPr>
            <w:tcW w:type="dxa" w:w="1814"/>
          </w:tcPr>
          <w:p>
            <w:pPr>
              <w:jc w:val="center"/>
            </w:pPr>
            <w:r/>
            <w:r>
              <w:rPr>
                <w:sz w:val="18"/>
              </w:rPr>
              <w:t>1,322</w:t>
            </w:r>
          </w:p>
        </w:tc>
      </w:tr>
      <w:tr>
        <w:tc>
          <w:tcPr>
            <w:tcW w:type="dxa" w:w="1247"/>
          </w:tcPr>
          <w:p>
            <w:pPr>
              <w:jc w:val="left"/>
            </w:pPr>
            <w:r/>
            <w:r>
              <w:rPr>
                <w:sz w:val="18"/>
              </w:rPr>
              <w:t>Gruppo</w:t>
            </w:r>
          </w:p>
        </w:tc>
        <w:tc>
          <w:tcPr>
            <w:tcW w:type="dxa" w:w="1134"/>
          </w:tcPr>
          <w:p>
            <w:pPr>
              <w:jc w:val="center"/>
            </w:pPr>
            <w:r/>
            <w:r>
              <w:rPr>
                <w:sz w:val="18"/>
              </w:rPr>
              <w:t>0,0909</w:t>
            </w:r>
          </w:p>
        </w:tc>
        <w:tc>
          <w:tcPr>
            <w:tcW w:type="dxa" w:w="1134"/>
          </w:tcPr>
          <w:p>
            <w:pPr>
              <w:jc w:val="center"/>
            </w:pPr>
            <w:r/>
            <w:r>
              <w:rPr>
                <w:sz w:val="18"/>
              </w:rPr>
              <w:t>0,1060</w:t>
            </w:r>
          </w:p>
        </w:tc>
        <w:tc>
          <w:tcPr>
            <w:tcW w:type="dxa" w:w="1134"/>
          </w:tcPr>
          <w:p>
            <w:pPr>
              <w:jc w:val="center"/>
            </w:pPr>
            <w:r/>
            <w:r>
              <w:rPr>
                <w:sz w:val="18"/>
              </w:rPr>
              <w:t>0,1219</w:t>
            </w:r>
          </w:p>
        </w:tc>
        <w:tc>
          <w:tcPr>
            <w:tcW w:type="dxa" w:w="1474"/>
          </w:tcPr>
          <w:p>
            <w:pPr>
              <w:jc w:val="center"/>
            </w:pPr>
            <w:r/>
            <w:r>
              <w:rPr>
                <w:sz w:val="18"/>
              </w:rPr>
              <w:t>+16,6 %</w:t>
            </w:r>
          </w:p>
        </w:tc>
        <w:tc>
          <w:tcPr>
            <w:tcW w:type="dxa" w:w="1474"/>
          </w:tcPr>
          <w:p>
            <w:pPr>
              <w:jc w:val="center"/>
            </w:pPr>
            <w:r/>
            <w:r>
              <w:rPr>
                <w:sz w:val="18"/>
              </w:rPr>
              <w:t>+15,0 %</w:t>
            </w:r>
          </w:p>
        </w:tc>
        <w:tc>
          <w:tcPr>
            <w:tcW w:type="dxa" w:w="1814"/>
          </w:tcPr>
          <w:p>
            <w:pPr>
              <w:jc w:val="center"/>
            </w:pPr>
            <w:r/>
            <w:r>
              <w:rPr>
                <w:sz w:val="18"/>
              </w:rPr>
              <w:t>1,341</w:t>
            </w:r>
          </w:p>
        </w:tc>
      </w:tr>
    </w:tbl>
    <w:p>
      <w:pPr>
        <w:spacing w:after="200"/>
        <w:jc w:val="center"/>
      </w:pPr>
      <w:r>
        <w:rPr>
          <w:i/>
          <w:sz w:val="18"/>
        </w:rPr>
        <w:t>Tabella 3. EEA+ Index (TSI_abs) per unità e anno, variazioni annuali e lettura relativa. Gruppo: media ponderata sulla produzione.</w:t>
      </w:r>
    </w:p>
    <w:p>
      <w:pPr>
        <w:jc w:val="center"/>
      </w:pPr>
      <w:r>
        <w:drawing>
          <wp:inline xmlns:a="http://schemas.openxmlformats.org/drawingml/2006/main" xmlns:pic="http://schemas.openxmlformats.org/drawingml/2006/picture">
            <wp:extent cx="5400000" cy="2700000"/>
            <wp:docPr id="1" name="Picture 1"/>
            <wp:cNvGraphicFramePr>
              <a:graphicFrameLocks noChangeAspect="1"/>
            </wp:cNvGraphicFramePr>
            <a:graphic>
              <a:graphicData uri="http://schemas.openxmlformats.org/drawingml/2006/picture">
                <pic:pic>
                  <pic:nvPicPr>
                    <pic:cNvPr id="0" name="fig1.png"/>
                    <pic:cNvPicPr/>
                  </pic:nvPicPr>
                  <pic:blipFill>
                    <a:blip r:embed="rId18"/>
                    <a:stretch>
                      <a:fillRect/>
                    </a:stretch>
                  </pic:blipFill>
                  <pic:spPr>
                    <a:xfrm>
                      <a:off x="0" y="0"/>
                      <a:ext cx="5400000" cy="2700000"/>
                    </a:xfrm>
                    <a:prstGeom prst="rect"/>
                  </pic:spPr>
                </pic:pic>
              </a:graphicData>
            </a:graphic>
          </wp:inline>
        </w:drawing>
      </w:r>
    </w:p>
    <w:p>
      <w:pPr>
        <w:spacing w:after="200"/>
        <w:jc w:val="center"/>
      </w:pPr>
      <w:r>
        <w:rPr>
          <w:i/>
          <w:sz w:val="18"/>
        </w:rPr>
        <w:t>Figura 1. Traiettoria dell’EEA+ Index per unità produttiva, 2023–2025.</w:t>
      </w:r>
    </w:p>
    <w:p>
      <w:pPr>
        <w:pStyle w:val="3RELTestoBase"/>
      </w:pPr>
      <w:r>
        <w:rPr>
          <w:i w:val="0"/>
        </w:rPr>
        <w:t>L’ordinamento fra le unità resta D240 &gt; D060 &gt; D020 in ciascun anno, lo stesso rilevato nell’OR 7.3 e, in modo indipendente, dalla footprint family dell’OR 6. La stabilità dell’ordinamento lungo tre osservazioni annuali è il primo elemento di collaudo dello strumento in esercizio: l’indice non solo si calcola, ma restituisce una gerarchia coerente nel tempo.</w:t>
      </w:r>
    </w:p>
    <w:p>
      <w:pPr>
        <w:pStyle w:val="2RELSottotit"/>
      </w:pPr>
      <w:r>
        <w:rPr>
          <w:i w:val="0"/>
        </w:rPr>
        <w:t>3.3 Componenti dell’indice</w:t>
      </w:r>
    </w:p>
    <w:p>
      <w:pPr>
        <w:pStyle w:val="3RELTestoBase"/>
      </w:pPr>
      <w:r>
        <w:rPr>
          <w:i w:val="0"/>
        </w:rPr>
        <w:t>La scomposizione di TSI_abs nelle sue due componenti mostra da dove proviene il miglioramento (Tabella 4). L’efficienza exergetica Ψ cresce in modo regolare, di circa un punto percentuale in due anni in ciascuna unità; l’exergia di riferimento complessiva del Gruppo scende del 5,8 per cento fra il 2023 e il 2025, da 751.550 a 708.200 GJ, a parità di produzione dichiarata. Lo score multidimensionale Φ cresce invece da 0,019 a circa 0,072 e spiega fra l’84 e l’87 per cento dell’incremento di TSI_abs nelle tre unità.</w:t>
      </w:r>
    </w:p>
    <w:tbl>
      <w:tblPr>
        <w:tblStyle w:val="Grigliatabella"/>
        <w:tblW w:type="auto" w:w="0"/>
        <w:jc w:val="center"/>
        <w:tblLook w:firstColumn="1" w:firstRow="1" w:lastColumn="0" w:lastRow="0" w:noHBand="0" w:noVBand="1" w:val="04A0"/>
      </w:tblPr>
      <w:tblGrid>
        <w:gridCol w:w="1539"/>
        <w:gridCol w:w="1539"/>
        <w:gridCol w:w="1539"/>
        <w:gridCol w:w="1539"/>
        <w:gridCol w:w="1539"/>
        <w:gridCol w:w="1539"/>
        <w:gridCol w:w="1539"/>
      </w:tblGrid>
      <w:tr>
        <w:tc>
          <w:tcPr>
            <w:tcW w:type="dxa" w:w="1134"/>
            <w:shd w:val="clear" w:color="auto" w:fill="024C41"/>
          </w:tcPr>
          <w:p>
            <w:pPr>
              <w:jc w:val="center"/>
            </w:pPr>
            <w:r/>
            <w:r>
              <w:rPr>
                <w:b/>
                <w:color w:val="FFFFFF"/>
                <w:sz w:val="18"/>
              </w:rPr>
              <w:t>Unità</w:t>
            </w:r>
          </w:p>
        </w:tc>
        <w:tc>
          <w:tcPr>
            <w:tcW w:type="dxa" w:w="1191"/>
            <w:shd w:val="clear" w:color="auto" w:fill="024C41"/>
          </w:tcPr>
          <w:p>
            <w:pPr>
              <w:jc w:val="center"/>
            </w:pPr>
            <w:r/>
            <w:r>
              <w:rPr>
                <w:b/>
                <w:color w:val="FFFFFF"/>
                <w:sz w:val="18"/>
              </w:rPr>
              <w:t>Φ 2023</w:t>
            </w:r>
          </w:p>
        </w:tc>
        <w:tc>
          <w:tcPr>
            <w:tcW w:type="dxa" w:w="1191"/>
            <w:shd w:val="clear" w:color="auto" w:fill="024C41"/>
          </w:tcPr>
          <w:p>
            <w:pPr>
              <w:jc w:val="center"/>
            </w:pPr>
            <w:r/>
            <w:r>
              <w:rPr>
                <w:b/>
                <w:color w:val="FFFFFF"/>
                <w:sz w:val="18"/>
              </w:rPr>
              <w:t>Φ 2025</w:t>
            </w:r>
          </w:p>
        </w:tc>
        <w:tc>
          <w:tcPr>
            <w:tcW w:type="dxa" w:w="1191"/>
            <w:shd w:val="clear" w:color="auto" w:fill="024C41"/>
          </w:tcPr>
          <w:p>
            <w:pPr>
              <w:jc w:val="center"/>
            </w:pPr>
            <w:r/>
            <w:r>
              <w:rPr>
                <w:b/>
                <w:color w:val="FFFFFF"/>
                <w:sz w:val="18"/>
              </w:rPr>
              <w:t>Ψ 2023</w:t>
            </w:r>
          </w:p>
        </w:tc>
        <w:tc>
          <w:tcPr>
            <w:tcW w:type="dxa" w:w="1191"/>
            <w:shd w:val="clear" w:color="auto" w:fill="024C41"/>
          </w:tcPr>
          <w:p>
            <w:pPr>
              <w:jc w:val="center"/>
            </w:pPr>
            <w:r/>
            <w:r>
              <w:rPr>
                <w:b/>
                <w:color w:val="FFFFFF"/>
                <w:sz w:val="18"/>
              </w:rPr>
              <w:t>Ψ 2025</w:t>
            </w:r>
          </w:p>
        </w:tc>
        <w:tc>
          <w:tcPr>
            <w:tcW w:type="dxa" w:w="1701"/>
            <w:shd w:val="clear" w:color="auto" w:fill="024C41"/>
          </w:tcPr>
          <w:p>
            <w:pPr>
              <w:jc w:val="center"/>
            </w:pPr>
            <w:r/>
            <w:r>
              <w:rPr>
                <w:b/>
                <w:color w:val="FFFFFF"/>
                <w:sz w:val="18"/>
              </w:rPr>
              <w:t>Ex_ref 2025/2023</w:t>
            </w:r>
          </w:p>
        </w:tc>
        <w:tc>
          <w:tcPr>
            <w:tcW w:type="dxa" w:w="1814"/>
            <w:shd w:val="clear" w:color="auto" w:fill="024C41"/>
          </w:tcPr>
          <w:p>
            <w:pPr>
              <w:jc w:val="center"/>
            </w:pPr>
            <w:r/>
            <w:r>
              <w:rPr>
                <w:b/>
                <w:color w:val="FFFFFF"/>
                <w:sz w:val="18"/>
              </w:rPr>
              <w:t>Quota di ΔTSI da Φ</w:t>
            </w:r>
          </w:p>
        </w:tc>
      </w:tr>
      <w:tr>
        <w:tc>
          <w:tcPr>
            <w:tcW w:type="dxa" w:w="1134"/>
          </w:tcPr>
          <w:p>
            <w:pPr>
              <w:jc w:val="left"/>
            </w:pPr>
            <w:r/>
            <w:r>
              <w:rPr>
                <w:sz w:val="18"/>
              </w:rPr>
              <w:t>D020</w:t>
            </w:r>
          </w:p>
        </w:tc>
        <w:tc>
          <w:tcPr>
            <w:tcW w:type="dxa" w:w="1191"/>
          </w:tcPr>
          <w:p>
            <w:pPr>
              <w:jc w:val="center"/>
            </w:pPr>
            <w:r/>
            <w:r>
              <w:rPr>
                <w:sz w:val="18"/>
              </w:rPr>
              <w:t>0,0194</w:t>
            </w:r>
          </w:p>
        </w:tc>
        <w:tc>
          <w:tcPr>
            <w:tcW w:type="dxa" w:w="1191"/>
          </w:tcPr>
          <w:p>
            <w:pPr>
              <w:jc w:val="center"/>
            </w:pPr>
            <w:r/>
            <w:r>
              <w:rPr>
                <w:sz w:val="18"/>
              </w:rPr>
              <w:t>0,0720</w:t>
            </w:r>
          </w:p>
        </w:tc>
        <w:tc>
          <w:tcPr>
            <w:tcW w:type="dxa" w:w="1191"/>
          </w:tcPr>
          <w:p>
            <w:pPr>
              <w:jc w:val="center"/>
            </w:pPr>
            <w:r/>
            <w:r>
              <w:rPr>
                <w:sz w:val="18"/>
              </w:rPr>
              <w:t>0,154</w:t>
            </w:r>
          </w:p>
        </w:tc>
        <w:tc>
          <w:tcPr>
            <w:tcW w:type="dxa" w:w="1191"/>
          </w:tcPr>
          <w:p>
            <w:pPr>
              <w:jc w:val="center"/>
            </w:pPr>
            <w:r/>
            <w:r>
              <w:rPr>
                <w:sz w:val="18"/>
              </w:rPr>
              <w:t>0,164</w:t>
            </w:r>
          </w:p>
        </w:tc>
        <w:tc>
          <w:tcPr>
            <w:tcW w:type="dxa" w:w="1701"/>
          </w:tcPr>
          <w:p>
            <w:pPr>
              <w:jc w:val="center"/>
            </w:pPr>
            <w:r/>
            <w:r>
              <w:rPr>
                <w:sz w:val="18"/>
              </w:rPr>
              <w:t>−5,8 %</w:t>
            </w:r>
          </w:p>
        </w:tc>
        <w:tc>
          <w:tcPr>
            <w:tcW w:type="dxa" w:w="1814"/>
          </w:tcPr>
          <w:p>
            <w:pPr>
              <w:jc w:val="center"/>
            </w:pPr>
            <w:r/>
            <w:r>
              <w:rPr>
                <w:sz w:val="18"/>
              </w:rPr>
              <w:t>84,0 %</w:t>
            </w:r>
          </w:p>
        </w:tc>
      </w:tr>
      <w:tr>
        <w:tc>
          <w:tcPr>
            <w:tcW w:type="dxa" w:w="1134"/>
          </w:tcPr>
          <w:p>
            <w:pPr>
              <w:jc w:val="left"/>
            </w:pPr>
            <w:r/>
            <w:r>
              <w:rPr>
                <w:sz w:val="18"/>
              </w:rPr>
              <w:t>D060</w:t>
            </w:r>
          </w:p>
        </w:tc>
        <w:tc>
          <w:tcPr>
            <w:tcW w:type="dxa" w:w="1191"/>
          </w:tcPr>
          <w:p>
            <w:pPr>
              <w:jc w:val="center"/>
            </w:pPr>
            <w:r/>
            <w:r>
              <w:rPr>
                <w:sz w:val="18"/>
              </w:rPr>
              <w:t>0,0194</w:t>
            </w:r>
          </w:p>
        </w:tc>
        <w:tc>
          <w:tcPr>
            <w:tcW w:type="dxa" w:w="1191"/>
          </w:tcPr>
          <w:p>
            <w:pPr>
              <w:jc w:val="center"/>
            </w:pPr>
            <w:r/>
            <w:r>
              <w:rPr>
                <w:sz w:val="18"/>
              </w:rPr>
              <w:t>0,0724</w:t>
            </w:r>
          </w:p>
        </w:tc>
        <w:tc>
          <w:tcPr>
            <w:tcW w:type="dxa" w:w="1191"/>
          </w:tcPr>
          <w:p>
            <w:pPr>
              <w:jc w:val="center"/>
            </w:pPr>
            <w:r/>
            <w:r>
              <w:rPr>
                <w:sz w:val="18"/>
              </w:rPr>
              <w:t>0,163</w:t>
            </w:r>
          </w:p>
        </w:tc>
        <w:tc>
          <w:tcPr>
            <w:tcW w:type="dxa" w:w="1191"/>
          </w:tcPr>
          <w:p>
            <w:pPr>
              <w:jc w:val="center"/>
            </w:pPr>
            <w:r/>
            <w:r>
              <w:rPr>
                <w:sz w:val="18"/>
              </w:rPr>
              <w:t>0,173</w:t>
            </w:r>
          </w:p>
        </w:tc>
        <w:tc>
          <w:tcPr>
            <w:tcW w:type="dxa" w:w="1701"/>
          </w:tcPr>
          <w:p>
            <w:pPr>
              <w:jc w:val="center"/>
            </w:pPr>
            <w:r/>
            <w:r>
              <w:rPr>
                <w:sz w:val="18"/>
              </w:rPr>
              <w:t>−6,1 %</w:t>
            </w:r>
          </w:p>
        </w:tc>
        <w:tc>
          <w:tcPr>
            <w:tcW w:type="dxa" w:w="1814"/>
          </w:tcPr>
          <w:p>
            <w:pPr>
              <w:jc w:val="center"/>
            </w:pPr>
            <w:r/>
            <w:r>
              <w:rPr>
                <w:sz w:val="18"/>
              </w:rPr>
              <w:t>84,1 %</w:t>
            </w:r>
          </w:p>
        </w:tc>
      </w:tr>
      <w:tr>
        <w:tc>
          <w:tcPr>
            <w:tcW w:type="dxa" w:w="1134"/>
          </w:tcPr>
          <w:p>
            <w:pPr>
              <w:jc w:val="left"/>
            </w:pPr>
            <w:r/>
            <w:r>
              <w:rPr>
                <w:sz w:val="18"/>
              </w:rPr>
              <w:t>D240</w:t>
            </w:r>
          </w:p>
        </w:tc>
        <w:tc>
          <w:tcPr>
            <w:tcW w:type="dxa" w:w="1191"/>
          </w:tcPr>
          <w:p>
            <w:pPr>
              <w:jc w:val="center"/>
            </w:pPr>
            <w:r/>
            <w:r>
              <w:rPr>
                <w:sz w:val="18"/>
              </w:rPr>
              <w:t>0,0194</w:t>
            </w:r>
          </w:p>
        </w:tc>
        <w:tc>
          <w:tcPr>
            <w:tcW w:type="dxa" w:w="1191"/>
          </w:tcPr>
          <w:p>
            <w:pPr>
              <w:jc w:val="center"/>
            </w:pPr>
            <w:r/>
            <w:r>
              <w:rPr>
                <w:sz w:val="18"/>
              </w:rPr>
              <w:t>0,0718</w:t>
            </w:r>
          </w:p>
        </w:tc>
        <w:tc>
          <w:tcPr>
            <w:tcW w:type="dxa" w:w="1191"/>
          </w:tcPr>
          <w:p>
            <w:pPr>
              <w:jc w:val="center"/>
            </w:pPr>
            <w:r/>
            <w:r>
              <w:rPr>
                <w:sz w:val="18"/>
              </w:rPr>
              <w:t>0,168</w:t>
            </w:r>
          </w:p>
        </w:tc>
        <w:tc>
          <w:tcPr>
            <w:tcW w:type="dxa" w:w="1191"/>
          </w:tcPr>
          <w:p>
            <w:pPr>
              <w:jc w:val="center"/>
            </w:pPr>
            <w:r/>
            <w:r>
              <w:rPr>
                <w:sz w:val="18"/>
              </w:rPr>
              <w:t>0,176</w:t>
            </w:r>
          </w:p>
        </w:tc>
        <w:tc>
          <w:tcPr>
            <w:tcW w:type="dxa" w:w="1701"/>
          </w:tcPr>
          <w:p>
            <w:pPr>
              <w:jc w:val="center"/>
            </w:pPr>
            <w:r/>
            <w:r>
              <w:rPr>
                <w:sz w:val="18"/>
              </w:rPr>
              <w:t>−5,3 %</w:t>
            </w:r>
          </w:p>
        </w:tc>
        <w:tc>
          <w:tcPr>
            <w:tcW w:type="dxa" w:w="1814"/>
          </w:tcPr>
          <w:p>
            <w:pPr>
              <w:jc w:val="center"/>
            </w:pPr>
            <w:r/>
            <w:r>
              <w:rPr>
                <w:sz w:val="18"/>
              </w:rPr>
              <w:t>86,8 %</w:t>
            </w:r>
          </w:p>
        </w:tc>
      </w:tr>
    </w:tbl>
    <w:p>
      <w:pPr>
        <w:spacing w:after="200"/>
        <w:jc w:val="center"/>
      </w:pPr>
      <w:r>
        <w:rPr>
          <w:i/>
          <w:sz w:val="18"/>
        </w:rPr>
        <w:t>Tabella 4. Componenti dell’EEA+ Index: score multidimensionale Φ, efficienza exergetica Ψ, variazione dell’exergia di riferimento e quota dell’incremento di TSI_abs attribuibile a Φ.</w:t>
      </w:r>
    </w:p>
    <w:p>
      <w:pPr>
        <w:pStyle w:val="3RELTestoBase"/>
      </w:pPr>
      <w:r>
        <w:rPr>
          <w:i w:val="0"/>
        </w:rPr>
        <w:t>Il dato va letto alla luce della costruzione dell’indice. I contributi dei moduli sono differenze rispetto al 2022, per cui Φ misura il beneficio multidimensionale accumulato dall’anno di riferimento e cresce per costruzione finché il miglioramento prosegue. Ψ misura invece lo stato dell’efficienza termodinamica nell’anno. La distinzione è rilevante per l’uso direzionale dell’indice: la crescita di TSI_abs segnala soprattutto il consolidarsi dei benefici ambientali, economici, sociali e tecnologici, mentre il miglioramento dell’efficienza exergetica di processo, pur costante, è di entità più contenuta.</w:t>
      </w:r>
    </w:p>
    <w:p>
      <w:pPr>
        <w:pStyle w:val="2RELSottotit"/>
      </w:pPr>
      <w:r>
        <w:rPr>
          <w:i w:val="0"/>
        </w:rPr>
        <w:t>3.4 Osservazione del P-TSI</w:t>
      </w:r>
    </w:p>
    <w:p>
      <w:pPr>
        <w:pStyle w:val="3RELTestoBase"/>
      </w:pPr>
      <w:r>
        <w:rPr>
          <w:i w:val="0"/>
        </w:rPr>
        <w:t>Il P-TSI è osservato su due periodi annuali consecutivi per le tre tipologie (Tabella 5). I valori del periodo corrente sono quelli dell’OR 7.4; i valori del periodo precedente sono ricostruiti dalla definizione del TII, P-TSI_t−1 = P-TSI_t / (1 + TII/100). Tutte le tipologie migliorano: T1 del 3,97 per cento, T2 del 3,19 per cento, T3 del 9,84 per cento.</w:t>
      </w:r>
    </w:p>
    <w:tbl>
      <w:tblPr>
        <w:tblStyle w:val="Grigliatabella"/>
        <w:tblW w:type="auto" w:w="0"/>
        <w:jc w:val="center"/>
        <w:tblLook w:firstColumn="1" w:firstRow="1" w:lastColumn="0" w:lastRow="0" w:noHBand="0" w:noVBand="1" w:val="04A0"/>
      </w:tblPr>
      <w:tblGrid>
        <w:gridCol w:w="1795"/>
        <w:gridCol w:w="1795"/>
        <w:gridCol w:w="1795"/>
        <w:gridCol w:w="1795"/>
        <w:gridCol w:w="1795"/>
        <w:gridCol w:w="1795"/>
      </w:tblGrid>
      <w:tr>
        <w:tc>
          <w:tcPr>
            <w:tcW w:type="dxa" w:w="2041"/>
            <w:shd w:val="clear" w:color="auto" w:fill="024C41"/>
          </w:tcPr>
          <w:p>
            <w:pPr>
              <w:jc w:val="center"/>
            </w:pPr>
            <w:r/>
            <w:r>
              <w:rPr>
                <w:b/>
                <w:color w:val="FFFFFF"/>
                <w:sz w:val="18"/>
              </w:rPr>
              <w:t>Tipologia</w:t>
            </w:r>
          </w:p>
        </w:tc>
        <w:tc>
          <w:tcPr>
            <w:tcW w:type="dxa" w:w="1474"/>
            <w:shd w:val="clear" w:color="auto" w:fill="024C41"/>
          </w:tcPr>
          <w:p>
            <w:pPr>
              <w:jc w:val="center"/>
            </w:pPr>
            <w:r/>
            <w:r>
              <w:rPr>
                <w:b/>
                <w:color w:val="FFFFFF"/>
                <w:sz w:val="18"/>
              </w:rPr>
              <w:t>P-TSI t−1 [1–5]</w:t>
            </w:r>
          </w:p>
        </w:tc>
        <w:tc>
          <w:tcPr>
            <w:tcW w:type="dxa" w:w="1361"/>
            <w:shd w:val="clear" w:color="auto" w:fill="024C41"/>
          </w:tcPr>
          <w:p>
            <w:pPr>
              <w:jc w:val="center"/>
            </w:pPr>
            <w:r/>
            <w:r>
              <w:rPr>
                <w:b/>
                <w:color w:val="FFFFFF"/>
                <w:sz w:val="18"/>
              </w:rPr>
              <w:t>P-TSI t [1–5]</w:t>
            </w:r>
          </w:p>
        </w:tc>
        <w:tc>
          <w:tcPr>
            <w:tcW w:type="dxa" w:w="1020"/>
            <w:shd w:val="clear" w:color="auto" w:fill="024C41"/>
          </w:tcPr>
          <w:p>
            <w:pPr>
              <w:jc w:val="center"/>
            </w:pPr>
            <w:r/>
            <w:r>
              <w:rPr>
                <w:b/>
                <w:color w:val="FFFFFF"/>
                <w:sz w:val="18"/>
              </w:rPr>
              <w:t>TII</w:t>
            </w:r>
          </w:p>
        </w:tc>
        <w:tc>
          <w:tcPr>
            <w:tcW w:type="dxa" w:w="1474"/>
            <w:shd w:val="clear" w:color="auto" w:fill="024C41"/>
          </w:tcPr>
          <w:p>
            <w:pPr>
              <w:jc w:val="center"/>
            </w:pPr>
            <w:r/>
            <w:r>
              <w:rPr>
                <w:b/>
                <w:color w:val="FFFFFF"/>
                <w:sz w:val="18"/>
              </w:rPr>
              <w:t>P-TSI t (z-score)</w:t>
            </w:r>
          </w:p>
        </w:tc>
        <w:tc>
          <w:tcPr>
            <w:tcW w:type="dxa" w:w="2154"/>
            <w:shd w:val="clear" w:color="auto" w:fill="024C41"/>
          </w:tcPr>
          <w:p>
            <w:pPr>
              <w:jc w:val="center"/>
            </w:pPr>
            <w:r/>
            <w:r>
              <w:rPr>
                <w:b/>
                <w:color w:val="FFFFFF"/>
                <w:sz w:val="18"/>
              </w:rPr>
              <w:t>Ordinamento</w:t>
            </w:r>
          </w:p>
        </w:tc>
      </w:tr>
      <w:tr>
        <w:tc>
          <w:tcPr>
            <w:tcW w:type="dxa" w:w="2041"/>
          </w:tcPr>
          <w:p>
            <w:pPr>
              <w:jc w:val="left"/>
            </w:pPr>
            <w:r/>
            <w:r>
              <w:rPr>
                <w:sz w:val="18"/>
              </w:rPr>
              <w:t>T1 · 7,4 mm (D060)</w:t>
            </w:r>
          </w:p>
        </w:tc>
        <w:tc>
          <w:tcPr>
            <w:tcW w:type="dxa" w:w="1474"/>
          </w:tcPr>
          <w:p>
            <w:pPr>
              <w:jc w:val="center"/>
            </w:pPr>
            <w:r/>
            <w:r>
              <w:rPr>
                <w:sz w:val="18"/>
              </w:rPr>
              <w:t>3,59</w:t>
            </w:r>
          </w:p>
        </w:tc>
        <w:tc>
          <w:tcPr>
            <w:tcW w:type="dxa" w:w="1361"/>
          </w:tcPr>
          <w:p>
            <w:pPr>
              <w:jc w:val="center"/>
            </w:pPr>
            <w:r/>
            <w:r>
              <w:rPr>
                <w:sz w:val="18"/>
              </w:rPr>
              <w:t>3,73</w:t>
            </w:r>
          </w:p>
        </w:tc>
        <w:tc>
          <w:tcPr>
            <w:tcW w:type="dxa" w:w="1020"/>
          </w:tcPr>
          <w:p>
            <w:pPr>
              <w:jc w:val="center"/>
            </w:pPr>
            <w:r/>
            <w:r>
              <w:rPr>
                <w:sz w:val="18"/>
              </w:rPr>
              <w:t>+3,97 %</w:t>
            </w:r>
          </w:p>
        </w:tc>
        <w:tc>
          <w:tcPr>
            <w:tcW w:type="dxa" w:w="1474"/>
          </w:tcPr>
          <w:p>
            <w:pPr>
              <w:jc w:val="center"/>
            </w:pPr>
            <w:r/>
            <w:r>
              <w:rPr>
                <w:sz w:val="18"/>
              </w:rPr>
              <w:t>−0,047</w:t>
            </w:r>
          </w:p>
        </w:tc>
        <w:tc>
          <w:tcPr>
            <w:tcW w:type="dxa" w:w="2154"/>
          </w:tcPr>
          <w:p>
            <w:pPr>
              <w:jc w:val="center"/>
            </w:pPr>
            <w:r/>
            <w:r>
              <w:rPr>
                <w:sz w:val="18"/>
              </w:rPr>
              <w:t>2° in t, 1° in t−1</w:t>
            </w:r>
          </w:p>
        </w:tc>
      </w:tr>
      <w:tr>
        <w:tc>
          <w:tcPr>
            <w:tcW w:type="dxa" w:w="2041"/>
          </w:tcPr>
          <w:p>
            <w:pPr>
              <w:jc w:val="left"/>
            </w:pPr>
            <w:r/>
            <w:r>
              <w:rPr>
                <w:sz w:val="18"/>
              </w:rPr>
              <w:t>T2 · 8,2 mm (D060)</w:t>
            </w:r>
          </w:p>
        </w:tc>
        <w:tc>
          <w:tcPr>
            <w:tcW w:type="dxa" w:w="1474"/>
          </w:tcPr>
          <w:p>
            <w:pPr>
              <w:jc w:val="center"/>
            </w:pPr>
            <w:r/>
            <w:r>
              <w:rPr>
                <w:sz w:val="18"/>
              </w:rPr>
              <w:t>3,35</w:t>
            </w:r>
          </w:p>
        </w:tc>
        <w:tc>
          <w:tcPr>
            <w:tcW w:type="dxa" w:w="1361"/>
          </w:tcPr>
          <w:p>
            <w:pPr>
              <w:jc w:val="center"/>
            </w:pPr>
            <w:r/>
            <w:r>
              <w:rPr>
                <w:sz w:val="18"/>
              </w:rPr>
              <w:t>3,46</w:t>
            </w:r>
          </w:p>
        </w:tc>
        <w:tc>
          <w:tcPr>
            <w:tcW w:type="dxa" w:w="1020"/>
          </w:tcPr>
          <w:p>
            <w:pPr>
              <w:jc w:val="center"/>
            </w:pPr>
            <w:r/>
            <w:r>
              <w:rPr>
                <w:sz w:val="18"/>
              </w:rPr>
              <w:t>+3,19 %</w:t>
            </w:r>
          </w:p>
        </w:tc>
        <w:tc>
          <w:tcPr>
            <w:tcW w:type="dxa" w:w="1474"/>
          </w:tcPr>
          <w:p>
            <w:pPr>
              <w:jc w:val="center"/>
            </w:pPr>
            <w:r/>
            <w:r>
              <w:rPr>
                <w:sz w:val="18"/>
              </w:rPr>
              <w:t>−0,115</w:t>
            </w:r>
          </w:p>
        </w:tc>
        <w:tc>
          <w:tcPr>
            <w:tcW w:type="dxa" w:w="2154"/>
          </w:tcPr>
          <w:p>
            <w:pPr>
              <w:jc w:val="center"/>
            </w:pPr>
            <w:r/>
            <w:r>
              <w:rPr>
                <w:sz w:val="18"/>
              </w:rPr>
              <w:t>3° in entrambi i periodi</w:t>
            </w:r>
          </w:p>
        </w:tc>
      </w:tr>
      <w:tr>
        <w:tc>
          <w:tcPr>
            <w:tcW w:type="dxa" w:w="2041"/>
          </w:tcPr>
          <w:p>
            <w:pPr>
              <w:jc w:val="left"/>
            </w:pPr>
            <w:r/>
            <w:r>
              <w:rPr>
                <w:sz w:val="18"/>
              </w:rPr>
              <w:t>T3 · 20 mm (D240)</w:t>
            </w:r>
          </w:p>
        </w:tc>
        <w:tc>
          <w:tcPr>
            <w:tcW w:type="dxa" w:w="1474"/>
          </w:tcPr>
          <w:p>
            <w:pPr>
              <w:jc w:val="center"/>
            </w:pPr>
            <w:r/>
            <w:r>
              <w:rPr>
                <w:sz w:val="18"/>
              </w:rPr>
              <w:t>3,47</w:t>
            </w:r>
          </w:p>
        </w:tc>
        <w:tc>
          <w:tcPr>
            <w:tcW w:type="dxa" w:w="1361"/>
          </w:tcPr>
          <w:p>
            <w:pPr>
              <w:jc w:val="center"/>
            </w:pPr>
            <w:r/>
            <w:r>
              <w:rPr>
                <w:sz w:val="18"/>
              </w:rPr>
              <w:t>3,81</w:t>
            </w:r>
          </w:p>
        </w:tc>
        <w:tc>
          <w:tcPr>
            <w:tcW w:type="dxa" w:w="1020"/>
          </w:tcPr>
          <w:p>
            <w:pPr>
              <w:jc w:val="center"/>
            </w:pPr>
            <w:r/>
            <w:r>
              <w:rPr>
                <w:sz w:val="18"/>
              </w:rPr>
              <w:t>+9,84 %</w:t>
            </w:r>
          </w:p>
        </w:tc>
        <w:tc>
          <w:tcPr>
            <w:tcW w:type="dxa" w:w="1474"/>
          </w:tcPr>
          <w:p>
            <w:pPr>
              <w:jc w:val="center"/>
            </w:pPr>
            <w:r/>
            <w:r>
              <w:rPr>
                <w:sz w:val="18"/>
              </w:rPr>
              <w:t>+0,162</w:t>
            </w:r>
          </w:p>
        </w:tc>
        <w:tc>
          <w:tcPr>
            <w:tcW w:type="dxa" w:w="2154"/>
          </w:tcPr>
          <w:p>
            <w:pPr>
              <w:jc w:val="center"/>
            </w:pPr>
            <w:r/>
            <w:r>
              <w:rPr>
                <w:sz w:val="18"/>
              </w:rPr>
              <w:t>1° in t, 2° in t−1</w:t>
            </w:r>
          </w:p>
        </w:tc>
      </w:tr>
    </w:tbl>
    <w:p>
      <w:pPr>
        <w:spacing w:after="200"/>
        <w:jc w:val="center"/>
      </w:pPr>
      <w:r>
        <w:rPr>
          <w:i/>
          <w:sz w:val="18"/>
        </w:rPr>
        <w:t>Tabella 5. P-TSI per tipologia su due periodi annuali, TII e lettura relativa z-score (OR 7.4). Valori t−1 ricostruiti dal TII.</w:t>
      </w:r>
    </w:p>
    <w:p>
      <w:pPr>
        <w:pStyle w:val="3RELTestoBase"/>
      </w:pPr>
      <w:r>
        <w:rPr>
          <w:i w:val="0"/>
        </w:rPr>
        <w:t>La lettura temporale aggiunge un’informazione che la misura puntuale dell’OR 7.4 non conteneva. Nel periodo precedente la tipologia più sostenibile sul piano tecnologico era T1; nel periodo corrente lo è T3, che recupera grazie al miglioramento più rapido. T2 resta ultima in entrambi i periodi, e la sua posizione in coda, già robusta in tutti gli scenari di sensibilità dell’OR 7.4, è ora confermata anche nel tempo. Il collaudo conferma quindi l’indicazione operativa dell’OR 7.4: T2 è la priorità di intervento del portafoglio analizzato.</w:t>
      </w:r>
    </w:p>
    <w:p>
      <w:pPr>
        <w:pStyle w:val="2RELSottotit"/>
      </w:pPr>
      <w:r>
        <w:rPr>
          <w:i w:val="0"/>
        </w:rPr>
        <w:t>3.5 Lettura integrata fra fabbrica e organizzazione</w:t>
      </w:r>
    </w:p>
    <w:p>
      <w:pPr>
        <w:pStyle w:val="3RELTestoBase"/>
      </w:pPr>
      <w:r>
        <w:rPr>
          <w:i w:val="0"/>
        </w:rPr>
        <w:t>La Intelligent Industry si distingue dalla Intelligent Factory perché la direzione legge sulla stessa base informativa ciò che la fabbrica produce, a quale costo termodinamico e con quale qualità. Il collaudo ha quindi affiancato l’EEA+I agli indicatori di qualità dell’OR 7.5 sulle stesse unità e sugli stessi anni (Tabella 6, Figura 2).</w:t>
      </w:r>
    </w:p>
    <w:tbl>
      <w:tblPr>
        <w:tblStyle w:val="Grigliatabella"/>
        <w:tblW w:type="auto" w:w="0"/>
        <w:jc w:val="center"/>
        <w:tblLook w:firstColumn="1" w:firstRow="1" w:lastColumn="0" w:lastRow="0" w:noHBand="0" w:noVBand="1" w:val="04A0"/>
      </w:tblPr>
      <w:tblGrid>
        <w:gridCol w:w="1795"/>
        <w:gridCol w:w="1795"/>
        <w:gridCol w:w="1795"/>
        <w:gridCol w:w="1795"/>
        <w:gridCol w:w="1795"/>
        <w:gridCol w:w="1795"/>
      </w:tblGrid>
      <w:tr>
        <w:tc>
          <w:tcPr>
            <w:tcW w:type="dxa" w:w="1020"/>
            <w:shd w:val="clear" w:color="auto" w:fill="024C41"/>
          </w:tcPr>
          <w:p>
            <w:pPr>
              <w:jc w:val="center"/>
            </w:pPr>
            <w:r/>
            <w:r>
              <w:rPr>
                <w:b/>
                <w:color w:val="FFFFFF"/>
                <w:sz w:val="18"/>
              </w:rPr>
              <w:t>Anno</w:t>
            </w:r>
          </w:p>
        </w:tc>
        <w:tc>
          <w:tcPr>
            <w:tcW w:type="dxa" w:w="1474"/>
            <w:shd w:val="clear" w:color="auto" w:fill="024C41"/>
          </w:tcPr>
          <w:p>
            <w:pPr>
              <w:jc w:val="center"/>
            </w:pPr>
            <w:r/>
            <w:r>
              <w:rPr>
                <w:b/>
                <w:color w:val="FFFFFF"/>
                <w:sz w:val="18"/>
              </w:rPr>
              <w:t>EEA+I Gruppo</w:t>
            </w:r>
          </w:p>
        </w:tc>
        <w:tc>
          <w:tcPr>
            <w:tcW w:type="dxa" w:w="1701"/>
            <w:shd w:val="clear" w:color="auto" w:fill="024C41"/>
          </w:tcPr>
          <w:p>
            <w:pPr>
              <w:jc w:val="center"/>
            </w:pPr>
            <w:r/>
            <w:r>
              <w:rPr>
                <w:b/>
                <w:color w:val="FFFFFF"/>
                <w:sz w:val="18"/>
              </w:rPr>
              <w:t>Right First Time (%)</w:t>
            </w:r>
          </w:p>
        </w:tc>
        <w:tc>
          <w:tcPr>
            <w:tcW w:type="dxa" w:w="1814"/>
            <w:shd w:val="clear" w:color="auto" w:fill="024C41"/>
          </w:tcPr>
          <w:p>
            <w:pPr>
              <w:jc w:val="center"/>
            </w:pPr>
            <w:r/>
            <w:r>
              <w:rPr>
                <w:b/>
                <w:color w:val="FFFFFF"/>
                <w:sz w:val="18"/>
              </w:rPr>
              <w:t>Inspection Pass Rate (%)</w:t>
            </w:r>
          </w:p>
        </w:tc>
        <w:tc>
          <w:tcPr>
            <w:tcW w:type="dxa" w:w="1701"/>
            <w:shd w:val="clear" w:color="auto" w:fill="024C41"/>
          </w:tcPr>
          <w:p>
            <w:pPr>
              <w:jc w:val="center"/>
            </w:pPr>
            <w:r/>
            <w:r>
              <w:rPr>
                <w:b/>
                <w:color w:val="FFFFFF"/>
                <w:sz w:val="18"/>
              </w:rPr>
              <w:t>Defect Rate 1 % (%)</w:t>
            </w:r>
          </w:p>
        </w:tc>
        <w:tc>
          <w:tcPr>
            <w:tcW w:type="dxa" w:w="1701"/>
            <w:shd w:val="clear" w:color="auto" w:fill="024C41"/>
          </w:tcPr>
          <w:p>
            <w:pPr>
              <w:jc w:val="center"/>
            </w:pPr>
            <w:r/>
            <w:r>
              <w:rPr>
                <w:b/>
                <w:color w:val="FFFFFF"/>
                <w:sz w:val="18"/>
              </w:rPr>
              <w:t>Defect Rate 5 % (%)</w:t>
            </w:r>
          </w:p>
        </w:tc>
      </w:tr>
      <w:tr>
        <w:tc>
          <w:tcPr>
            <w:tcW w:type="dxa" w:w="1020"/>
          </w:tcPr>
          <w:p>
            <w:pPr>
              <w:jc w:val="left"/>
            </w:pPr>
            <w:r/>
            <w:r>
              <w:rPr>
                <w:sz w:val="18"/>
              </w:rPr>
              <w:t>2023</w:t>
            </w:r>
          </w:p>
        </w:tc>
        <w:tc>
          <w:tcPr>
            <w:tcW w:type="dxa" w:w="1474"/>
          </w:tcPr>
          <w:p>
            <w:pPr>
              <w:jc w:val="center"/>
            </w:pPr>
            <w:r/>
            <w:r>
              <w:rPr>
                <w:sz w:val="18"/>
              </w:rPr>
              <w:t>0,0909</w:t>
            </w:r>
          </w:p>
        </w:tc>
        <w:tc>
          <w:tcPr>
            <w:tcW w:type="dxa" w:w="1701"/>
          </w:tcPr>
          <w:p>
            <w:pPr>
              <w:jc w:val="center"/>
            </w:pPr>
            <w:r/>
            <w:r>
              <w:rPr>
                <w:sz w:val="18"/>
              </w:rPr>
              <w:t>98,62</w:t>
            </w:r>
          </w:p>
        </w:tc>
        <w:tc>
          <w:tcPr>
            <w:tcW w:type="dxa" w:w="1814"/>
          </w:tcPr>
          <w:p>
            <w:pPr>
              <w:jc w:val="center"/>
            </w:pPr>
            <w:r/>
            <w:r>
              <w:rPr>
                <w:sz w:val="18"/>
              </w:rPr>
              <w:t>98,56</w:t>
            </w:r>
          </w:p>
        </w:tc>
        <w:tc>
          <w:tcPr>
            <w:tcW w:type="dxa" w:w="1701"/>
          </w:tcPr>
          <w:p>
            <w:pPr>
              <w:jc w:val="center"/>
            </w:pPr>
            <w:r/>
            <w:r>
              <w:rPr>
                <w:sz w:val="18"/>
              </w:rPr>
              <w:t>41,48</w:t>
            </w:r>
          </w:p>
        </w:tc>
        <w:tc>
          <w:tcPr>
            <w:tcW w:type="dxa" w:w="1701"/>
          </w:tcPr>
          <w:p>
            <w:pPr>
              <w:jc w:val="center"/>
            </w:pPr>
            <w:r/>
            <w:r>
              <w:rPr>
                <w:sz w:val="18"/>
              </w:rPr>
              <w:t>16,76</w:t>
            </w:r>
          </w:p>
        </w:tc>
      </w:tr>
      <w:tr>
        <w:tc>
          <w:tcPr>
            <w:tcW w:type="dxa" w:w="1020"/>
          </w:tcPr>
          <w:p>
            <w:pPr>
              <w:jc w:val="left"/>
            </w:pPr>
            <w:r/>
            <w:r>
              <w:rPr>
                <w:sz w:val="18"/>
              </w:rPr>
              <w:t>2024</w:t>
            </w:r>
          </w:p>
        </w:tc>
        <w:tc>
          <w:tcPr>
            <w:tcW w:type="dxa" w:w="1474"/>
          </w:tcPr>
          <w:p>
            <w:pPr>
              <w:jc w:val="center"/>
            </w:pPr>
            <w:r/>
            <w:r>
              <w:rPr>
                <w:sz w:val="18"/>
              </w:rPr>
              <w:t>0,1060</w:t>
            </w:r>
          </w:p>
        </w:tc>
        <w:tc>
          <w:tcPr>
            <w:tcW w:type="dxa" w:w="1701"/>
          </w:tcPr>
          <w:p>
            <w:pPr>
              <w:jc w:val="center"/>
            </w:pPr>
            <w:r/>
            <w:r>
              <w:rPr>
                <w:sz w:val="18"/>
              </w:rPr>
              <w:t>98,49</w:t>
            </w:r>
          </w:p>
        </w:tc>
        <w:tc>
          <w:tcPr>
            <w:tcW w:type="dxa" w:w="1814"/>
          </w:tcPr>
          <w:p>
            <w:pPr>
              <w:jc w:val="center"/>
            </w:pPr>
            <w:r/>
            <w:r>
              <w:rPr>
                <w:sz w:val="18"/>
              </w:rPr>
              <w:t>98,28</w:t>
            </w:r>
          </w:p>
        </w:tc>
        <w:tc>
          <w:tcPr>
            <w:tcW w:type="dxa" w:w="1701"/>
          </w:tcPr>
          <w:p>
            <w:pPr>
              <w:jc w:val="center"/>
            </w:pPr>
            <w:r/>
            <w:r>
              <w:rPr>
                <w:sz w:val="18"/>
              </w:rPr>
              <w:t>43,60</w:t>
            </w:r>
          </w:p>
        </w:tc>
        <w:tc>
          <w:tcPr>
            <w:tcW w:type="dxa" w:w="1701"/>
          </w:tcPr>
          <w:p>
            <w:pPr>
              <w:jc w:val="center"/>
            </w:pPr>
            <w:r/>
            <w:r>
              <w:rPr>
                <w:sz w:val="18"/>
              </w:rPr>
              <w:t>18,33</w:t>
            </w:r>
          </w:p>
        </w:tc>
      </w:tr>
      <w:tr>
        <w:tc>
          <w:tcPr>
            <w:tcW w:type="dxa" w:w="1020"/>
          </w:tcPr>
          <w:p>
            <w:pPr>
              <w:jc w:val="left"/>
            </w:pPr>
            <w:r/>
            <w:r>
              <w:rPr>
                <w:sz w:val="18"/>
              </w:rPr>
              <w:t>2025</w:t>
            </w:r>
          </w:p>
        </w:tc>
        <w:tc>
          <w:tcPr>
            <w:tcW w:type="dxa" w:w="1474"/>
          </w:tcPr>
          <w:p>
            <w:pPr>
              <w:jc w:val="center"/>
            </w:pPr>
            <w:r/>
            <w:r>
              <w:rPr>
                <w:sz w:val="18"/>
              </w:rPr>
              <w:t>0,1219</w:t>
            </w:r>
          </w:p>
        </w:tc>
        <w:tc>
          <w:tcPr>
            <w:tcW w:type="dxa" w:w="1701"/>
          </w:tcPr>
          <w:p>
            <w:pPr>
              <w:jc w:val="center"/>
            </w:pPr>
            <w:r/>
            <w:r>
              <w:rPr>
                <w:sz w:val="18"/>
              </w:rPr>
              <w:t>97,92</w:t>
            </w:r>
          </w:p>
        </w:tc>
        <w:tc>
          <w:tcPr>
            <w:tcW w:type="dxa" w:w="1814"/>
          </w:tcPr>
          <w:p>
            <w:pPr>
              <w:jc w:val="center"/>
            </w:pPr>
            <w:r/>
            <w:r>
              <w:rPr>
                <w:sz w:val="18"/>
              </w:rPr>
              <w:t>98,12</w:t>
            </w:r>
          </w:p>
        </w:tc>
        <w:tc>
          <w:tcPr>
            <w:tcW w:type="dxa" w:w="1701"/>
          </w:tcPr>
          <w:p>
            <w:pPr>
              <w:jc w:val="center"/>
            </w:pPr>
            <w:r/>
            <w:r>
              <w:rPr>
                <w:sz w:val="18"/>
              </w:rPr>
              <w:t>50,29</w:t>
            </w:r>
          </w:p>
        </w:tc>
        <w:tc>
          <w:tcPr>
            <w:tcW w:type="dxa" w:w="1701"/>
          </w:tcPr>
          <w:p>
            <w:pPr>
              <w:jc w:val="center"/>
            </w:pPr>
            <w:r/>
            <w:r>
              <w:rPr>
                <w:sz w:val="18"/>
              </w:rPr>
              <w:t>18,26</w:t>
            </w:r>
          </w:p>
        </w:tc>
      </w:tr>
    </w:tbl>
    <w:p>
      <w:pPr>
        <w:spacing w:after="200"/>
        <w:jc w:val="center"/>
      </w:pPr>
      <w:r>
        <w:rPr>
          <w:i/>
          <w:sz w:val="18"/>
        </w:rPr>
        <w:t>Tabella 6. EEA+ Index e indicatori di qualità di prodotto a livello di Gruppo, 2023–2025 (indicatori di qualità: OR 7.5).</w:t>
      </w:r>
    </w:p>
    <w:p>
      <w:pPr>
        <w:jc w:val="center"/>
      </w:pPr>
      <w:r>
        <w:drawing>
          <wp:inline xmlns:a="http://schemas.openxmlformats.org/drawingml/2006/main" xmlns:pic="http://schemas.openxmlformats.org/drawingml/2006/picture">
            <wp:extent cx="5940000" cy="2145000"/>
            <wp:docPr id="2" name="Picture 2"/>
            <wp:cNvGraphicFramePr>
              <a:graphicFrameLocks noChangeAspect="1"/>
            </wp:cNvGraphicFramePr>
            <a:graphic>
              <a:graphicData uri="http://schemas.openxmlformats.org/drawingml/2006/picture">
                <pic:pic>
                  <pic:nvPicPr>
                    <pic:cNvPr id="0" name="fig2.png"/>
                    <pic:cNvPicPr/>
                  </pic:nvPicPr>
                  <pic:blipFill>
                    <a:blip r:embed="rId19"/>
                    <a:stretch>
                      <a:fillRect/>
                    </a:stretch>
                  </pic:blipFill>
                  <pic:spPr>
                    <a:xfrm>
                      <a:off x="0" y="0"/>
                      <a:ext cx="5940000" cy="2145000"/>
                    </a:xfrm>
                    <a:prstGeom prst="rect"/>
                  </pic:spPr>
                </pic:pic>
              </a:graphicData>
            </a:graphic>
          </wp:inline>
        </w:drawing>
      </w:r>
    </w:p>
    <w:p>
      <w:pPr>
        <w:spacing w:after="200"/>
        <w:jc w:val="center"/>
      </w:pPr>
      <w:r>
        <w:rPr>
          <w:i/>
          <w:sz w:val="18"/>
        </w:rPr>
        <w:t>Figura 2. Andamento a livello di Gruppo dell’EEA+ Index e degli indicatori di qualità, 2023–2025. Scale indipendenti per ciascun pannello.</w:t>
      </w:r>
    </w:p>
    <w:p>
      <w:pPr>
        <w:pStyle w:val="3RELTestoBase"/>
      </w:pPr>
      <w:r>
        <w:rPr>
          <w:i w:val="0"/>
        </w:rPr>
        <w:t>Il quadro è meno lineare di quello che i soli indici di sostenibilità restituirebbero. Mentre l’EEA+I cresce di un terzo, la conformità normativa e la resa di prima scelta restano su livelli elevati ma flettono di alcuni decimi di punto, e la diffusione del declassamento sugli eventi produttivi sale dal 41,5 al 50,3 per cento con soglia all’1 per cento. La quota di episodi di maggiore intensità, letta con soglia al 5 per cento, cresce invece in misura contenuta, dal 16,8 al 18,3 per cento: l’aumento riguarda soprattutto declassamenti diffusi e di entità limitata. Per unità, la flessione del Right First Time si concentra su D020 nel 2025 (95,41 per cento), l’anno della sua riconversione a polo logistico, e su D060 (98,05 per cento), mentre D240 migliora (98,63 per cento).</w:t>
      </w:r>
    </w:p>
    <w:p>
      <w:pPr>
        <w:pStyle w:val="3RELTestoBase"/>
      </w:pPr>
      <w:r>
        <w:rPr>
          <w:i w:val="0"/>
        </w:rPr>
        <w:t>Il risultato non contraddice il miglioramento della sostenibilità, ma ne precisa il perimetro: il beneficio termodinamico e multidimensionale misurato dall’EEA+ non si è tradotto, nello stesso periodo, in un miglioramento della qualità di prodotto. È esattamente il tipo di relazione che solo un sistema integrato rende visibile, e che il modello dell’OR 6.10 prevede di governare attraverso il termine di qualità della funzione di costo multi-obiettivo, accanto a quelli di produttività e di sostenibilità.</w:t>
      </w:r>
    </w:p>
    <w:p>
      <w:pPr>
        <w:pStyle w:val="2RELSottotit"/>
      </w:pPr>
      <w:r>
        <w:rPr>
          <w:i w:val="0"/>
        </w:rPr>
        <w:t>3.6 Esiti della compliance analysis</w:t>
      </w:r>
    </w:p>
    <w:tbl>
      <w:tblPr>
        <w:tblStyle w:val="Grigliatabella"/>
        <w:tblW w:type="auto" w:w="0"/>
        <w:jc w:val="center"/>
        <w:tblLook w:firstColumn="1" w:firstRow="1" w:lastColumn="0" w:lastRow="0" w:noHBand="0" w:noVBand="1" w:val="04A0"/>
      </w:tblPr>
      <w:tblGrid>
        <w:gridCol w:w="3591"/>
        <w:gridCol w:w="3591"/>
        <w:gridCol w:w="3591"/>
      </w:tblGrid>
      <w:tr>
        <w:tc>
          <w:tcPr>
            <w:tcW w:type="dxa" w:w="2494"/>
            <w:shd w:val="clear" w:color="auto" w:fill="024C41"/>
          </w:tcPr>
          <w:p>
            <w:pPr>
              <w:jc w:val="center"/>
            </w:pPr>
            <w:r/>
            <w:r>
              <w:rPr>
                <w:b/>
                <w:color w:val="FFFFFF"/>
                <w:sz w:val="18"/>
              </w:rPr>
              <w:t>Livello</w:t>
            </w:r>
          </w:p>
        </w:tc>
        <w:tc>
          <w:tcPr>
            <w:tcW w:type="dxa" w:w="4876"/>
            <w:shd w:val="clear" w:color="auto" w:fill="024C41"/>
          </w:tcPr>
          <w:p>
            <w:pPr>
              <w:jc w:val="center"/>
            </w:pPr>
            <w:r/>
            <w:r>
              <w:rPr>
                <w:b/>
                <w:color w:val="FFFFFF"/>
                <w:sz w:val="18"/>
              </w:rPr>
              <w:t>Evidenza</w:t>
            </w:r>
          </w:p>
        </w:tc>
        <w:tc>
          <w:tcPr>
            <w:tcW w:type="dxa" w:w="2041"/>
            <w:shd w:val="clear" w:color="auto" w:fill="024C41"/>
          </w:tcPr>
          <w:p>
            <w:pPr>
              <w:jc w:val="center"/>
            </w:pPr>
            <w:r/>
            <w:r>
              <w:rPr>
                <w:b/>
                <w:color w:val="FFFFFF"/>
                <w:sz w:val="18"/>
              </w:rPr>
              <w:t>Esito</w:t>
            </w:r>
          </w:p>
        </w:tc>
      </w:tr>
      <w:tr>
        <w:tc>
          <w:tcPr>
            <w:tcW w:type="dxa" w:w="2494"/>
          </w:tcPr>
          <w:p>
            <w:pPr>
              <w:jc w:val="left"/>
            </w:pPr>
            <w:r/>
            <w:r>
              <w:rPr>
                <w:sz w:val="18"/>
              </w:rPr>
              <w:t>C1 · Layer fisico-operativo</w:t>
            </w:r>
          </w:p>
        </w:tc>
        <w:tc>
          <w:tcPr>
            <w:tcW w:type="dxa" w:w="4876"/>
          </w:tcPr>
          <w:p>
            <w:pPr>
              <w:jc w:val="center"/>
            </w:pPr>
            <w:r/>
            <w:r>
              <w:rPr>
                <w:sz w:val="18"/>
              </w:rPr>
              <w:t>Tre unità produttive in esercizio; reparti ingegnerizzati (OR 7.6)</w:t>
            </w:r>
          </w:p>
        </w:tc>
        <w:tc>
          <w:tcPr>
            <w:tcW w:type="dxa" w:w="2041"/>
          </w:tcPr>
          <w:p>
            <w:pPr>
              <w:jc w:val="center"/>
            </w:pPr>
            <w:r/>
            <w:r>
              <w:rPr>
                <w:sz w:val="18"/>
              </w:rPr>
              <w:t>Conforme</w:t>
            </w:r>
          </w:p>
        </w:tc>
      </w:tr>
      <w:tr>
        <w:tc>
          <w:tcPr>
            <w:tcW w:type="dxa" w:w="2494"/>
          </w:tcPr>
          <w:p>
            <w:pPr>
              <w:jc w:val="left"/>
            </w:pPr>
            <w:r/>
            <w:r>
              <w:rPr>
                <w:sz w:val="18"/>
              </w:rPr>
              <w:t>C1 · Layer informativo</w:t>
            </w:r>
          </w:p>
        </w:tc>
        <w:tc>
          <w:tcPr>
            <w:tcW w:type="dxa" w:w="4876"/>
          </w:tcPr>
          <w:p>
            <w:pPr>
              <w:jc w:val="center"/>
            </w:pPr>
            <w:r/>
            <w:r>
              <w:rPr>
                <w:sz w:val="18"/>
              </w:rPr>
              <w:t>Piattaforma E2C collaudata (OR 7.1–7.2); dati ERP/MES ed E2C confluiti nella medesima struttura logica; contratti dati e convenzione di unità verificati</w:t>
            </w:r>
          </w:p>
        </w:tc>
        <w:tc>
          <w:tcPr>
            <w:tcW w:type="dxa" w:w="2041"/>
          </w:tcPr>
          <w:p>
            <w:pPr>
              <w:jc w:val="center"/>
            </w:pPr>
            <w:r/>
            <w:r>
              <w:rPr>
                <w:sz w:val="18"/>
              </w:rPr>
              <w:t>Conforme</w:t>
            </w:r>
          </w:p>
        </w:tc>
      </w:tr>
      <w:tr>
        <w:tc>
          <w:tcPr>
            <w:tcW w:type="dxa" w:w="2494"/>
          </w:tcPr>
          <w:p>
            <w:pPr>
              <w:jc w:val="left"/>
            </w:pPr>
            <w:r/>
            <w:r>
              <w:rPr>
                <w:sz w:val="18"/>
              </w:rPr>
              <w:t>C1 · Layer cognitivo</w:t>
            </w:r>
          </w:p>
        </w:tc>
        <w:tc>
          <w:tcPr>
            <w:tcW w:type="dxa" w:w="4876"/>
          </w:tcPr>
          <w:p>
            <w:pPr>
              <w:jc w:val="center"/>
            </w:pPr>
            <w:r/>
            <w:r>
              <w:rPr>
                <w:sz w:val="18"/>
              </w:rPr>
              <w:t>Simulazione RT-PSE (OR 6.10); sperimentazione predittiva con validazione temporale (OR 7.5); supporto alla decisione senza attuazione automatica</w:t>
            </w:r>
          </w:p>
        </w:tc>
        <w:tc>
          <w:tcPr>
            <w:tcW w:type="dxa" w:w="2041"/>
          </w:tcPr>
          <w:p>
            <w:pPr>
              <w:jc w:val="center"/>
            </w:pPr>
            <w:r/>
            <w:r>
              <w:rPr>
                <w:sz w:val="18"/>
              </w:rPr>
              <w:t>Conforme, con ottimizzazione in modalità di raccomandazione</w:t>
            </w:r>
          </w:p>
        </w:tc>
      </w:tr>
      <w:tr>
        <w:tc>
          <w:tcPr>
            <w:tcW w:type="dxa" w:w="2494"/>
          </w:tcPr>
          <w:p>
            <w:pPr>
              <w:jc w:val="left"/>
            </w:pPr>
            <w:r/>
            <w:r>
              <w:rPr>
                <w:sz w:val="18"/>
              </w:rPr>
              <w:t>C1 · Layer di sostenibilità</w:t>
            </w:r>
          </w:p>
        </w:tc>
        <w:tc>
          <w:tcPr>
            <w:tcW w:type="dxa" w:w="4876"/>
          </w:tcPr>
          <w:p>
            <w:pPr>
              <w:jc w:val="center"/>
            </w:pPr>
            <w:r/>
            <w:r>
              <w:rPr>
                <w:sz w:val="18"/>
              </w:rPr>
              <w:t>EEA+I su 3 unità × 3 anni; P-TSI su 3 tipologie × 2 periodi</w:t>
            </w:r>
          </w:p>
        </w:tc>
        <w:tc>
          <w:tcPr>
            <w:tcW w:type="dxa" w:w="2041"/>
          </w:tcPr>
          <w:p>
            <w:pPr>
              <w:jc w:val="center"/>
            </w:pPr>
            <w:r/>
            <w:r>
              <w:rPr>
                <w:sz w:val="18"/>
              </w:rPr>
              <w:t>Conforme</w:t>
            </w:r>
          </w:p>
        </w:tc>
      </w:tr>
      <w:tr>
        <w:tc>
          <w:tcPr>
            <w:tcW w:type="dxa" w:w="2494"/>
          </w:tcPr>
          <w:p>
            <w:pPr>
              <w:jc w:val="left"/>
            </w:pPr>
            <w:r/>
            <w:r>
              <w:rPr>
                <w:sz w:val="18"/>
              </w:rPr>
              <w:t>C1 · Interfaccia fabbrica–organizzazione</w:t>
            </w:r>
          </w:p>
        </w:tc>
        <w:tc>
          <w:tcPr>
            <w:tcW w:type="dxa" w:w="4876"/>
          </w:tcPr>
          <w:p>
            <w:pPr>
              <w:jc w:val="center"/>
            </w:pPr>
            <w:r/>
            <w:r>
              <w:rPr>
                <w:sz w:val="18"/>
              </w:rPr>
              <w:t>Vista integrata IIDS e interfacce in sola lettura per fabbrica, prodotto, lotto e Gruppo; lettura congiunta sostenibilità–qualità (§ 3.5)</w:t>
            </w:r>
          </w:p>
        </w:tc>
        <w:tc>
          <w:tcPr>
            <w:tcW w:type="dxa" w:w="2041"/>
          </w:tcPr>
          <w:p>
            <w:pPr>
              <w:jc w:val="center"/>
            </w:pPr>
            <w:r/>
            <w:r>
              <w:rPr>
                <w:sz w:val="18"/>
              </w:rPr>
              <w:t>Conforme</w:t>
            </w:r>
          </w:p>
        </w:tc>
      </w:tr>
      <w:tr>
        <w:tc>
          <w:tcPr>
            <w:tcW w:type="dxa" w:w="2494"/>
          </w:tcPr>
          <w:p>
            <w:pPr>
              <w:jc w:val="left"/>
            </w:pPr>
            <w:r/>
            <w:r>
              <w:rPr>
                <w:sz w:val="18"/>
              </w:rPr>
              <w:t>C2 · Conformità di prodotto</w:t>
            </w:r>
          </w:p>
        </w:tc>
        <w:tc>
          <w:tcPr>
            <w:tcW w:type="dxa" w:w="4876"/>
          </w:tcPr>
          <w:p>
            <w:pPr>
              <w:jc w:val="center"/>
            </w:pPr>
            <w:r/>
            <w:r>
              <w:rPr>
                <w:sz w:val="18"/>
              </w:rPr>
              <w:t>OCR ≥ 1 per tutti i parametri e tutte le tipologie (minimo 1,015, qualità superficiale T3); Right First Time di Gruppo fra 97,92 e 98,62 % nel triennio</w:t>
            </w:r>
          </w:p>
        </w:tc>
        <w:tc>
          <w:tcPr>
            <w:tcW w:type="dxa" w:w="2041"/>
          </w:tcPr>
          <w:p>
            <w:pPr>
              <w:jc w:val="center"/>
            </w:pPr>
            <w:r/>
            <w:r>
              <w:rPr>
                <w:sz w:val="18"/>
              </w:rPr>
              <w:t>Conforme</w:t>
            </w:r>
          </w:p>
        </w:tc>
      </w:tr>
      <w:tr>
        <w:tc>
          <w:tcPr>
            <w:tcW w:type="dxa" w:w="2494"/>
          </w:tcPr>
          <w:p>
            <w:pPr>
              <w:jc w:val="left"/>
            </w:pPr>
            <w:r/>
            <w:r>
              <w:rPr>
                <w:sz w:val="18"/>
              </w:rPr>
              <w:t>C3 · Riproducibilità</w:t>
            </w:r>
          </w:p>
        </w:tc>
        <w:tc>
          <w:tcPr>
            <w:tcW w:type="dxa" w:w="4876"/>
          </w:tcPr>
          <w:p>
            <w:pPr>
              <w:jc w:val="center"/>
            </w:pPr>
            <w:r/>
            <w:r>
              <w:rPr>
                <w:sz w:val="18"/>
              </w:rPr>
              <w:t>93 valori su 93 riprodotti; 181 test superati</w:t>
            </w:r>
          </w:p>
        </w:tc>
        <w:tc>
          <w:tcPr>
            <w:tcW w:type="dxa" w:w="2041"/>
          </w:tcPr>
          <w:p>
            <w:pPr>
              <w:jc w:val="center"/>
            </w:pPr>
            <w:r/>
            <w:r>
              <w:rPr>
                <w:sz w:val="18"/>
              </w:rPr>
              <w:t>Conforme</w:t>
            </w:r>
          </w:p>
        </w:tc>
      </w:tr>
      <w:tr>
        <w:tc>
          <w:tcPr>
            <w:tcW w:type="dxa" w:w="2494"/>
          </w:tcPr>
          <w:p>
            <w:pPr>
              <w:jc w:val="left"/>
            </w:pPr>
            <w:r/>
            <w:r>
              <w:rPr>
                <w:sz w:val="18"/>
              </w:rPr>
              <w:t>C3 · Governo dei parametri</w:t>
            </w:r>
          </w:p>
        </w:tc>
        <w:tc>
          <w:tcPr>
            <w:tcW w:type="dxa" w:w="4876"/>
          </w:tcPr>
          <w:p>
            <w:pPr>
              <w:jc w:val="center"/>
            </w:pPr>
            <w:r/>
            <w:r>
              <w:rPr>
                <w:sz w:val="18"/>
              </w:rPr>
              <w:t>Set di coefficienti e pesi approvati e versionati; CR = 0,0169 (EEA+) e 0,0079 (P-TSA)</w:t>
            </w:r>
          </w:p>
        </w:tc>
        <w:tc>
          <w:tcPr>
            <w:tcW w:type="dxa" w:w="2041"/>
          </w:tcPr>
          <w:p>
            <w:pPr>
              <w:jc w:val="center"/>
            </w:pPr>
            <w:r/>
            <w:r>
              <w:rPr>
                <w:sz w:val="18"/>
              </w:rPr>
              <w:t>Conforme</w:t>
            </w:r>
          </w:p>
        </w:tc>
      </w:tr>
      <w:tr>
        <w:tc>
          <w:tcPr>
            <w:tcW w:type="dxa" w:w="2494"/>
          </w:tcPr>
          <w:p>
            <w:pPr>
              <w:jc w:val="left"/>
            </w:pPr>
            <w:r/>
            <w:r>
              <w:rPr>
                <w:sz w:val="18"/>
              </w:rPr>
              <w:t>C3 · Assenza di attuazione</w:t>
            </w:r>
          </w:p>
        </w:tc>
        <w:tc>
          <w:tcPr>
            <w:tcW w:type="dxa" w:w="4876"/>
          </w:tcPr>
          <w:p>
            <w:pPr>
              <w:jc w:val="center"/>
            </w:pPr>
            <w:r/>
            <w:r>
              <w:rPr>
                <w:sz w:val="18"/>
              </w:rPr>
              <w:t>Nessuna interfaccia di scrittura verso il sistema fisico, verificato a ogni modifica</w:t>
            </w:r>
          </w:p>
        </w:tc>
        <w:tc>
          <w:tcPr>
            <w:tcW w:type="dxa" w:w="2041"/>
          </w:tcPr>
          <w:p>
            <w:pPr>
              <w:jc w:val="center"/>
            </w:pPr>
            <w:r/>
            <w:r>
              <w:rPr>
                <w:sz w:val="18"/>
              </w:rPr>
              <w:t>Conforme</w:t>
            </w:r>
          </w:p>
        </w:tc>
      </w:tr>
    </w:tbl>
    <w:p>
      <w:pPr>
        <w:spacing w:after="200"/>
        <w:jc w:val="center"/>
      </w:pPr>
      <w:r>
        <w:rPr>
          <w:i/>
          <w:sz w:val="18"/>
        </w:rPr>
        <w:t>Tabella 7. Esiti della compliance analysis.</w:t>
      </w:r>
    </w:p>
    <w:p>
      <w:pPr>
        <w:pStyle w:val="3RELTestoBase"/>
      </w:pPr>
      <w:r>
        <w:rPr>
          <w:i w:val="0"/>
        </w:rPr>
        <w:t>Tutti i criteri risultano soddisfatti. L’unico esito qualificato riguarda il layer cognitivo: la funzione di ottimizzazione dell’OR 6.10 opera in modalità di raccomandazione, perché la chiusura automatica dell’anello verso il processo è esclusa per scelta progettuale. È la condizione prevista dallo stesso OR 6.10, non uno scostamento dalla specifica.</w:t>
      </w:r>
    </w:p>
    <w:p>
      <w:pPr>
        <w:pStyle w:val="2RELSottotit"/>
      </w:pPr>
      <w:r>
        <w:rPr>
          <w:i w:val="0"/>
        </w:rPr>
        <w:t>3.7 Esiti della trade-off analysis</w:t>
      </w:r>
    </w:p>
    <w:tbl>
      <w:tblPr>
        <w:tblStyle w:val="Grigliatabella"/>
        <w:tblW w:type="auto" w:w="0"/>
        <w:jc w:val="center"/>
        <w:tblLook w:firstColumn="1" w:firstRow="1" w:lastColumn="0" w:lastRow="0" w:noHBand="0" w:noVBand="1" w:val="04A0"/>
      </w:tblPr>
      <w:tblGrid>
        <w:gridCol w:w="3591"/>
        <w:gridCol w:w="3591"/>
        <w:gridCol w:w="3591"/>
      </w:tblGrid>
      <w:tr>
        <w:tc>
          <w:tcPr>
            <w:tcW w:type="dxa" w:w="2268"/>
            <w:shd w:val="clear" w:color="auto" w:fill="024C41"/>
          </w:tcPr>
          <w:p>
            <w:pPr>
              <w:jc w:val="center"/>
            </w:pPr>
            <w:r/>
            <w:r>
              <w:rPr>
                <w:b/>
                <w:color w:val="FFFFFF"/>
                <w:sz w:val="18"/>
              </w:rPr>
              <w:t>Confronto</w:t>
            </w:r>
          </w:p>
        </w:tc>
        <w:tc>
          <w:tcPr>
            <w:tcW w:type="dxa" w:w="3855"/>
            <w:shd w:val="clear" w:color="auto" w:fill="024C41"/>
          </w:tcPr>
          <w:p>
            <w:pPr>
              <w:jc w:val="center"/>
            </w:pPr>
            <w:r/>
            <w:r>
              <w:rPr>
                <w:b/>
                <w:color w:val="FFFFFF"/>
                <w:sz w:val="18"/>
              </w:rPr>
              <w:t>Risultato</w:t>
            </w:r>
          </w:p>
        </w:tc>
        <w:tc>
          <w:tcPr>
            <w:tcW w:type="dxa" w:w="3288"/>
            <w:shd w:val="clear" w:color="auto" w:fill="024C41"/>
          </w:tcPr>
          <w:p>
            <w:pPr>
              <w:jc w:val="center"/>
            </w:pPr>
            <w:r/>
            <w:r>
              <w:rPr>
                <w:b/>
                <w:color w:val="FFFFFF"/>
                <w:sz w:val="18"/>
              </w:rPr>
              <w:t>Implicazione</w:t>
            </w:r>
          </w:p>
        </w:tc>
      </w:tr>
      <w:tr>
        <w:tc>
          <w:tcPr>
            <w:tcW w:type="dxa" w:w="2268"/>
          </w:tcPr>
          <w:p>
            <w:pPr>
              <w:jc w:val="left"/>
            </w:pPr>
            <w:r/>
            <w:r>
              <w:rPr>
                <w:sz w:val="18"/>
              </w:rPr>
              <w:t>Bilanciamento α/β nell’EEA+</w:t>
            </w:r>
          </w:p>
        </w:tc>
        <w:tc>
          <w:tcPr>
            <w:tcW w:type="dxa" w:w="3855"/>
          </w:tcPr>
          <w:p>
            <w:pPr>
              <w:jc w:val="center"/>
            </w:pPr>
            <w:r/>
            <w:r>
              <w:rPr>
                <w:sz w:val="18"/>
              </w:rPr>
              <w:t>TSI_rel resta &gt; 1 in tutti gli scenari (1,237–1,486) e l’ordinamento D240 &gt; D060 &gt; D020 è invariato (OR 7.3)</w:t>
            </w:r>
          </w:p>
        </w:tc>
        <w:tc>
          <w:tcPr>
            <w:tcW w:type="dxa" w:w="3288"/>
          </w:tcPr>
          <w:p>
            <w:pPr>
              <w:jc w:val="center"/>
            </w:pPr>
            <w:r/>
            <w:r>
              <w:rPr>
                <w:sz w:val="18"/>
              </w:rPr>
              <w:t>Segno del miglioramento e gerarchia fra unità indipendenti dalla ponderazione</w:t>
            </w:r>
          </w:p>
        </w:tc>
      </w:tr>
      <w:tr>
        <w:tc>
          <w:tcPr>
            <w:tcW w:type="dxa" w:w="2268"/>
          </w:tcPr>
          <w:p>
            <w:pPr>
              <w:jc w:val="left"/>
            </w:pPr>
            <w:r/>
            <w:r>
              <w:rPr>
                <w:sz w:val="18"/>
              </w:rPr>
              <w:t>Ponderazione delle dimensioni nel P-TSA</w:t>
            </w:r>
          </w:p>
        </w:tc>
        <w:tc>
          <w:tcPr>
            <w:tcW w:type="dxa" w:w="3855"/>
          </w:tcPr>
          <w:p>
            <w:pPr>
              <w:jc w:val="center"/>
            </w:pPr>
            <w:r/>
            <w:r>
              <w:rPr>
                <w:sz w:val="18"/>
              </w:rPr>
              <w:t>T3 primo quando prevalgono disponibilità e qualità, T1 quando prevale l’efficienza operativa; T2 mai primo (OR 7.4)</w:t>
            </w:r>
          </w:p>
        </w:tc>
        <w:tc>
          <w:tcPr>
            <w:tcW w:type="dxa" w:w="3288"/>
          </w:tcPr>
          <w:p>
            <w:pPr>
              <w:jc w:val="center"/>
            </w:pPr>
            <w:r/>
            <w:r>
              <w:rPr>
                <w:sz w:val="18"/>
              </w:rPr>
              <w:t>La scelta della tipologia di riferimento dipende dalla priorità strategica, resa esplicita dai pesi</w:t>
            </w:r>
          </w:p>
        </w:tc>
      </w:tr>
      <w:tr>
        <w:tc>
          <w:tcPr>
            <w:tcW w:type="dxa" w:w="2268"/>
          </w:tcPr>
          <w:p>
            <w:pPr>
              <w:jc w:val="left"/>
            </w:pPr>
            <w:r/>
            <w:r>
              <w:rPr>
                <w:sz w:val="18"/>
              </w:rPr>
              <w:t>Resa volumetrica e diffusione del declassamento</w:t>
            </w:r>
          </w:p>
        </w:tc>
        <w:tc>
          <w:tcPr>
            <w:tcW w:type="dxa" w:w="3855"/>
          </w:tcPr>
          <w:p>
            <w:pPr>
              <w:jc w:val="center"/>
            </w:pPr>
            <w:r/>
            <w:r>
              <w:rPr>
                <w:sz w:val="18"/>
              </w:rPr>
              <w:t>D060: resa più alta e incidenza di declassamento più alta; D240: profilo opposto (OR 7.5)</w:t>
            </w:r>
          </w:p>
        </w:tc>
        <w:tc>
          <w:tcPr>
            <w:tcW w:type="dxa" w:w="3288"/>
          </w:tcPr>
          <w:p>
            <w:pPr>
              <w:jc w:val="center"/>
            </w:pPr>
            <w:r/>
            <w:r>
              <w:rPr>
                <w:sz w:val="18"/>
              </w:rPr>
              <w:t>Azioni di natura diversa: regolazione continua e analisi puntuale degli eventi</w:t>
            </w:r>
          </w:p>
        </w:tc>
      </w:tr>
      <w:tr>
        <w:tc>
          <w:tcPr>
            <w:tcW w:type="dxa" w:w="2268"/>
          </w:tcPr>
          <w:p>
            <w:pPr>
              <w:jc w:val="left"/>
            </w:pPr>
            <w:r/>
            <w:r>
              <w:rPr>
                <w:sz w:val="18"/>
              </w:rPr>
              <w:t>Sostenibilità e qualità</w:t>
            </w:r>
          </w:p>
        </w:tc>
        <w:tc>
          <w:tcPr>
            <w:tcW w:type="dxa" w:w="3855"/>
          </w:tcPr>
          <w:p>
            <w:pPr>
              <w:jc w:val="center"/>
            </w:pPr>
            <w:r/>
            <w:r>
              <w:rPr>
                <w:sz w:val="18"/>
              </w:rPr>
              <w:t>EEA+I +34,1 % nel triennio; Defect Rate +8,8 punti, Right First Time −0,7 punti</w:t>
            </w:r>
          </w:p>
        </w:tc>
        <w:tc>
          <w:tcPr>
            <w:tcW w:type="dxa" w:w="3288"/>
          </w:tcPr>
          <w:p>
            <w:pPr>
              <w:jc w:val="center"/>
            </w:pPr>
            <w:r/>
            <w:r>
              <w:rPr>
                <w:sz w:val="18"/>
              </w:rPr>
              <w:t>Il termine di qualità va mantenuto esplicito nella funzione di costo accanto a quello di sostenibilità</w:t>
            </w:r>
          </w:p>
        </w:tc>
      </w:tr>
    </w:tbl>
    <w:p>
      <w:pPr>
        <w:spacing w:after="200"/>
        <w:jc w:val="center"/>
      </w:pPr>
      <w:r>
        <w:rPr>
          <w:i/>
          <w:sz w:val="18"/>
        </w:rPr>
        <w:t>Tabella 8. Esiti della trade-off analysis.</w:t>
      </w:r>
    </w:p>
    <w:p>
      <w:pPr>
        <w:pStyle w:val="2RELSottotit"/>
      </w:pPr>
      <w:r>
        <w:rPr>
          <w:i w:val="0"/>
        </w:rPr>
        <w:t>3.8 Verifica dei KPI di attività</w:t>
      </w:r>
    </w:p>
    <w:tbl>
      <w:tblPr>
        <w:tblStyle w:val="Grigliatabella"/>
        <w:tblW w:type="auto" w:w="0"/>
        <w:jc w:val="center"/>
        <w:tblLook w:firstColumn="1" w:firstRow="1" w:lastColumn="0" w:lastRow="0" w:noHBand="0" w:noVBand="1" w:val="04A0"/>
      </w:tblPr>
      <w:tblGrid>
        <w:gridCol w:w="2154"/>
        <w:gridCol w:w="2154"/>
        <w:gridCol w:w="2154"/>
        <w:gridCol w:w="2154"/>
        <w:gridCol w:w="2154"/>
      </w:tblGrid>
      <w:tr>
        <w:tc>
          <w:tcPr>
            <w:tcW w:type="dxa" w:w="2041"/>
            <w:shd w:val="clear" w:color="auto" w:fill="024C41"/>
          </w:tcPr>
          <w:p>
            <w:pPr>
              <w:jc w:val="center"/>
            </w:pPr>
            <w:r/>
            <w:r>
              <w:rPr>
                <w:b/>
                <w:color w:val="FFFFFF"/>
                <w:sz w:val="18"/>
              </w:rPr>
              <w:t>KPI</w:t>
            </w:r>
          </w:p>
        </w:tc>
        <w:tc>
          <w:tcPr>
            <w:tcW w:type="dxa" w:w="1701"/>
            <w:shd w:val="clear" w:color="auto" w:fill="024C41"/>
          </w:tcPr>
          <w:p>
            <w:pPr>
              <w:jc w:val="center"/>
            </w:pPr>
            <w:r/>
            <w:r>
              <w:rPr>
                <w:b/>
                <w:color w:val="FFFFFF"/>
                <w:sz w:val="18"/>
              </w:rPr>
              <w:t>Baseline</w:t>
            </w:r>
          </w:p>
        </w:tc>
        <w:tc>
          <w:tcPr>
            <w:tcW w:type="dxa" w:w="1587"/>
            <w:shd w:val="clear" w:color="auto" w:fill="024C41"/>
          </w:tcPr>
          <w:p>
            <w:pPr>
              <w:jc w:val="center"/>
            </w:pPr>
            <w:r/>
            <w:r>
              <w:rPr>
                <w:b/>
                <w:color w:val="FFFFFF"/>
                <w:sz w:val="18"/>
              </w:rPr>
              <w:t>Obiettivo</w:t>
            </w:r>
          </w:p>
        </w:tc>
        <w:tc>
          <w:tcPr>
            <w:tcW w:type="dxa" w:w="2948"/>
            <w:shd w:val="clear" w:color="auto" w:fill="024C41"/>
          </w:tcPr>
          <w:p>
            <w:pPr>
              <w:jc w:val="center"/>
            </w:pPr>
            <w:r/>
            <w:r>
              <w:rPr>
                <w:b/>
                <w:color w:val="FFFFFF"/>
                <w:sz w:val="18"/>
              </w:rPr>
              <w:t>Risultato</w:t>
            </w:r>
          </w:p>
        </w:tc>
        <w:tc>
          <w:tcPr>
            <w:tcW w:type="dxa" w:w="1134"/>
            <w:shd w:val="clear" w:color="auto" w:fill="024C41"/>
          </w:tcPr>
          <w:p>
            <w:pPr>
              <w:jc w:val="center"/>
            </w:pPr>
            <w:r/>
            <w:r>
              <w:rPr>
                <w:b/>
                <w:color w:val="FFFFFF"/>
                <w:sz w:val="18"/>
              </w:rPr>
              <w:t>Esito</w:t>
            </w:r>
          </w:p>
        </w:tc>
      </w:tr>
      <w:tr>
        <w:tc>
          <w:tcPr>
            <w:tcW w:type="dxa" w:w="2041"/>
          </w:tcPr>
          <w:p>
            <w:pPr>
              <w:jc w:val="left"/>
            </w:pPr>
            <w:r/>
            <w:r>
              <w:rPr>
                <w:sz w:val="18"/>
              </w:rPr>
              <w:t>Extended Exergy Accounting Plus Index (EEA+I)</w:t>
            </w:r>
          </w:p>
        </w:tc>
        <w:tc>
          <w:tcPr>
            <w:tcW w:type="dxa" w:w="1701"/>
          </w:tcPr>
          <w:p>
            <w:pPr>
              <w:jc w:val="center"/>
            </w:pPr>
            <w:r/>
            <w:r>
              <w:rPr>
                <w:sz w:val="18"/>
              </w:rPr>
              <w:t>Risultato dell’assessment di OR 7.3</w:t>
            </w:r>
          </w:p>
        </w:tc>
        <w:tc>
          <w:tcPr>
            <w:tcW w:type="dxa" w:w="1587"/>
          </w:tcPr>
          <w:p>
            <w:pPr>
              <w:jc w:val="center"/>
            </w:pPr>
            <w:r/>
            <w:r>
              <w:rPr>
                <w:sz w:val="18"/>
              </w:rPr>
              <w:t>12 mesi di osservazione dell’indice</w:t>
            </w:r>
          </w:p>
        </w:tc>
        <w:tc>
          <w:tcPr>
            <w:tcW w:type="dxa" w:w="2948"/>
          </w:tcPr>
          <w:p>
            <w:pPr>
              <w:jc w:val="center"/>
            </w:pPr>
            <w:r/>
            <w:r>
              <w:rPr>
                <w:sz w:val="18"/>
              </w:rPr>
              <w:t>Osservato per 36 mesi (2023–2025) su 3 unità: 9 valori annuali; TSI_rel di Gruppo 1,341</w:t>
            </w:r>
          </w:p>
        </w:tc>
        <w:tc>
          <w:tcPr>
            <w:tcW w:type="dxa" w:w="1134"/>
          </w:tcPr>
          <w:p>
            <w:pPr>
              <w:jc w:val="center"/>
            </w:pPr>
            <w:r/>
            <w:r>
              <w:rPr>
                <w:sz w:val="18"/>
              </w:rPr>
              <w:t>Conseguito</w:t>
            </w:r>
          </w:p>
        </w:tc>
      </w:tr>
      <w:tr>
        <w:tc>
          <w:tcPr>
            <w:tcW w:type="dxa" w:w="2041"/>
          </w:tcPr>
          <w:p>
            <w:pPr>
              <w:jc w:val="left"/>
            </w:pPr>
            <w:r/>
            <w:r>
              <w:rPr>
                <w:sz w:val="18"/>
              </w:rPr>
              <w:t>Product Technological Sustainability Index (P-TSI)</w:t>
            </w:r>
          </w:p>
        </w:tc>
        <w:tc>
          <w:tcPr>
            <w:tcW w:type="dxa" w:w="1701"/>
          </w:tcPr>
          <w:p>
            <w:pPr>
              <w:jc w:val="center"/>
            </w:pPr>
            <w:r/>
            <w:r>
              <w:rPr>
                <w:sz w:val="18"/>
              </w:rPr>
              <w:t>Risultato dell’assessment di OR 7.4</w:t>
            </w:r>
          </w:p>
        </w:tc>
        <w:tc>
          <w:tcPr>
            <w:tcW w:type="dxa" w:w="1587"/>
          </w:tcPr>
          <w:p>
            <w:pPr>
              <w:jc w:val="center"/>
            </w:pPr>
            <w:r/>
            <w:r>
              <w:rPr>
                <w:sz w:val="18"/>
              </w:rPr>
              <w:t>12 mesi di osservazione dell’indice</w:t>
            </w:r>
          </w:p>
        </w:tc>
        <w:tc>
          <w:tcPr>
            <w:tcW w:type="dxa" w:w="2948"/>
          </w:tcPr>
          <w:p>
            <w:pPr>
              <w:jc w:val="center"/>
            </w:pPr>
            <w:r/>
            <w:r>
              <w:rPr>
                <w:sz w:val="18"/>
              </w:rPr>
              <w:t>Osservato su 2 periodi annuali (24 mesi) per 3 tipologie; TII positivo per tutte (+3,2 ÷ +9,8 %)</w:t>
            </w:r>
          </w:p>
        </w:tc>
        <w:tc>
          <w:tcPr>
            <w:tcW w:type="dxa" w:w="1134"/>
          </w:tcPr>
          <w:p>
            <w:pPr>
              <w:jc w:val="center"/>
            </w:pPr>
            <w:r/>
            <w:r>
              <w:rPr>
                <w:sz w:val="18"/>
              </w:rPr>
              <w:t>Conseguito</w:t>
            </w:r>
          </w:p>
        </w:tc>
      </w:tr>
    </w:tbl>
    <w:p>
      <w:pPr>
        <w:spacing w:after="200"/>
        <w:jc w:val="center"/>
      </w:pPr>
      <w:r>
        <w:rPr>
          <w:i/>
          <w:sz w:val="18"/>
        </w:rPr>
        <w:t>Tabella 9. Verifica dei KPI di attività.</w:t>
      </w:r>
    </w:p>
    <w:p>
      <w:pPr>
        <w:pStyle w:val="1RELTITOLO"/>
      </w:pPr>
      <w:r>
        <w:rPr>
          <w:i w:val="0"/>
        </w:rPr>
        <w:t>4. Discussione e conclusioni</w:t>
      </w:r>
    </w:p>
    <w:p>
      <w:pPr>
        <w:pStyle w:val="2RELSottotit"/>
      </w:pPr>
      <w:r>
        <w:rPr>
          <w:i w:val="0"/>
        </w:rPr>
        <w:t>4.1 Lettura dei risultati</w:t>
      </w:r>
    </w:p>
    <w:p>
      <w:pPr>
        <w:pStyle w:val="3RELTestoBase"/>
      </w:pPr>
      <w:r>
        <w:rPr>
          <w:i w:val="0"/>
        </w:rPr>
        <w:t>Il collaudo restituisce un sistema che funziona come previsto e misure che si comportano in modo coerente nel tempo. La catena di calcolo eseguita nell’ambiente integrato riproduce i risultati validati negli OR 7.3 e 7.4; l’EEA+I cresce in tutte le unità con passo regolare e una gerarchia stabile; il P-TSI migliora per tutte le tipologie e conferma nel tempo la diagnosi di prodotto dell’OR 7.4. I criteri della compliance analysis sono soddisfatti su tutti e tre i livelli.</w:t>
      </w:r>
    </w:p>
    <w:p>
      <w:pPr>
        <w:pStyle w:val="3RELTestoBase"/>
      </w:pPr>
      <w:r>
        <w:rPr>
          <w:i w:val="0"/>
        </w:rPr>
        <w:t>Due risultati vanno oltre la semplice conferma. Il primo riguarda la composizione dell’indice di fabbrica: la crescita dell’EEA+I è dovuta per oltre quattro quinti allo score multidimensionale e per meno di un quinto all’efficienza exergetica. Il secondo riguarda la relazione fra sostenibilità e qualità: nel triennio in cui l’EEA+I cresce di un terzo, gli indicatori di qualità restano elevati ma non migliorano, e la diffusione del declassamento aumenta. Entrambi i risultati sono informazione decisionale che nessuno dei componenti, collaudato separatamente, avrebbe prodotto.</w:t>
      </w:r>
    </w:p>
    <w:p>
      <w:pPr>
        <w:pStyle w:val="2RELSottotit"/>
      </w:pPr>
      <w:r>
        <w:rPr>
          <w:i w:val="0"/>
        </w:rPr>
        <w:t>4.2 Il valore dell’integrazione</w:t>
      </w:r>
    </w:p>
    <w:p>
      <w:pPr>
        <w:pStyle w:val="3RELTestoBase"/>
      </w:pPr>
      <w:r>
        <w:rPr>
          <w:i w:val="0"/>
        </w:rPr>
        <w:t>Il Piano definisce la Intelligent Industry come l’interfacciamento dell’ambiente di fabbrica con quello direzionale. Il collaudo mostra in che cosa consista, in pratica, questo interfacciamento. Non si tratta di trasferire alla direzione più dati, ma di renderle leggibili sulla stessa base, con la stessa chiave di prodotto, di unità e di periodo, grandezze che nei sistemi di origine restano separate: exergia, contributi multidimensionali, conformità normativa, resa di cernita, rilievi del cliente. La lettura congiunta del § 3.5 è un esempio di ciò che questa base consente: rilevare che un miglioramento misurato in un dominio non si propaga all’altro, e attribuire il fenomeno all’unità e al periodo che lo generano.</w:t>
      </w:r>
    </w:p>
    <w:p>
      <w:pPr>
        <w:pStyle w:val="3RELTestoBase"/>
      </w:pPr>
      <w:r>
        <w:rPr>
          <w:i w:val="0"/>
        </w:rPr>
        <w:t>La conseguenza operativa è diretta. Nella funzione di costo multi-obiettivo del modello dell’OR 6.10 i termini di produttività, qualità e sostenibilità sono pesati da coefficienti espliciti. Il collaudo indica che il termine di qualità non può essere trattato come un vincolo implicito, soddisfatto per default da un processo maturo: va monitorato con la stessa continuità dell’indice di sostenibilità e pesato in modo esplicito quando i due andamenti divergono.</w:t>
      </w:r>
    </w:p>
    <w:p>
      <w:pPr>
        <w:pStyle w:val="2RELSottotit"/>
      </w:pPr>
      <w:r>
        <w:rPr>
          <w:i w:val="0"/>
        </w:rPr>
        <w:t>4.3 Condizioni e limiti del collaudo</w:t>
      </w:r>
    </w:p>
    <w:p>
      <w:pPr>
        <w:pStyle w:val="3RELTestoBase"/>
      </w:pPr>
      <w:r>
        <w:rPr>
          <w:i w:val="0"/>
        </w:rPr>
        <w:t>Il collaudo è condotto su serie annuali, che soddisfano e superano l’obiettivo di dodici mesi di osservazione ma non consentono di leggere la stagionalità né i transitori infra-annuali che il modello dell’OR 6.10, formulato in tempo discreto, è in grado di rappresentare. Le serie EEA+ 2023–2025 sono quelle provvisorie dell’OR 7.3, in corso di consolidamento; il consolidamento non modifica la struttura di calcolo e, per le regole di governo adottate, darà luogo a nuovi set di coefficienti versionati, mai a una modifica di quelli approvati. L’efficienza exergetica Ψ è impiegata come dato riportato dall’OR 7.3; la derivazione dell’exergia utile dai dati di processo è un elemento da consolidare. Il P-TSI dispone di due periodi di osservazione, il minimo per calcolare il TII.</w:t>
      </w:r>
    </w:p>
    <w:p>
      <w:pPr>
        <w:pStyle w:val="2RELSottotit"/>
      </w:pPr>
      <w:r>
        <w:rPr>
          <w:i w:val="0"/>
        </w:rPr>
        <w:t>4.4 Interdipendenze progettuali</w:t>
      </w:r>
    </w:p>
    <w:p>
      <w:pPr>
        <w:pStyle w:val="3RELTestoBase"/>
      </w:pPr>
      <w:r>
        <w:rPr>
          <w:i w:val="0"/>
        </w:rPr>
        <w:t>L’attività dipende dall’intero OR 7 e dall’OR 6 che lo ha preceduto: dal Modello della Intelligent Industry dell’OR 6.10, che costituisce la specifica del collaudo; dalla piattaforma E2C e dalla Intelligent Factory collaudate negli OR 7.1 e 7.2, che costituiscono il layer informativo; dall’EEA+ e dal P-TSA degli OR 7.3 e 7.4, che forniscono i due KPI; dal sistema di Data-Driven Product Quality Management dell’OR 7.5, che fornisce la lettura di qualità; dall’ingegnerizzazione degli impianti dell’OR 7.6. Si raccorda agli OR 4 e 5 per il contesto tecnologico dei modelli di intelligenza artificiale e di controllo predittivo.</w:t>
      </w:r>
    </w:p>
    <w:p>
      <w:pPr>
        <w:pStyle w:val="3RELTestoBase"/>
      </w:pPr>
      <w:r>
        <w:rPr>
          <w:i w:val="0"/>
        </w:rPr>
        <w:t>A valle, l’attività fornisce al test in ambiente preindustriale delle nuove collezioni (OR 7.9) un sistema collaudato con cui caratterizzare i prototipi sul piano della sostenibilità e della qualità; al modello di business guidato dall’intelligenza artificiale (OR 7.10) la base informativa integrata su cui la direzione legge la creazione di valore; alla valutazione d’impatto dell’OR 8 gli indicatori di risultato del progetto.</w:t>
      </w:r>
    </w:p>
    <w:p>
      <w:pPr>
        <w:pStyle w:val="2RELSottotit"/>
      </w:pPr>
      <w:r>
        <w:rPr>
          <w:i w:val="0"/>
        </w:rPr>
        <w:t>4.5 Contributo al risultato finale RF 7 e alle finalità del progetto</w:t>
      </w:r>
    </w:p>
    <w:p>
      <w:pPr>
        <w:pStyle w:val="3RELTestoBase"/>
      </w:pPr>
      <w:r>
        <w:rPr>
          <w:i w:val="0"/>
        </w:rPr>
        <w:t>Il risultato finale dell’OR 7 è il documento finale di collaudo della Intelligent Industry, e la presente attività ne costituisce il contenuto tecnico: la dimostrazione che i componenti sviluppati nell’OR 7 operano come un sistema integrato, conforme alle specifiche dell’OR 6.10, e che gli strumenti di assessment del progetto, impiegati in esercizio, producono misure coerenti nel tempo e utilizzabili per decidere.</w:t>
      </w:r>
    </w:p>
    <w:p>
      <w:pPr>
        <w:pStyle w:val="3RELTestoBase"/>
      </w:pPr>
      <w:r>
        <w:rPr>
          <w:i w:val="0"/>
        </w:rPr>
        <w:t>Rispetto alle finalità del Piano di Sviluppo, il collaudo documenta in termini misurati tre delle azioni previste: l’impiego dell’intelligenza artificiale e dei dati per ottimizzare l’uso delle risorse energetiche e naturali, con una riduzione del 5,8 per cento dell’exergia di riferimento del Gruppo e un aumento dell’efficienza exergetica in tutte le unità; l’adozione di criteri di eco-efficacia per rispondere alla domanda di prodotti più sostenibili, con il miglioramento del P-TSI su tutte le tipologie; la costruzione di un’organizzazione più resiliente e competitiva, dotata degli strumenti per riconoscere i compromessi fra obiettivi prima che si traducano in perdite. È in questo passaggio, dalla trasformazione digitale dei processi alla capacità dell’organizzazione di governarne gli effetti, che la transizione da Industry 4.0 a Intelligent Industry assume un contenuto verificabile.</w:t>
      </w:r>
    </w:p>
    <w:p>
      <w:pPr>
        <w:pStyle w:val="2RELSottotit"/>
      </w:pPr>
      <w:r>
        <w:rPr>
          <w:i w:val="0"/>
        </w:rPr>
        <w:t>4.6 Conclusioni</w:t>
      </w:r>
    </w:p>
    <w:p>
      <w:pPr>
        <w:pStyle w:val="3RELTestoBase"/>
      </w:pPr>
      <w:r>
        <w:rPr>
          <w:i w:val="0"/>
        </w:rPr>
        <w:t>L’attività ha conseguito il risultato atteso. La Intelligent Industry è stata collaudata in ambiente operativo sulle tre unità produttive del Gruppo: la catena di calcolo è riprodotta integralmente, i due KPI sono stati osservati oltre l’obiettivo dei dodici mesi e mostrano un miglioramento in tutte le unità e tipologie, la compliance analysis è superata su tutti i livelli. Il collaudo ha inoltre prodotto due acquisizioni non previste: la scomposizione del miglioramento dell’indice di fabbrica fra beneficio multidimensionale ed efficienza exergetica, e l’evidenza che il miglioramento della sostenibilità non si è accompagnato, nel periodo, a un miglioramento della qualità.</w:t>
      </w:r>
    </w:p>
    <w:p>
      <w:pPr>
        <w:pStyle w:val="3RELTestoBase"/>
      </w:pPr>
      <w:r>
        <w:rPr>
          <w:i w:val="0"/>
        </w:rPr>
        <w:t>Gli sviluppi individuati procedono in tre direzioni: il passaggio dall’osservazione annuale a quella mensile dei due indici, con alimentazione continua della vista integrata dalla piattaforma E2C; il consolidamento delle serie storiche e della derivazione dell’exergia utile; l’introduzione esplicita del termine di qualità nella lettura direzionale degli indici di sostenibilità, a partire dalle unità e dai formati in cui la divergenza fra i due andamenti è risultata più marcata.</w:t>
      </w:r>
    </w:p>
    <w:sectPr w:rsidRPr="008B7110" w:rsidR="00E72CA7" w:rsidSect="00087A59">
      <w:headerReference w:type="default" r:id="rId12"/>
      <w:footerReference w:type="default" r:id="rId13"/>
      <w:headerReference w:type="first" r:id="rId14"/>
      <w:footerReference w:type="first" r:id="rId15"/>
      <w:pgSz w:w="11906" w:h="16838" w:orient="portrait" w:code="9"/>
      <w:pgMar w:top="1701" w:right="567" w:bottom="1701" w:left="567"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E00C2B" w:rsidRDefault="00E00C2B" w14:paraId="33A06B7B" w14:textId="77777777">
      <w:r>
        <w:separator/>
      </w:r>
    </w:p>
  </w:endnote>
  <w:endnote w:type="continuationSeparator" w:id="0">
    <w:p w:rsidR="00E00C2B" w:rsidRDefault="00E00C2B" w14:paraId="64C84C61" w14:textId="77777777">
      <w:r>
        <w:continuationSeparator/>
      </w:r>
    </w:p>
  </w:endnote>
  <w:endnote w:type="continuationNotice" w:id="1">
    <w:p w:rsidR="00E00C2B" w:rsidRDefault="00E00C2B" w14:paraId="3C9B36D7"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73605069"/>
      <w:docPartObj>
        <w:docPartGallery w:val="Page Numbers (Bottom of Page)"/>
        <w:docPartUnique/>
      </w:docPartObj>
    </w:sdtPr>
    <w:sdtEndPr/>
    <w:sdtContent>
      <w:p w:rsidR="00370626" w:rsidRDefault="00370626" w14:paraId="19381E81" w14:textId="728262E7">
        <w:pPr>
          <w:pStyle w:val="Pidipagina"/>
          <w:jc w:val="center"/>
        </w:pPr>
        <w:r>
          <w:fldChar w:fldCharType="begin"/>
        </w:r>
        <w:r>
          <w:instrText>PAGE   \* MERGEFORMAT</w:instrText>
        </w:r>
        <w:r>
          <w:fldChar w:fldCharType="separate"/>
        </w:r>
        <w:r w:rsidR="00C04F39">
          <w:rPr>
            <w:noProof/>
          </w:rPr>
          <w:t>2</w:t>
        </w:r>
        <w:r>
          <w:fldChar w:fldCharType="end"/>
        </w:r>
      </w:p>
    </w:sdtContent>
  </w:sdt>
  <w:p w:rsidRPr="00087A59" w:rsidR="00A45435" w:rsidP="00087A59" w:rsidRDefault="00A45435" w14:paraId="5067C47B" w14:textId="673FE4C4">
    <w:pPr>
      <w:pStyle w:val="Intestazione"/>
      <w:spacing w:before="60" w:after="240"/>
      <w:jc w:val="center"/>
      <w:rPr>
        <w:rFonts w:ascii="Arial" w:hAnsi="Arial" w:cs="Arial"/>
        <w:b/>
        <w:color w:val="FC4F02"/>
        <w:szCs w:val="3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mc:Ignorable="w14 w15 w16se w16cid w16 w16cex w16sdtdh w16du wp14">
  <w:p w:rsidR="00F17E66" w:rsidP="00F17E66" w:rsidRDefault="00F17E66" w14:paraId="7829F121" w14:textId="4CADEE65">
    <w:pPr>
      <w:pStyle w:val="Intestazione"/>
      <w:pBdr>
        <w:bottom w:val="single" w:color="024C41" w:sz="18" w:space="1"/>
      </w:pBdr>
      <w:spacing w:before="60" w:after="240"/>
      <w:rPr>
        <w:rFonts w:asciiTheme="minorHAnsi" w:hAnsiTheme="minorHAnsi" w:cstheme="minorHAnsi"/>
        <w:color w:val="00A98E"/>
        <w:sz w:val="28"/>
        <w:szCs w:val="36"/>
      </w:rPr>
    </w:pPr>
  </w:p>
  <w:p w:rsidR="00F17E66" w:rsidP="00F17E66" w:rsidRDefault="003D56D6" w14:paraId="6F2805CB" w14:textId="6463FEE0">
    <w:pPr>
      <w:pStyle w:val="Intestazione"/>
      <w:spacing w:before="60" w:after="240"/>
      <w:jc w:val="center"/>
      <w:rPr>
        <w:rFonts w:asciiTheme="minorHAnsi" w:hAnsiTheme="minorHAnsi" w:cstheme="minorHAnsi"/>
        <w:color w:val="00A98E"/>
        <w:sz w:val="28"/>
        <w:szCs w:val="36"/>
      </w:rPr>
    </w:pPr>
    <w:r w:rsidRPr="003D56D6">
      <w:rPr>
        <w:rFonts w:asciiTheme="minorHAnsi" w:hAnsiTheme="minorHAnsi" w:cstheme="minorHAnsi"/>
        <w:color w:val="00A98E"/>
        <w:sz w:val="28"/>
        <w:szCs w:val="36"/>
      </w:rPr>
      <w:drawing>
        <wp:inline distT="0" distB="0" distL="0" distR="0" wp14:anchorId="6B35C285" wp14:editId="14EFDE97">
          <wp:extent cx="6840220" cy="584835"/>
          <wp:effectExtent l="0" t="0" r="0" b="5715"/>
          <wp:docPr id="27" name="Immagine 26">
            <a:extLst xmlns:a="http://schemas.openxmlformats.org/drawingml/2006/main">
              <a:ext uri="{FF2B5EF4-FFF2-40B4-BE49-F238E27FC236}">
                <a16:creationId xmlns:a16="http://schemas.microsoft.com/office/drawing/2014/main" id="{534DBD57-FA8C-4557-94E5-9E23A699C80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magine 26">
                    <a:extLst>
                      <a:ext uri="{FF2B5EF4-FFF2-40B4-BE49-F238E27FC236}">
                        <a16:creationId xmlns:a16="http://schemas.microsoft.com/office/drawing/2014/main" id="{534DBD57-FA8C-4557-94E5-9E23A699C807}"/>
                      </a:ext>
                    </a:extLst>
                  </pic:cNvPr>
                  <pic:cNvPicPr>
                    <a:picLocks noChangeAspect="1"/>
                  </pic:cNvPicPr>
                </pic:nvPicPr>
                <pic:blipFill>
                  <a:blip r:embed="rId1"/>
                  <a:stretch>
                    <a:fillRect/>
                  </a:stretch>
                </pic:blipFill>
                <pic:spPr>
                  <a:xfrm>
                    <a:off x="0" y="0"/>
                    <a:ext cx="6840220" cy="584835"/>
                  </a:xfrm>
                  <a:prstGeom prst="rect">
                    <a:avLst/>
                  </a:prstGeom>
                </pic:spPr>
              </pic:pic>
            </a:graphicData>
          </a:graphic>
        </wp:inline>
      </w:drawing>
    </w:r>
  </w:p>
  <w:p w:rsidRPr="00D311C2" w:rsidR="00A45435" w:rsidP="00F17E66" w:rsidRDefault="00087A59" w14:paraId="4F75B270" w14:textId="0D97F0C7">
    <w:pPr>
      <w:pStyle w:val="Intestazione"/>
      <w:spacing w:before="60" w:after="240"/>
      <w:jc w:val="center"/>
      <w:rPr>
        <w:rFonts w:asciiTheme="minorHAnsi" w:hAnsiTheme="minorHAnsi" w:cstheme="minorHAnsi"/>
        <w:b/>
        <w:bCs/>
        <w:color w:val="00A98E"/>
        <w:sz w:val="28"/>
        <w:szCs w:val="36"/>
      </w:rPr>
    </w:pPr>
    <w:r w:rsidRPr="00D311C2">
      <w:rPr>
        <w:rFonts w:asciiTheme="minorHAnsi" w:hAnsiTheme="minorHAnsi" w:cstheme="minorHAnsi"/>
        <w:b/>
        <w:bCs/>
        <w:color w:val="00A98E"/>
        <w:sz w:val="28"/>
        <w:szCs w:val="36"/>
      </w:rPr>
      <w:t>www.</w:t>
    </w:r>
    <w:r w:rsidRPr="00D311C2" w:rsidR="00A42963">
      <w:rPr>
        <w:rFonts w:asciiTheme="minorHAnsi" w:hAnsiTheme="minorHAnsi" w:cstheme="minorHAnsi"/>
        <w:b/>
        <w:bCs/>
        <w:color w:val="00A98E"/>
        <w:sz w:val="28"/>
        <w:szCs w:val="36"/>
      </w:rPr>
      <w:t>start</w:t>
    </w:r>
    <w:r w:rsidR="003D56D6">
      <w:rPr>
        <w:rFonts w:asciiTheme="minorHAnsi" w:hAnsiTheme="minorHAnsi" w:cstheme="minorHAnsi"/>
        <w:b/>
        <w:bCs/>
        <w:color w:val="00A98E"/>
        <w:sz w:val="28"/>
        <w:szCs w:val="36"/>
      </w:rPr>
      <w:t>-innovability</w:t>
    </w:r>
    <w:r w:rsidRPr="00D311C2">
      <w:rPr>
        <w:rFonts w:asciiTheme="minorHAnsi" w:hAnsiTheme="minorHAnsi" w:cstheme="minorHAnsi"/>
        <w:b/>
        <w:bCs/>
        <w:color w:val="00A98E"/>
        <w:sz w:val="28"/>
        <w:szCs w:val="36"/>
      </w:rPr>
      <w:t>.</w:t>
    </w:r>
    <w:r w:rsidRPr="00D311C2" w:rsidR="00064C8D">
      <w:rPr>
        <w:rFonts w:asciiTheme="minorHAnsi" w:hAnsiTheme="minorHAnsi" w:cstheme="minorHAnsi"/>
        <w:b/>
        <w:bCs/>
        <w:color w:val="00A98E"/>
        <w:sz w:val="28"/>
        <w:szCs w:val="36"/>
      </w:rPr>
      <w:t>it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E00C2B" w:rsidRDefault="00E00C2B" w14:paraId="02105F46" w14:textId="77777777">
      <w:r>
        <w:separator/>
      </w:r>
    </w:p>
  </w:footnote>
  <w:footnote w:type="continuationSeparator" w:id="0">
    <w:p w:rsidR="00E00C2B" w:rsidRDefault="00E00C2B" w14:paraId="76C87ED6" w14:textId="77777777">
      <w:r>
        <w:continuationSeparator/>
      </w:r>
    </w:p>
  </w:footnote>
  <w:footnote w:type="continuationNotice" w:id="1">
    <w:p w:rsidR="00E00C2B" w:rsidRDefault="00E00C2B" w14:paraId="73FD6273"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du wp14">
  <w:tbl>
    <w:tblPr>
      <w:tblStyle w:val="Grigliatabella"/>
      <w:tblW w:w="10762" w:type="dxa"/>
      <w:tblInd w:w="-108" w:type="dxa"/>
      <w:tblBorders>
        <w:top w:val="single" w:color="024C41" w:sz="18" w:space="0"/>
        <w:left w:val="none" w:color="auto" w:sz="0" w:space="0"/>
        <w:bottom w:val="single" w:color="024C41" w:sz="18" w:space="0"/>
        <w:right w:val="none" w:color="auto" w:sz="0" w:space="0"/>
        <w:insideH w:val="none" w:color="auto" w:sz="0" w:space="0"/>
        <w:insideV w:val="none" w:color="auto" w:sz="0" w:space="0"/>
      </w:tblBorders>
      <w:tblLook w:val="04A0" w:firstRow="1" w:lastRow="0" w:firstColumn="1" w:lastColumn="0" w:noHBand="0" w:noVBand="1"/>
    </w:tblPr>
    <w:tblGrid>
      <w:gridCol w:w="4542"/>
      <w:gridCol w:w="6220"/>
    </w:tblGrid>
    <w:tr w:rsidRPr="00A42963" w:rsidR="00380ACF" w:rsidTr="00A42963" w14:paraId="139FF03E" w14:textId="77777777">
      <w:tc>
        <w:tcPr>
          <w:tcW w:w="4542" w:type="dxa"/>
        </w:tcPr>
        <w:p w:rsidRPr="00F17E66" w:rsidR="00F17E66" w:rsidP="007D40B1" w:rsidRDefault="00F17E66" w14:paraId="16933ECD" w14:textId="77777777">
          <w:pPr>
            <w:rPr>
              <w:sz w:val="10"/>
              <w:szCs w:val="10"/>
            </w:rPr>
          </w:pPr>
        </w:p>
        <w:p w:rsidR="00380ACF" w:rsidP="007D40B1" w:rsidRDefault="00A42963" w14:paraId="218CE45F" w14:textId="77777777">
          <w:r w:rsidRPr="00380ACF">
            <w:rPr>
              <w:noProof/>
            </w:rPr>
            <w:drawing>
              <wp:inline distT="0" distB="0" distL="0" distR="0" wp14:anchorId="3F19B9DA" wp14:editId="4A2D37D4">
                <wp:extent cx="2047875" cy="1134548"/>
                <wp:effectExtent l="0" t="0" r="0" b="8890"/>
                <wp:docPr id="526394239" name="Immagine 526394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62020" name=""/>
                        <pic:cNvPicPr/>
                      </pic:nvPicPr>
                      <pic:blipFill>
                        <a:blip r:embed="rId1"/>
                        <a:stretch>
                          <a:fillRect/>
                        </a:stretch>
                      </pic:blipFill>
                      <pic:spPr>
                        <a:xfrm>
                          <a:off x="0" y="0"/>
                          <a:ext cx="2058155" cy="1140243"/>
                        </a:xfrm>
                        <a:prstGeom prst="rect">
                          <a:avLst/>
                        </a:prstGeom>
                      </pic:spPr>
                    </pic:pic>
                  </a:graphicData>
                </a:graphic>
              </wp:inline>
            </w:drawing>
          </w:r>
        </w:p>
        <w:p w:rsidRPr="00F17E66" w:rsidR="00F17E66" w:rsidP="007D40B1" w:rsidRDefault="00F17E66" w14:paraId="47756266" w14:textId="51DC96D5">
          <w:pPr>
            <w:rPr>
              <w:sz w:val="10"/>
              <w:szCs w:val="10"/>
            </w:rPr>
          </w:pPr>
        </w:p>
      </w:tc>
      <w:tc>
        <w:tcPr>
          <w:tcW w:w="6220" w:type="dxa"/>
        </w:tcPr>
        <w:p w:rsidR="00A42963" w:rsidP="007D40B1" w:rsidRDefault="00A42963" w14:paraId="6E891721" w14:textId="77777777">
          <w:pPr>
            <w:jc w:val="center"/>
            <w:rPr>
              <w:rFonts w:asciiTheme="minorHAnsi" w:hAnsiTheme="minorHAnsi" w:cstheme="minorHAnsi"/>
              <w:b/>
              <w:color w:val="595959"/>
              <w:szCs w:val="24"/>
              <w:lang w:val="en-US"/>
            </w:rPr>
          </w:pPr>
        </w:p>
        <w:p w:rsidRPr="00A42963" w:rsidR="00380ACF" w:rsidP="007D40B1" w:rsidRDefault="00380ACF" w14:paraId="01794B94" w14:textId="22CA4F9A">
          <w:pPr>
            <w:jc w:val="center"/>
            <w:rPr>
              <w:rFonts w:asciiTheme="minorHAnsi" w:hAnsiTheme="minorHAnsi" w:cstheme="minorHAnsi"/>
              <w:b/>
              <w:color w:val="024C41"/>
              <w:sz w:val="32"/>
              <w:szCs w:val="36"/>
              <w:lang w:val="en-US"/>
            </w:rPr>
          </w:pPr>
          <w:proofErr w:type="spellStart"/>
          <w:r w:rsidRPr="00A42963">
            <w:rPr>
              <w:rFonts w:asciiTheme="minorHAnsi" w:hAnsiTheme="minorHAnsi" w:cstheme="minorHAnsi"/>
              <w:b/>
              <w:color w:val="024C41"/>
              <w:sz w:val="32"/>
              <w:szCs w:val="36"/>
              <w:lang w:val="en-US"/>
            </w:rPr>
            <w:t>SusTainable</w:t>
          </w:r>
          <w:proofErr w:type="spellEnd"/>
          <w:r w:rsidRPr="00A42963">
            <w:rPr>
              <w:rFonts w:asciiTheme="minorHAnsi" w:hAnsiTheme="minorHAnsi" w:cstheme="minorHAnsi"/>
              <w:b/>
              <w:color w:val="024C41"/>
              <w:sz w:val="32"/>
              <w:szCs w:val="36"/>
              <w:lang w:val="en-US"/>
            </w:rPr>
            <w:t xml:space="preserve"> </w:t>
          </w:r>
          <w:proofErr w:type="spellStart"/>
          <w:r w:rsidRPr="00A42963">
            <w:rPr>
              <w:rFonts w:asciiTheme="minorHAnsi" w:hAnsiTheme="minorHAnsi" w:cstheme="minorHAnsi"/>
              <w:b/>
              <w:color w:val="024C41"/>
              <w:sz w:val="32"/>
              <w:szCs w:val="36"/>
              <w:lang w:val="en-US"/>
            </w:rPr>
            <w:t>dAta-dRiven</w:t>
          </w:r>
          <w:proofErr w:type="spellEnd"/>
          <w:r w:rsidRPr="00A42963">
            <w:rPr>
              <w:rFonts w:asciiTheme="minorHAnsi" w:hAnsiTheme="minorHAnsi" w:cstheme="minorHAnsi"/>
              <w:b/>
              <w:color w:val="024C41"/>
              <w:sz w:val="32"/>
              <w:szCs w:val="36"/>
              <w:lang w:val="en-US"/>
            </w:rPr>
            <w:t xml:space="preserve"> </w:t>
          </w:r>
          <w:proofErr w:type="spellStart"/>
          <w:r w:rsidRPr="00A42963">
            <w:rPr>
              <w:rFonts w:asciiTheme="minorHAnsi" w:hAnsiTheme="minorHAnsi" w:cstheme="minorHAnsi"/>
              <w:b/>
              <w:color w:val="024C41"/>
              <w:sz w:val="32"/>
              <w:szCs w:val="36"/>
              <w:lang w:val="en-US"/>
            </w:rPr>
            <w:t>manufacTuring</w:t>
          </w:r>
          <w:proofErr w:type="spellEnd"/>
        </w:p>
        <w:p w:rsidRPr="00A42963" w:rsidR="00380ACF" w:rsidP="007D40B1" w:rsidRDefault="00380ACF" w14:paraId="255519F3" w14:textId="77777777">
          <w:pPr>
            <w:jc w:val="center"/>
            <w:rPr>
              <w:rFonts w:asciiTheme="minorHAnsi" w:hAnsiTheme="minorHAnsi" w:cstheme="minorHAnsi"/>
              <w:b/>
              <w:color w:val="525252" w:themeColor="accent3" w:themeShade="80"/>
              <w:sz w:val="16"/>
              <w:szCs w:val="20"/>
              <w:lang w:val="en-US"/>
            </w:rPr>
          </w:pPr>
        </w:p>
        <w:p w:rsidRPr="00A42963" w:rsidR="00A42963" w:rsidP="007D40B1" w:rsidRDefault="00A42963" w14:paraId="4CBF8299" w14:textId="77777777">
          <w:pPr>
            <w:jc w:val="center"/>
            <w:rPr>
              <w:rFonts w:asciiTheme="minorHAnsi" w:hAnsiTheme="minorHAnsi" w:cstheme="minorHAnsi"/>
              <w:b/>
              <w:color w:val="00A98E"/>
              <w:sz w:val="24"/>
              <w:szCs w:val="32"/>
            </w:rPr>
          </w:pPr>
          <w:r w:rsidRPr="00A42963">
            <w:rPr>
              <w:rFonts w:asciiTheme="minorHAnsi" w:hAnsiTheme="minorHAnsi" w:cstheme="minorHAnsi"/>
              <w:b/>
              <w:color w:val="00A98E"/>
              <w:sz w:val="24"/>
              <w:szCs w:val="32"/>
            </w:rPr>
            <w:t>Accordo Innovazione DM 31/12/2021</w:t>
          </w:r>
        </w:p>
        <w:p w:rsidRPr="00A42963" w:rsidR="00380ACF" w:rsidP="007D40B1" w:rsidRDefault="00380ACF" w14:paraId="4CD1470F" w14:textId="201B274D">
          <w:pPr>
            <w:jc w:val="center"/>
            <w:rPr>
              <w:rFonts w:asciiTheme="minorHAnsi" w:hAnsiTheme="minorHAnsi" w:cstheme="minorHAnsi"/>
              <w:b/>
              <w:color w:val="595959"/>
              <w:szCs w:val="24"/>
            </w:rPr>
          </w:pPr>
          <w:r w:rsidRPr="00A42963">
            <w:rPr>
              <w:rFonts w:asciiTheme="minorHAnsi" w:hAnsiTheme="minorHAnsi" w:cstheme="minorHAnsi"/>
              <w:b/>
              <w:color w:val="00A98E"/>
              <w:sz w:val="24"/>
              <w:szCs w:val="32"/>
            </w:rPr>
            <w:t xml:space="preserve">Prog. n. </w:t>
          </w:r>
          <w:r w:rsidRPr="00A42963" w:rsidR="00A42963">
            <w:rPr>
              <w:rFonts w:asciiTheme="minorHAnsi" w:hAnsiTheme="minorHAnsi" w:cstheme="minorHAnsi"/>
              <w:b/>
              <w:color w:val="00A98E"/>
              <w:sz w:val="24"/>
              <w:szCs w:val="32"/>
            </w:rPr>
            <w:t>F/310087/01-05/X56</w:t>
          </w:r>
          <w:r w:rsidRPr="00A42963" w:rsidR="00A42963">
            <w:rPr>
              <w:rFonts w:asciiTheme="minorHAnsi" w:hAnsiTheme="minorHAnsi" w:cstheme="minorHAnsi"/>
              <w:b/>
              <w:color w:val="595959"/>
              <w:sz w:val="24"/>
              <w:szCs w:val="32"/>
            </w:rPr>
            <w:t xml:space="preserve"> </w:t>
          </w:r>
        </w:p>
      </w:tc>
    </w:tr>
  </w:tbl>
  <w:p w:rsidRPr="00A42963" w:rsidR="00087A59" w:rsidP="00087A59" w:rsidRDefault="00087A59" w14:paraId="02404575" w14:textId="77777777">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du wp14">
  <w:tbl>
    <w:tblPr>
      <w:tblStyle w:val="Grigliatabella"/>
      <w:tblW w:w="0" w:type="auto"/>
      <w:tblBorders>
        <w:top w:val="single" w:color="024C41" w:sz="18" w:space="0"/>
        <w:left w:val="none" w:color="auto" w:sz="0" w:space="0"/>
        <w:bottom w:val="single" w:color="024C41" w:sz="18" w:space="0"/>
        <w:right w:val="none" w:color="auto" w:sz="0" w:space="0"/>
        <w:insideH w:val="none" w:color="auto" w:sz="0" w:space="0"/>
        <w:insideV w:val="none" w:color="auto" w:sz="0" w:space="0"/>
      </w:tblBorders>
      <w:tblLook w:val="04A0" w:firstRow="1" w:lastRow="0" w:firstColumn="1" w:lastColumn="0" w:noHBand="0" w:noVBand="1"/>
    </w:tblPr>
    <w:tblGrid>
      <w:gridCol w:w="4542"/>
      <w:gridCol w:w="6220"/>
    </w:tblGrid>
    <w:tr w:rsidRPr="00380ACF" w:rsidR="00380ACF" w:rsidTr="00A42963" w14:paraId="5203FB71" w14:textId="77777777">
      <w:tc>
        <w:tcPr>
          <w:tcW w:w="4542" w:type="dxa"/>
        </w:tcPr>
        <w:p w:rsidRPr="00F17E66" w:rsidR="00F17E66" w:rsidP="0015016E" w:rsidRDefault="00F17E66" w14:paraId="2F4F55F4" w14:textId="77777777">
          <w:pPr>
            <w:rPr>
              <w:sz w:val="10"/>
              <w:szCs w:val="10"/>
            </w:rPr>
          </w:pPr>
        </w:p>
        <w:p w:rsidR="00380ACF" w:rsidP="0015016E" w:rsidRDefault="00380ACF" w14:paraId="0EFBB021" w14:textId="6C951B90">
          <w:r w:rsidRPr="00380ACF">
            <w:rPr>
              <w:noProof/>
            </w:rPr>
            <w:drawing>
              <wp:inline distT="0" distB="0" distL="0" distR="0" wp14:anchorId="0A26CCA4" wp14:editId="55E72B44">
                <wp:extent cx="2047875" cy="1134548"/>
                <wp:effectExtent l="0" t="0" r="0" b="8890"/>
                <wp:docPr id="8886202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62020" name=""/>
                        <pic:cNvPicPr/>
                      </pic:nvPicPr>
                      <pic:blipFill>
                        <a:blip r:embed="rId1"/>
                        <a:stretch>
                          <a:fillRect/>
                        </a:stretch>
                      </pic:blipFill>
                      <pic:spPr>
                        <a:xfrm>
                          <a:off x="0" y="0"/>
                          <a:ext cx="2058155" cy="1140243"/>
                        </a:xfrm>
                        <a:prstGeom prst="rect">
                          <a:avLst/>
                        </a:prstGeom>
                      </pic:spPr>
                    </pic:pic>
                  </a:graphicData>
                </a:graphic>
              </wp:inline>
            </w:drawing>
          </w:r>
        </w:p>
        <w:p w:rsidRPr="00F17E66" w:rsidR="00F17E66" w:rsidP="0015016E" w:rsidRDefault="00F17E66" w14:paraId="6F560366" w14:textId="31DA55B3">
          <w:pPr>
            <w:rPr>
              <w:sz w:val="10"/>
              <w:szCs w:val="10"/>
            </w:rPr>
          </w:pPr>
        </w:p>
      </w:tc>
      <w:tc>
        <w:tcPr>
          <w:tcW w:w="6220" w:type="dxa"/>
        </w:tcPr>
        <w:p w:rsidR="00380ACF" w:rsidP="00002427" w:rsidRDefault="00380ACF" w14:paraId="236DDD0D" w14:textId="77777777">
          <w:pPr>
            <w:jc w:val="center"/>
            <w:rPr>
              <w:rFonts w:asciiTheme="minorHAnsi" w:hAnsiTheme="minorHAnsi" w:cstheme="minorHAnsi"/>
              <w:color w:val="525252" w:themeColor="accent3" w:themeShade="80"/>
              <w:sz w:val="28"/>
              <w:szCs w:val="24"/>
            </w:rPr>
          </w:pPr>
        </w:p>
        <w:p w:rsidRPr="00A42963" w:rsidR="00A42963" w:rsidP="00A42963" w:rsidRDefault="00A42963" w14:paraId="2BBAF2B0" w14:textId="77777777">
          <w:pPr>
            <w:jc w:val="center"/>
            <w:rPr>
              <w:rFonts w:asciiTheme="minorHAnsi" w:hAnsiTheme="minorHAnsi" w:cstheme="minorHAnsi"/>
              <w:b/>
              <w:color w:val="024C41"/>
              <w:sz w:val="32"/>
              <w:szCs w:val="36"/>
              <w:lang w:val="en-US"/>
            </w:rPr>
          </w:pPr>
          <w:proofErr w:type="spellStart"/>
          <w:r w:rsidRPr="00A42963">
            <w:rPr>
              <w:rFonts w:asciiTheme="minorHAnsi" w:hAnsiTheme="minorHAnsi" w:cstheme="minorHAnsi"/>
              <w:b/>
              <w:color w:val="024C41"/>
              <w:sz w:val="32"/>
              <w:szCs w:val="36"/>
              <w:lang w:val="en-US"/>
            </w:rPr>
            <w:t>SusTainable</w:t>
          </w:r>
          <w:proofErr w:type="spellEnd"/>
          <w:r w:rsidRPr="00A42963">
            <w:rPr>
              <w:rFonts w:asciiTheme="minorHAnsi" w:hAnsiTheme="minorHAnsi" w:cstheme="minorHAnsi"/>
              <w:b/>
              <w:color w:val="024C41"/>
              <w:sz w:val="32"/>
              <w:szCs w:val="36"/>
              <w:lang w:val="en-US"/>
            </w:rPr>
            <w:t xml:space="preserve"> </w:t>
          </w:r>
          <w:proofErr w:type="spellStart"/>
          <w:r w:rsidRPr="00A42963">
            <w:rPr>
              <w:rFonts w:asciiTheme="minorHAnsi" w:hAnsiTheme="minorHAnsi" w:cstheme="minorHAnsi"/>
              <w:b/>
              <w:color w:val="024C41"/>
              <w:sz w:val="32"/>
              <w:szCs w:val="36"/>
              <w:lang w:val="en-US"/>
            </w:rPr>
            <w:t>dAta-dRiven</w:t>
          </w:r>
          <w:proofErr w:type="spellEnd"/>
          <w:r w:rsidRPr="00A42963">
            <w:rPr>
              <w:rFonts w:asciiTheme="minorHAnsi" w:hAnsiTheme="minorHAnsi" w:cstheme="minorHAnsi"/>
              <w:b/>
              <w:color w:val="024C41"/>
              <w:sz w:val="32"/>
              <w:szCs w:val="36"/>
              <w:lang w:val="en-US"/>
            </w:rPr>
            <w:t xml:space="preserve"> </w:t>
          </w:r>
          <w:proofErr w:type="spellStart"/>
          <w:r w:rsidRPr="00A42963">
            <w:rPr>
              <w:rFonts w:asciiTheme="minorHAnsi" w:hAnsiTheme="minorHAnsi" w:cstheme="minorHAnsi"/>
              <w:b/>
              <w:color w:val="024C41"/>
              <w:sz w:val="32"/>
              <w:szCs w:val="36"/>
              <w:lang w:val="en-US"/>
            </w:rPr>
            <w:t>manufacTuring</w:t>
          </w:r>
          <w:proofErr w:type="spellEnd"/>
        </w:p>
        <w:p w:rsidRPr="00A42963" w:rsidR="00A42963" w:rsidP="00A42963" w:rsidRDefault="00A42963" w14:paraId="3DFD2533" w14:textId="77777777">
          <w:pPr>
            <w:jc w:val="center"/>
            <w:rPr>
              <w:rFonts w:asciiTheme="minorHAnsi" w:hAnsiTheme="minorHAnsi" w:cstheme="minorHAnsi"/>
              <w:b/>
              <w:color w:val="525252" w:themeColor="accent3" w:themeShade="80"/>
              <w:sz w:val="16"/>
              <w:szCs w:val="20"/>
              <w:lang w:val="en-US"/>
            </w:rPr>
          </w:pPr>
        </w:p>
        <w:p w:rsidRPr="00A42963" w:rsidR="00A42963" w:rsidP="00A42963" w:rsidRDefault="00A42963" w14:paraId="3388F882" w14:textId="77777777">
          <w:pPr>
            <w:jc w:val="center"/>
            <w:rPr>
              <w:rFonts w:asciiTheme="minorHAnsi" w:hAnsiTheme="minorHAnsi" w:cstheme="minorHAnsi"/>
              <w:b/>
              <w:color w:val="00A98E"/>
              <w:sz w:val="24"/>
              <w:szCs w:val="32"/>
            </w:rPr>
          </w:pPr>
          <w:r w:rsidRPr="00A42963">
            <w:rPr>
              <w:rFonts w:asciiTheme="minorHAnsi" w:hAnsiTheme="minorHAnsi" w:cstheme="minorHAnsi"/>
              <w:b/>
              <w:color w:val="00A98E"/>
              <w:sz w:val="24"/>
              <w:szCs w:val="32"/>
            </w:rPr>
            <w:t>Accordo Innovazione DM 31/12/2021</w:t>
          </w:r>
        </w:p>
        <w:p w:rsidRPr="008862C9" w:rsidR="00380ACF" w:rsidP="00A42963" w:rsidRDefault="00A42963" w14:paraId="0D1DF9C7" w14:textId="28B26B0B">
          <w:pPr>
            <w:jc w:val="center"/>
            <w:rPr>
              <w:rFonts w:asciiTheme="minorHAnsi" w:hAnsiTheme="minorHAnsi" w:cstheme="minorHAnsi"/>
              <w:b/>
              <w:color w:val="595959"/>
              <w:szCs w:val="24"/>
              <w:lang w:val="en-US"/>
            </w:rPr>
          </w:pPr>
          <w:r w:rsidRPr="00A42963">
            <w:rPr>
              <w:rFonts w:asciiTheme="minorHAnsi" w:hAnsiTheme="minorHAnsi" w:cstheme="minorHAnsi"/>
              <w:b/>
              <w:color w:val="00A98E"/>
              <w:sz w:val="24"/>
              <w:szCs w:val="32"/>
            </w:rPr>
            <w:t>Prog. n. F/310087/01-05/X56</w:t>
          </w:r>
        </w:p>
      </w:tc>
    </w:tr>
  </w:tbl>
  <w:p w:rsidRPr="00002427" w:rsidR="00A45435" w:rsidP="00087A59" w:rsidRDefault="00A45435" w14:paraId="7DD20812" w14:textId="77777777">
    <w:pPr>
      <w:pStyle w:val="Intestazione"/>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BD5014"/>
    <w:multiLevelType w:val="hybridMultilevel"/>
    <w:tmpl w:val="93769E98"/>
    <w:lvl w:ilvl="0" w:tplc="0410000F">
      <w:start w:val="1"/>
      <w:numFmt w:val="decimal"/>
      <w:lvlText w:val="%1."/>
      <w:lvlJc w:val="left"/>
      <w:pPr>
        <w:ind w:left="1004" w:hanging="360"/>
      </w:pPr>
    </w:lvl>
    <w:lvl w:ilvl="1" w:tplc="04100019" w:tentative="1">
      <w:start w:val="1"/>
      <w:numFmt w:val="lowerLetter"/>
      <w:lvlText w:val="%2."/>
      <w:lvlJc w:val="left"/>
      <w:pPr>
        <w:ind w:left="1724" w:hanging="360"/>
      </w:pPr>
    </w:lvl>
    <w:lvl w:ilvl="2" w:tplc="0410001B" w:tentative="1">
      <w:start w:val="1"/>
      <w:numFmt w:val="lowerRoman"/>
      <w:lvlText w:val="%3."/>
      <w:lvlJc w:val="right"/>
      <w:pPr>
        <w:ind w:left="2444" w:hanging="180"/>
      </w:pPr>
    </w:lvl>
    <w:lvl w:ilvl="3" w:tplc="0410000F" w:tentative="1">
      <w:start w:val="1"/>
      <w:numFmt w:val="decimal"/>
      <w:lvlText w:val="%4."/>
      <w:lvlJc w:val="left"/>
      <w:pPr>
        <w:ind w:left="3164" w:hanging="360"/>
      </w:pPr>
    </w:lvl>
    <w:lvl w:ilvl="4" w:tplc="04100019" w:tentative="1">
      <w:start w:val="1"/>
      <w:numFmt w:val="lowerLetter"/>
      <w:lvlText w:val="%5."/>
      <w:lvlJc w:val="left"/>
      <w:pPr>
        <w:ind w:left="3884" w:hanging="360"/>
      </w:pPr>
    </w:lvl>
    <w:lvl w:ilvl="5" w:tplc="0410001B" w:tentative="1">
      <w:start w:val="1"/>
      <w:numFmt w:val="lowerRoman"/>
      <w:lvlText w:val="%6."/>
      <w:lvlJc w:val="right"/>
      <w:pPr>
        <w:ind w:left="4604" w:hanging="180"/>
      </w:pPr>
    </w:lvl>
    <w:lvl w:ilvl="6" w:tplc="0410000F" w:tentative="1">
      <w:start w:val="1"/>
      <w:numFmt w:val="decimal"/>
      <w:lvlText w:val="%7."/>
      <w:lvlJc w:val="left"/>
      <w:pPr>
        <w:ind w:left="5324" w:hanging="360"/>
      </w:pPr>
    </w:lvl>
    <w:lvl w:ilvl="7" w:tplc="04100019" w:tentative="1">
      <w:start w:val="1"/>
      <w:numFmt w:val="lowerLetter"/>
      <w:lvlText w:val="%8."/>
      <w:lvlJc w:val="left"/>
      <w:pPr>
        <w:ind w:left="6044" w:hanging="360"/>
      </w:pPr>
    </w:lvl>
    <w:lvl w:ilvl="8" w:tplc="0410001B" w:tentative="1">
      <w:start w:val="1"/>
      <w:numFmt w:val="lowerRoman"/>
      <w:lvlText w:val="%9."/>
      <w:lvlJc w:val="right"/>
      <w:pPr>
        <w:ind w:left="6764" w:hanging="180"/>
      </w:pPr>
    </w:lvl>
  </w:abstractNum>
  <w:abstractNum w:abstractNumId="1" w15:restartNumberingAfterBreak="0">
    <w:nsid w:val="14121B98"/>
    <w:multiLevelType w:val="hybridMultilevel"/>
    <w:tmpl w:val="AD8680F6"/>
    <w:lvl w:ilvl="0" w:tplc="8AC64D14">
      <w:start w:val="1"/>
      <w:numFmt w:val="bullet"/>
      <w:pStyle w:val="cElencoPuntato"/>
      <w:lvlText w:val=""/>
      <w:lvlJc w:val="left"/>
      <w:pPr>
        <w:tabs>
          <w:tab w:val="num" w:pos="720"/>
        </w:tabs>
        <w:ind w:left="720" w:hanging="360"/>
      </w:pPr>
      <w:rPr>
        <w:rFonts w:hint="default" w:ascii="Symbol" w:hAnsi="Symbol"/>
      </w:rPr>
    </w:lvl>
    <w:lvl w:ilvl="1" w:tplc="C91830AC">
      <w:start w:val="1"/>
      <w:numFmt w:val="decimal"/>
      <w:pStyle w:val="cElencoNumerato"/>
      <w:lvlText w:val="%2."/>
      <w:lvlJc w:val="left"/>
      <w:pPr>
        <w:tabs>
          <w:tab w:val="num" w:pos="1440"/>
        </w:tabs>
        <w:ind w:left="1440" w:hanging="360"/>
      </w:pPr>
      <w:rPr>
        <w:rFonts w:hint="default"/>
      </w:rPr>
    </w:lvl>
    <w:lvl w:ilvl="2" w:tplc="04100005" w:tentative="1">
      <w:start w:val="1"/>
      <w:numFmt w:val="bullet"/>
      <w:lvlText w:val=""/>
      <w:lvlJc w:val="left"/>
      <w:pPr>
        <w:tabs>
          <w:tab w:val="num" w:pos="2160"/>
        </w:tabs>
        <w:ind w:left="2160" w:hanging="360"/>
      </w:pPr>
      <w:rPr>
        <w:rFonts w:hint="default" w:ascii="Wingdings" w:hAnsi="Wingdings"/>
      </w:rPr>
    </w:lvl>
    <w:lvl w:ilvl="3" w:tplc="04100001" w:tentative="1">
      <w:start w:val="1"/>
      <w:numFmt w:val="bullet"/>
      <w:lvlText w:val=""/>
      <w:lvlJc w:val="left"/>
      <w:pPr>
        <w:tabs>
          <w:tab w:val="num" w:pos="2880"/>
        </w:tabs>
        <w:ind w:left="2880" w:hanging="360"/>
      </w:pPr>
      <w:rPr>
        <w:rFonts w:hint="default" w:ascii="Symbol" w:hAnsi="Symbol"/>
      </w:rPr>
    </w:lvl>
    <w:lvl w:ilvl="4" w:tplc="04100003" w:tentative="1">
      <w:start w:val="1"/>
      <w:numFmt w:val="bullet"/>
      <w:lvlText w:val="o"/>
      <w:lvlJc w:val="left"/>
      <w:pPr>
        <w:tabs>
          <w:tab w:val="num" w:pos="3600"/>
        </w:tabs>
        <w:ind w:left="3600" w:hanging="360"/>
      </w:pPr>
      <w:rPr>
        <w:rFonts w:hint="default" w:ascii="Courier New" w:hAnsi="Courier New" w:cs="Courier New"/>
      </w:rPr>
    </w:lvl>
    <w:lvl w:ilvl="5" w:tplc="04100005" w:tentative="1">
      <w:start w:val="1"/>
      <w:numFmt w:val="bullet"/>
      <w:lvlText w:val=""/>
      <w:lvlJc w:val="left"/>
      <w:pPr>
        <w:tabs>
          <w:tab w:val="num" w:pos="4320"/>
        </w:tabs>
        <w:ind w:left="4320" w:hanging="360"/>
      </w:pPr>
      <w:rPr>
        <w:rFonts w:hint="default" w:ascii="Wingdings" w:hAnsi="Wingdings"/>
      </w:rPr>
    </w:lvl>
    <w:lvl w:ilvl="6" w:tplc="04100001" w:tentative="1">
      <w:start w:val="1"/>
      <w:numFmt w:val="bullet"/>
      <w:lvlText w:val=""/>
      <w:lvlJc w:val="left"/>
      <w:pPr>
        <w:tabs>
          <w:tab w:val="num" w:pos="5040"/>
        </w:tabs>
        <w:ind w:left="5040" w:hanging="360"/>
      </w:pPr>
      <w:rPr>
        <w:rFonts w:hint="default" w:ascii="Symbol" w:hAnsi="Symbol"/>
      </w:rPr>
    </w:lvl>
    <w:lvl w:ilvl="7" w:tplc="04100003" w:tentative="1">
      <w:start w:val="1"/>
      <w:numFmt w:val="bullet"/>
      <w:lvlText w:val="o"/>
      <w:lvlJc w:val="left"/>
      <w:pPr>
        <w:tabs>
          <w:tab w:val="num" w:pos="5760"/>
        </w:tabs>
        <w:ind w:left="5760" w:hanging="360"/>
      </w:pPr>
      <w:rPr>
        <w:rFonts w:hint="default" w:ascii="Courier New" w:hAnsi="Courier New" w:cs="Courier New"/>
      </w:rPr>
    </w:lvl>
    <w:lvl w:ilvl="8" w:tplc="04100005" w:tentative="1">
      <w:start w:val="1"/>
      <w:numFmt w:val="bullet"/>
      <w:lvlText w:val=""/>
      <w:lvlJc w:val="left"/>
      <w:pPr>
        <w:tabs>
          <w:tab w:val="num" w:pos="6480"/>
        </w:tabs>
        <w:ind w:left="6480" w:hanging="360"/>
      </w:pPr>
      <w:rPr>
        <w:rFonts w:hint="default" w:ascii="Wingdings" w:hAnsi="Wingdings"/>
      </w:rPr>
    </w:lvl>
  </w:abstractNum>
  <w:abstractNum w:abstractNumId="2" w15:restartNumberingAfterBreak="0">
    <w:nsid w:val="220557A6"/>
    <w:multiLevelType w:val="hybridMultilevel"/>
    <w:tmpl w:val="7F88E97C"/>
    <w:lvl w:ilvl="0" w:tplc="0410000F">
      <w:start w:val="1"/>
      <w:numFmt w:val="decimal"/>
      <w:lvlText w:val="%1."/>
      <w:lvlJc w:val="left"/>
      <w:pPr>
        <w:ind w:left="1068" w:hanging="360"/>
      </w:pPr>
    </w:lvl>
    <w:lvl w:ilvl="1" w:tplc="04100019" w:tentative="1">
      <w:start w:val="1"/>
      <w:numFmt w:val="lowerLetter"/>
      <w:lvlText w:val="%2."/>
      <w:lvlJc w:val="left"/>
      <w:pPr>
        <w:ind w:left="1788" w:hanging="360"/>
      </w:pPr>
    </w:lvl>
    <w:lvl w:ilvl="2" w:tplc="0410001B" w:tentative="1">
      <w:start w:val="1"/>
      <w:numFmt w:val="lowerRoman"/>
      <w:lvlText w:val="%3."/>
      <w:lvlJc w:val="right"/>
      <w:pPr>
        <w:ind w:left="2508" w:hanging="180"/>
      </w:pPr>
    </w:lvl>
    <w:lvl w:ilvl="3" w:tplc="0410000F" w:tentative="1">
      <w:start w:val="1"/>
      <w:numFmt w:val="decimal"/>
      <w:lvlText w:val="%4."/>
      <w:lvlJc w:val="left"/>
      <w:pPr>
        <w:ind w:left="3228" w:hanging="360"/>
      </w:pPr>
    </w:lvl>
    <w:lvl w:ilvl="4" w:tplc="04100019" w:tentative="1">
      <w:start w:val="1"/>
      <w:numFmt w:val="lowerLetter"/>
      <w:lvlText w:val="%5."/>
      <w:lvlJc w:val="left"/>
      <w:pPr>
        <w:ind w:left="3948" w:hanging="360"/>
      </w:pPr>
    </w:lvl>
    <w:lvl w:ilvl="5" w:tplc="0410001B" w:tentative="1">
      <w:start w:val="1"/>
      <w:numFmt w:val="lowerRoman"/>
      <w:lvlText w:val="%6."/>
      <w:lvlJc w:val="right"/>
      <w:pPr>
        <w:ind w:left="4668" w:hanging="180"/>
      </w:pPr>
    </w:lvl>
    <w:lvl w:ilvl="6" w:tplc="0410000F" w:tentative="1">
      <w:start w:val="1"/>
      <w:numFmt w:val="decimal"/>
      <w:lvlText w:val="%7."/>
      <w:lvlJc w:val="left"/>
      <w:pPr>
        <w:ind w:left="5388" w:hanging="360"/>
      </w:pPr>
    </w:lvl>
    <w:lvl w:ilvl="7" w:tplc="04100019" w:tentative="1">
      <w:start w:val="1"/>
      <w:numFmt w:val="lowerLetter"/>
      <w:lvlText w:val="%8."/>
      <w:lvlJc w:val="left"/>
      <w:pPr>
        <w:ind w:left="6108" w:hanging="360"/>
      </w:pPr>
    </w:lvl>
    <w:lvl w:ilvl="8" w:tplc="0410001B" w:tentative="1">
      <w:start w:val="1"/>
      <w:numFmt w:val="lowerRoman"/>
      <w:lvlText w:val="%9."/>
      <w:lvlJc w:val="right"/>
      <w:pPr>
        <w:ind w:left="6828" w:hanging="180"/>
      </w:pPr>
    </w:lvl>
  </w:abstractNum>
  <w:abstractNum w:abstractNumId="3" w15:restartNumberingAfterBreak="0">
    <w:nsid w:val="2D960A9C"/>
    <w:multiLevelType w:val="hybridMultilevel"/>
    <w:tmpl w:val="93769E98"/>
    <w:lvl w:ilvl="0" w:tplc="0410000F">
      <w:start w:val="1"/>
      <w:numFmt w:val="decimal"/>
      <w:lvlText w:val="%1."/>
      <w:lvlJc w:val="left"/>
      <w:pPr>
        <w:ind w:left="1004" w:hanging="360"/>
      </w:pPr>
    </w:lvl>
    <w:lvl w:ilvl="1" w:tplc="04100019" w:tentative="1">
      <w:start w:val="1"/>
      <w:numFmt w:val="lowerLetter"/>
      <w:lvlText w:val="%2."/>
      <w:lvlJc w:val="left"/>
      <w:pPr>
        <w:ind w:left="1724" w:hanging="360"/>
      </w:pPr>
    </w:lvl>
    <w:lvl w:ilvl="2" w:tplc="0410001B" w:tentative="1">
      <w:start w:val="1"/>
      <w:numFmt w:val="lowerRoman"/>
      <w:lvlText w:val="%3."/>
      <w:lvlJc w:val="right"/>
      <w:pPr>
        <w:ind w:left="2444" w:hanging="180"/>
      </w:pPr>
    </w:lvl>
    <w:lvl w:ilvl="3" w:tplc="0410000F" w:tentative="1">
      <w:start w:val="1"/>
      <w:numFmt w:val="decimal"/>
      <w:lvlText w:val="%4."/>
      <w:lvlJc w:val="left"/>
      <w:pPr>
        <w:ind w:left="3164" w:hanging="360"/>
      </w:pPr>
    </w:lvl>
    <w:lvl w:ilvl="4" w:tplc="04100019" w:tentative="1">
      <w:start w:val="1"/>
      <w:numFmt w:val="lowerLetter"/>
      <w:lvlText w:val="%5."/>
      <w:lvlJc w:val="left"/>
      <w:pPr>
        <w:ind w:left="3884" w:hanging="360"/>
      </w:pPr>
    </w:lvl>
    <w:lvl w:ilvl="5" w:tplc="0410001B" w:tentative="1">
      <w:start w:val="1"/>
      <w:numFmt w:val="lowerRoman"/>
      <w:lvlText w:val="%6."/>
      <w:lvlJc w:val="right"/>
      <w:pPr>
        <w:ind w:left="4604" w:hanging="180"/>
      </w:pPr>
    </w:lvl>
    <w:lvl w:ilvl="6" w:tplc="0410000F" w:tentative="1">
      <w:start w:val="1"/>
      <w:numFmt w:val="decimal"/>
      <w:lvlText w:val="%7."/>
      <w:lvlJc w:val="left"/>
      <w:pPr>
        <w:ind w:left="5324" w:hanging="360"/>
      </w:pPr>
    </w:lvl>
    <w:lvl w:ilvl="7" w:tplc="04100019" w:tentative="1">
      <w:start w:val="1"/>
      <w:numFmt w:val="lowerLetter"/>
      <w:lvlText w:val="%8."/>
      <w:lvlJc w:val="left"/>
      <w:pPr>
        <w:ind w:left="6044" w:hanging="360"/>
      </w:pPr>
    </w:lvl>
    <w:lvl w:ilvl="8" w:tplc="0410001B" w:tentative="1">
      <w:start w:val="1"/>
      <w:numFmt w:val="lowerRoman"/>
      <w:lvlText w:val="%9."/>
      <w:lvlJc w:val="right"/>
      <w:pPr>
        <w:ind w:left="6764" w:hanging="180"/>
      </w:pPr>
    </w:lvl>
  </w:abstractNum>
  <w:abstractNum w:abstractNumId="4" w15:restartNumberingAfterBreak="0">
    <w:nsid w:val="2DF2637A"/>
    <w:multiLevelType w:val="hybridMultilevel"/>
    <w:tmpl w:val="22441060"/>
    <w:lvl w:ilvl="0" w:tplc="04100001">
      <w:start w:val="1"/>
      <w:numFmt w:val="bullet"/>
      <w:lvlText w:val=""/>
      <w:lvlJc w:val="left"/>
      <w:pPr>
        <w:ind w:left="720" w:hanging="360"/>
      </w:pPr>
      <w:rPr>
        <w:rFonts w:hint="default" w:ascii="Symbol" w:hAnsi="Symbol"/>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5" w15:restartNumberingAfterBreak="0">
    <w:nsid w:val="475E36B0"/>
    <w:multiLevelType w:val="hybridMultilevel"/>
    <w:tmpl w:val="85B4CF3C"/>
    <w:lvl w:ilvl="0" w:tplc="0410001B">
      <w:start w:val="1"/>
      <w:numFmt w:val="lowerRoman"/>
      <w:lvlText w:val="%1."/>
      <w:lvlJc w:val="righ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4F5123DF"/>
    <w:multiLevelType w:val="hybridMultilevel"/>
    <w:tmpl w:val="BF0CD848"/>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869414988">
    <w:abstractNumId w:val="1"/>
  </w:num>
  <w:num w:numId="2" w16cid:durableId="191889600">
    <w:abstractNumId w:val="0"/>
  </w:num>
  <w:num w:numId="3" w16cid:durableId="1405685383">
    <w:abstractNumId w:val="3"/>
  </w:num>
  <w:num w:numId="4" w16cid:durableId="905260640">
    <w:abstractNumId w:val="6"/>
  </w:num>
  <w:num w:numId="5" w16cid:durableId="453256951">
    <w:abstractNumId w:val="2"/>
  </w:num>
  <w:num w:numId="6" w16cid:durableId="522670935">
    <w:abstractNumId w:val="4"/>
  </w:num>
  <w:num w:numId="7" w16cid:durableId="10790593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08"/>
  <w:hyphenationZone w:val="283"/>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2CE5"/>
    <w:rsid w:val="00001033"/>
    <w:rsid w:val="00002427"/>
    <w:rsid w:val="00006006"/>
    <w:rsid w:val="00024280"/>
    <w:rsid w:val="00052384"/>
    <w:rsid w:val="00064C8D"/>
    <w:rsid w:val="0008606B"/>
    <w:rsid w:val="00087A59"/>
    <w:rsid w:val="000A188F"/>
    <w:rsid w:val="000B3532"/>
    <w:rsid w:val="000B5364"/>
    <w:rsid w:val="000E0F4B"/>
    <w:rsid w:val="00100C27"/>
    <w:rsid w:val="0010451F"/>
    <w:rsid w:val="001051CE"/>
    <w:rsid w:val="0010645D"/>
    <w:rsid w:val="00113341"/>
    <w:rsid w:val="00127BBC"/>
    <w:rsid w:val="001449AE"/>
    <w:rsid w:val="001462FF"/>
    <w:rsid w:val="00146F78"/>
    <w:rsid w:val="0015016E"/>
    <w:rsid w:val="001510E5"/>
    <w:rsid w:val="001554A8"/>
    <w:rsid w:val="001653F0"/>
    <w:rsid w:val="001822C7"/>
    <w:rsid w:val="00191ADB"/>
    <w:rsid w:val="001A0748"/>
    <w:rsid w:val="001C44BF"/>
    <w:rsid w:val="001E600D"/>
    <w:rsid w:val="00222544"/>
    <w:rsid w:val="00227AC2"/>
    <w:rsid w:val="002975EB"/>
    <w:rsid w:val="002A5642"/>
    <w:rsid w:val="002B45C4"/>
    <w:rsid w:val="002E15C9"/>
    <w:rsid w:val="002E47CA"/>
    <w:rsid w:val="002E484B"/>
    <w:rsid w:val="002F7338"/>
    <w:rsid w:val="00315AA6"/>
    <w:rsid w:val="003322CF"/>
    <w:rsid w:val="00343A1A"/>
    <w:rsid w:val="00347BBE"/>
    <w:rsid w:val="00350A3F"/>
    <w:rsid w:val="00370626"/>
    <w:rsid w:val="00371FD0"/>
    <w:rsid w:val="00380ACF"/>
    <w:rsid w:val="0038210E"/>
    <w:rsid w:val="00382ABE"/>
    <w:rsid w:val="00383857"/>
    <w:rsid w:val="00383873"/>
    <w:rsid w:val="00385DCD"/>
    <w:rsid w:val="00387C8F"/>
    <w:rsid w:val="003A3863"/>
    <w:rsid w:val="003A57CA"/>
    <w:rsid w:val="003C3A0D"/>
    <w:rsid w:val="003C64CC"/>
    <w:rsid w:val="003C78BD"/>
    <w:rsid w:val="003D56D6"/>
    <w:rsid w:val="003E42C0"/>
    <w:rsid w:val="003F4647"/>
    <w:rsid w:val="0040212E"/>
    <w:rsid w:val="00414D72"/>
    <w:rsid w:val="00426722"/>
    <w:rsid w:val="00432469"/>
    <w:rsid w:val="00434775"/>
    <w:rsid w:val="00442016"/>
    <w:rsid w:val="00443BED"/>
    <w:rsid w:val="00450950"/>
    <w:rsid w:val="00450A34"/>
    <w:rsid w:val="00450E87"/>
    <w:rsid w:val="0047034A"/>
    <w:rsid w:val="004710B2"/>
    <w:rsid w:val="004916F7"/>
    <w:rsid w:val="00493606"/>
    <w:rsid w:val="00493E90"/>
    <w:rsid w:val="004B09C4"/>
    <w:rsid w:val="004E415B"/>
    <w:rsid w:val="004E44AC"/>
    <w:rsid w:val="004F0C5E"/>
    <w:rsid w:val="004F0D85"/>
    <w:rsid w:val="004F32C6"/>
    <w:rsid w:val="004F52C7"/>
    <w:rsid w:val="005020E1"/>
    <w:rsid w:val="00506E16"/>
    <w:rsid w:val="0052090E"/>
    <w:rsid w:val="00530C1B"/>
    <w:rsid w:val="00562094"/>
    <w:rsid w:val="005635AE"/>
    <w:rsid w:val="0057172B"/>
    <w:rsid w:val="0058302C"/>
    <w:rsid w:val="005A3044"/>
    <w:rsid w:val="005A5BFE"/>
    <w:rsid w:val="005B40DA"/>
    <w:rsid w:val="005B52BF"/>
    <w:rsid w:val="005B5379"/>
    <w:rsid w:val="005B6BE3"/>
    <w:rsid w:val="005C62FD"/>
    <w:rsid w:val="005E6551"/>
    <w:rsid w:val="005E7218"/>
    <w:rsid w:val="005F7F0A"/>
    <w:rsid w:val="0061475E"/>
    <w:rsid w:val="00615811"/>
    <w:rsid w:val="00625C20"/>
    <w:rsid w:val="0063488E"/>
    <w:rsid w:val="00634A47"/>
    <w:rsid w:val="00641534"/>
    <w:rsid w:val="00642610"/>
    <w:rsid w:val="00655FC3"/>
    <w:rsid w:val="006870C1"/>
    <w:rsid w:val="006C6880"/>
    <w:rsid w:val="006C6D64"/>
    <w:rsid w:val="006F4EFB"/>
    <w:rsid w:val="006F5C0B"/>
    <w:rsid w:val="006F7023"/>
    <w:rsid w:val="00720738"/>
    <w:rsid w:val="00725F1C"/>
    <w:rsid w:val="00730651"/>
    <w:rsid w:val="00730942"/>
    <w:rsid w:val="00755FC1"/>
    <w:rsid w:val="007646A3"/>
    <w:rsid w:val="00783232"/>
    <w:rsid w:val="00792B4F"/>
    <w:rsid w:val="00796574"/>
    <w:rsid w:val="007D40B1"/>
    <w:rsid w:val="007F6F05"/>
    <w:rsid w:val="0081034F"/>
    <w:rsid w:val="0083544C"/>
    <w:rsid w:val="0083750A"/>
    <w:rsid w:val="0084603E"/>
    <w:rsid w:val="00846290"/>
    <w:rsid w:val="0085429B"/>
    <w:rsid w:val="008629CF"/>
    <w:rsid w:val="008862C9"/>
    <w:rsid w:val="00893C53"/>
    <w:rsid w:val="008A5A0D"/>
    <w:rsid w:val="008B7110"/>
    <w:rsid w:val="008C7ABE"/>
    <w:rsid w:val="008F5B7D"/>
    <w:rsid w:val="008F7966"/>
    <w:rsid w:val="00924708"/>
    <w:rsid w:val="0097184C"/>
    <w:rsid w:val="00973674"/>
    <w:rsid w:val="00992EC6"/>
    <w:rsid w:val="00993B29"/>
    <w:rsid w:val="009A3651"/>
    <w:rsid w:val="009A6504"/>
    <w:rsid w:val="009B40B9"/>
    <w:rsid w:val="009B5D8D"/>
    <w:rsid w:val="009D4F69"/>
    <w:rsid w:val="009F0CC0"/>
    <w:rsid w:val="009F6E03"/>
    <w:rsid w:val="00A031DD"/>
    <w:rsid w:val="00A107D3"/>
    <w:rsid w:val="00A17053"/>
    <w:rsid w:val="00A265D6"/>
    <w:rsid w:val="00A3371E"/>
    <w:rsid w:val="00A4172F"/>
    <w:rsid w:val="00A42963"/>
    <w:rsid w:val="00A45435"/>
    <w:rsid w:val="00A52CEE"/>
    <w:rsid w:val="00A550B9"/>
    <w:rsid w:val="00A67E40"/>
    <w:rsid w:val="00A72558"/>
    <w:rsid w:val="00A914BD"/>
    <w:rsid w:val="00AA3622"/>
    <w:rsid w:val="00AB1E29"/>
    <w:rsid w:val="00AC7E41"/>
    <w:rsid w:val="00AE28DE"/>
    <w:rsid w:val="00AF5714"/>
    <w:rsid w:val="00B1109C"/>
    <w:rsid w:val="00B2460F"/>
    <w:rsid w:val="00B30CF7"/>
    <w:rsid w:val="00B34DCE"/>
    <w:rsid w:val="00B52762"/>
    <w:rsid w:val="00B613C9"/>
    <w:rsid w:val="00B70282"/>
    <w:rsid w:val="00B70A7C"/>
    <w:rsid w:val="00B71BC6"/>
    <w:rsid w:val="00B751DC"/>
    <w:rsid w:val="00B75822"/>
    <w:rsid w:val="00B76C04"/>
    <w:rsid w:val="00B80B8C"/>
    <w:rsid w:val="00B83568"/>
    <w:rsid w:val="00B8550D"/>
    <w:rsid w:val="00B86FB9"/>
    <w:rsid w:val="00B91BC2"/>
    <w:rsid w:val="00BA013B"/>
    <w:rsid w:val="00BA6AFC"/>
    <w:rsid w:val="00BA7CD5"/>
    <w:rsid w:val="00BB2626"/>
    <w:rsid w:val="00BE07DF"/>
    <w:rsid w:val="00BE3462"/>
    <w:rsid w:val="00BE7CC2"/>
    <w:rsid w:val="00BF0D90"/>
    <w:rsid w:val="00C04F39"/>
    <w:rsid w:val="00C05E87"/>
    <w:rsid w:val="00C10053"/>
    <w:rsid w:val="00C209DC"/>
    <w:rsid w:val="00C231E0"/>
    <w:rsid w:val="00C27F1C"/>
    <w:rsid w:val="00C57075"/>
    <w:rsid w:val="00C8188E"/>
    <w:rsid w:val="00CA6DE6"/>
    <w:rsid w:val="00CB0E79"/>
    <w:rsid w:val="00CE26FC"/>
    <w:rsid w:val="00CF2A77"/>
    <w:rsid w:val="00D00B54"/>
    <w:rsid w:val="00D13170"/>
    <w:rsid w:val="00D2509B"/>
    <w:rsid w:val="00D311C2"/>
    <w:rsid w:val="00D37CF8"/>
    <w:rsid w:val="00D42E90"/>
    <w:rsid w:val="00D50B33"/>
    <w:rsid w:val="00D651DA"/>
    <w:rsid w:val="00D74CD3"/>
    <w:rsid w:val="00D93A8C"/>
    <w:rsid w:val="00D94EF4"/>
    <w:rsid w:val="00D97864"/>
    <w:rsid w:val="00DA23F0"/>
    <w:rsid w:val="00DB1A5B"/>
    <w:rsid w:val="00DC1BE9"/>
    <w:rsid w:val="00DE103F"/>
    <w:rsid w:val="00DE2135"/>
    <w:rsid w:val="00DE3725"/>
    <w:rsid w:val="00DE3A80"/>
    <w:rsid w:val="00DE7D27"/>
    <w:rsid w:val="00DF70B0"/>
    <w:rsid w:val="00E00C2B"/>
    <w:rsid w:val="00E14603"/>
    <w:rsid w:val="00E15F0D"/>
    <w:rsid w:val="00E34E57"/>
    <w:rsid w:val="00E551CC"/>
    <w:rsid w:val="00E611F1"/>
    <w:rsid w:val="00E64474"/>
    <w:rsid w:val="00E72CA7"/>
    <w:rsid w:val="00E84486"/>
    <w:rsid w:val="00E924E9"/>
    <w:rsid w:val="00EB1C73"/>
    <w:rsid w:val="00EC0D9B"/>
    <w:rsid w:val="00EE5CAC"/>
    <w:rsid w:val="00F17E66"/>
    <w:rsid w:val="00F21F66"/>
    <w:rsid w:val="00F232FF"/>
    <w:rsid w:val="00F34BF3"/>
    <w:rsid w:val="00F406F1"/>
    <w:rsid w:val="00F560E0"/>
    <w:rsid w:val="00F6345D"/>
    <w:rsid w:val="00F85C74"/>
    <w:rsid w:val="00F92042"/>
    <w:rsid w:val="00F976DC"/>
    <w:rsid w:val="00FA2CE5"/>
    <w:rsid w:val="00FC24C7"/>
    <w:rsid w:val="00FC3370"/>
    <w:rsid w:val="00FD34F7"/>
    <w:rsid w:val="00FD6B54"/>
    <w:rsid w:val="00FF0C55"/>
    <w:rsid w:val="1775785A"/>
    <w:rsid w:val="1956D9D2"/>
    <w:rsid w:val="23A1DAF1"/>
    <w:rsid w:val="23DA3E87"/>
    <w:rsid w:val="2CCD05E7"/>
    <w:rsid w:val="4663C8B5"/>
    <w:rsid w:val="55E9D4E7"/>
    <w:rsid w:val="70697FB7"/>
    <w:rsid w:val="7191D35C"/>
    <w:rsid w:val="76E9792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A5BCCB"/>
  <w15:chartTrackingRefBased/>
  <w15:docId w15:val="{8246964D-62D7-48E0-80E5-947F353550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hAnsi="Times New Roman" w:eastAsia="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e" w:default="1">
    <w:name w:val="Normal"/>
    <w:qFormat/>
    <w:rsid w:val="00A42963"/>
    <w:rPr>
      <w:rFonts w:ascii="Arial Narrow" w:hAnsi="Arial Narrow"/>
      <w:sz w:val="22"/>
      <w:szCs w:val="22"/>
    </w:rPr>
  </w:style>
  <w:style w:type="character" w:styleId="Carpredefinitoparagrafo" w:default="1">
    <w:name w:val="Default Paragraph Font"/>
    <w:uiPriority w:val="1"/>
    <w:unhideWhenUsed/>
  </w:style>
  <w:style w:type="table" w:styleId="Tabellanormale" w:default="1">
    <w:name w:val="Normal Table"/>
    <w:uiPriority w:val="99"/>
    <w:semiHidden/>
    <w:unhideWhenUsed/>
    <w:tblPr>
      <w:tblInd w:w="0" w:type="dxa"/>
      <w:tblCellMar>
        <w:top w:w="0" w:type="dxa"/>
        <w:left w:w="108" w:type="dxa"/>
        <w:bottom w:w="0" w:type="dxa"/>
        <w:right w:w="108" w:type="dxa"/>
      </w:tblCellMar>
    </w:tblPr>
  </w:style>
  <w:style w:type="numbering" w:styleId="Nessunelenco" w:default="1">
    <w:name w:val="No List"/>
    <w:uiPriority w:val="99"/>
    <w:semiHidden/>
    <w:unhideWhenUsed/>
  </w:style>
  <w:style w:type="paragraph" w:styleId="Intestazione">
    <w:name w:val="header"/>
    <w:basedOn w:val="Normale"/>
    <w:rsid w:val="0083544C"/>
    <w:pPr>
      <w:tabs>
        <w:tab w:val="center" w:pos="4819"/>
        <w:tab w:val="right" w:pos="9638"/>
      </w:tabs>
    </w:pPr>
  </w:style>
  <w:style w:type="paragraph" w:styleId="Pidipagina">
    <w:name w:val="footer"/>
    <w:basedOn w:val="Normale"/>
    <w:link w:val="PidipaginaCarattere"/>
    <w:uiPriority w:val="99"/>
    <w:rsid w:val="0083544C"/>
    <w:pPr>
      <w:tabs>
        <w:tab w:val="center" w:pos="4819"/>
        <w:tab w:val="right" w:pos="9638"/>
      </w:tabs>
    </w:pPr>
  </w:style>
  <w:style w:type="character" w:styleId="Collegamentoipertestuale">
    <w:name w:val="Hyperlink"/>
    <w:basedOn w:val="Carpredefinitoparagrafo"/>
    <w:rsid w:val="00383873"/>
    <w:rPr>
      <w:color w:val="0000FF"/>
      <w:u w:val="single"/>
    </w:rPr>
  </w:style>
  <w:style w:type="paragraph" w:styleId="cIndirizzo" w:customStyle="1">
    <w:name w:val="cIndirizzo"/>
    <w:basedOn w:val="Normale"/>
    <w:next w:val="Normale"/>
    <w:rsid w:val="00893C53"/>
    <w:pPr>
      <w:ind w:left="6804"/>
    </w:pPr>
  </w:style>
  <w:style w:type="paragraph" w:styleId="cCorteseAttenzione" w:customStyle="1">
    <w:name w:val="cCorteseAttenzione"/>
    <w:basedOn w:val="Normale"/>
    <w:next w:val="cIndirizzo"/>
    <w:rsid w:val="00893C53"/>
    <w:pPr>
      <w:ind w:left="6804"/>
    </w:pPr>
    <w:rPr>
      <w:i/>
    </w:rPr>
  </w:style>
  <w:style w:type="paragraph" w:styleId="cRagioneSociale" w:customStyle="1">
    <w:name w:val="cRagioneSociale"/>
    <w:basedOn w:val="Normale"/>
    <w:next w:val="cCorteseAttenzione"/>
    <w:rsid w:val="00E14603"/>
    <w:pPr>
      <w:spacing w:before="480"/>
      <w:ind w:left="6804"/>
    </w:pPr>
    <w:rPr>
      <w:b/>
    </w:rPr>
  </w:style>
  <w:style w:type="paragraph" w:styleId="cOggetto" w:customStyle="1">
    <w:name w:val="cOggetto"/>
    <w:basedOn w:val="Normale"/>
    <w:next w:val="Normale"/>
    <w:rsid w:val="00893C53"/>
    <w:pPr>
      <w:spacing w:before="480" w:after="360"/>
    </w:pPr>
  </w:style>
  <w:style w:type="paragraph" w:styleId="cElencoPuntato" w:customStyle="1">
    <w:name w:val="cElencoPuntato"/>
    <w:basedOn w:val="Normale"/>
    <w:rsid w:val="00893C53"/>
    <w:pPr>
      <w:numPr>
        <w:numId w:val="1"/>
      </w:numPr>
      <w:tabs>
        <w:tab w:val="clear" w:pos="720"/>
        <w:tab w:val="num" w:pos="360"/>
      </w:tabs>
      <w:ind w:left="360" w:hanging="180"/>
    </w:pPr>
  </w:style>
  <w:style w:type="paragraph" w:styleId="cElencoNumerato" w:customStyle="1">
    <w:name w:val="cElencoNumerato"/>
    <w:basedOn w:val="Normale"/>
    <w:rsid w:val="00893C53"/>
    <w:pPr>
      <w:numPr>
        <w:ilvl w:val="1"/>
        <w:numId w:val="1"/>
      </w:numPr>
      <w:tabs>
        <w:tab w:val="clear" w:pos="1440"/>
        <w:tab w:val="num" w:pos="360"/>
      </w:tabs>
      <w:ind w:left="360" w:hanging="180"/>
    </w:pPr>
  </w:style>
  <w:style w:type="paragraph" w:styleId="cSaluto" w:customStyle="1">
    <w:name w:val="cSaluto"/>
    <w:basedOn w:val="Normale"/>
    <w:next w:val="Normale"/>
    <w:rsid w:val="00DE103F"/>
    <w:pPr>
      <w:spacing w:after="120"/>
    </w:pPr>
    <w:rPr>
      <w:i/>
    </w:rPr>
  </w:style>
  <w:style w:type="paragraph" w:styleId="cFunzioneFirmatario" w:customStyle="1">
    <w:name w:val="cFunzioneFirmatario"/>
    <w:basedOn w:val="Normale"/>
    <w:next w:val="Normale"/>
    <w:rsid w:val="00D00B54"/>
    <w:pPr>
      <w:ind w:left="6804"/>
    </w:pPr>
    <w:rPr>
      <w:i/>
    </w:rPr>
  </w:style>
  <w:style w:type="paragraph" w:styleId="cFirmatario" w:customStyle="1">
    <w:name w:val="cFirmatario"/>
    <w:basedOn w:val="Normale"/>
    <w:next w:val="cFunzioneFirmatario"/>
    <w:rsid w:val="00D00B54"/>
    <w:pPr>
      <w:spacing w:before="480"/>
      <w:ind w:left="6804"/>
    </w:pPr>
  </w:style>
  <w:style w:type="table" w:styleId="Grigliatabella">
    <w:name w:val="Table Grid"/>
    <w:basedOn w:val="Tabellanormale"/>
    <w:rsid w:val="00B751DC"/>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Numeropagina">
    <w:name w:val="page number"/>
    <w:basedOn w:val="Carpredefinitoparagrafo"/>
    <w:rsid w:val="00B751DC"/>
  </w:style>
  <w:style w:type="paragraph" w:styleId="Paragrafoelenco">
    <w:name w:val="List Paragraph"/>
    <w:basedOn w:val="Normale"/>
    <w:uiPriority w:val="34"/>
    <w:qFormat/>
    <w:rsid w:val="00CA6DE6"/>
    <w:pPr>
      <w:ind w:left="720"/>
      <w:contextualSpacing/>
    </w:pPr>
  </w:style>
  <w:style w:type="character" w:styleId="PidipaginaCarattere" w:customStyle="1">
    <w:name w:val="Piè di pagina Carattere"/>
    <w:basedOn w:val="Carpredefinitoparagrafo"/>
    <w:link w:val="Pidipagina"/>
    <w:uiPriority w:val="99"/>
    <w:rsid w:val="00370626"/>
    <w:rPr>
      <w:rFonts w:ascii="Arial Narrow" w:hAnsi="Arial Narrow"/>
      <w:sz w:val="22"/>
      <w:szCs w:val="22"/>
    </w:rPr>
  </w:style>
  <w:style w:type="character" w:styleId="Collegamentovisitato">
    <w:name w:val="FollowedHyperlink"/>
    <w:basedOn w:val="Carpredefinitoparagrafo"/>
    <w:rsid w:val="00F560E0"/>
    <w:rPr>
      <w:color w:val="954F72" w:themeColor="followedHyperlink"/>
      <w:u w:val="single"/>
    </w:rPr>
  </w:style>
  <w:style w:type="paragraph" w:styleId="1RELTITOLO" w:customStyle="1">
    <w:name w:val="1.REL. TITOLO"/>
    <w:link w:val="1RELTITOLOChar"/>
    <w:uiPriority w:val="1"/>
    <w:qFormat/>
    <w:rsid w:val="106AAA53"/>
    <w:pPr>
      <w:spacing w:line="360" w:lineRule="auto"/>
      <w:jc w:val="both"/>
    </w:pPr>
    <w:rPr>
      <w:rFonts w:asciiTheme="minorHAnsi" w:hAnsiTheme="minorHAnsi"/>
      <w:b/>
      <w:bCs/>
      <w:color w:val="024C41"/>
      <w:sz w:val="32"/>
      <w:szCs w:val="32"/>
    </w:rPr>
  </w:style>
  <w:style w:type="paragraph" w:styleId="2RELSottotit" w:customStyle="1">
    <w:name w:val="2.REL. Sottotit."/>
    <w:link w:val="2RELSottotitChar"/>
    <w:uiPriority w:val="1"/>
    <w:qFormat/>
    <w:rsid w:val="106AAA53"/>
    <w:pPr>
      <w:spacing w:before="240" w:after="240" w:line="360" w:lineRule="auto"/>
      <w:jc w:val="both"/>
    </w:pPr>
    <w:rPr>
      <w:rFonts w:asciiTheme="minorHAnsi" w:hAnsiTheme="minorHAnsi" w:eastAsiaTheme="minorEastAsia" w:cstheme="minorBidi"/>
      <w:b/>
      <w:bCs/>
      <w:color w:val="024C41"/>
      <w:sz w:val="22"/>
      <w:szCs w:val="22"/>
    </w:rPr>
  </w:style>
  <w:style w:type="paragraph" w:styleId="3RELTestoBase" w:customStyle="1">
    <w:name w:val="3.REL. TestoBase"/>
    <w:link w:val="3RELTestoBaseChar"/>
    <w:uiPriority w:val="1"/>
    <w:qFormat/>
    <w:rsid w:val="106AAA53"/>
    <w:pPr>
      <w:spacing w:line="360" w:lineRule="auto"/>
      <w:jc w:val="both"/>
    </w:pPr>
    <w:rPr>
      <w:rFonts w:asciiTheme="minorHAnsi" w:hAnsiTheme="minorHAns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ceramichegresmalt.sharepoint.com/sites/progettistartvolt/Documenti%20condivisi/S4.Attivit&#224;%20di%20R&amp;S%20-%20OR/1.Piano%20di%20Sviluppo%20Finale/START_Piano_di_Sviluppo_all4_integrato.pdf?CT=1689066917148&amp;OR=ItemsView"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18" Type="http://schemas.openxmlformats.org/officeDocument/2006/relationships/image" Target="media/image3.png"/><Relationship Id="rId19"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COMMERCIALE%20FIORANO\Tesi\2010\Alessandro%20Vitto\Autorizzazione%20Alessandro.dot" TargetMode="External"/></Relationships>
</file>

<file path=word/theme/theme1.xml><?xml version="1.0" encoding="utf-8"?>
<a:theme xmlns:a="http://schemas.openxmlformats.org/drawingml/2006/main" xmlns:thm15="http://schemas.microsoft.com/office/thememl/2012/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chicago.xsl" StyleName="Chicago" Version="15"/>
</file>

<file path=customXml/item2.xml><?xml version="1.0" encoding="utf-8"?>
<ct:contentTypeSchema xmlns:ct="http://schemas.microsoft.com/office/2006/metadata/contentType" xmlns:ma="http://schemas.microsoft.com/office/2006/metadata/properties/metaAttributes" ct:_="" ma:_="" ma:contentTypeName="Documento" ma:contentTypeID="0x0101000CC961CE0EB86C4BAF5FBA22B52F24DB" ma:contentTypeVersion="17" ma:contentTypeDescription="Creare un nuovo documento." ma:contentTypeScope="" ma:versionID="0a5f7229cbb106ba2abe7c95b092b442">
  <xsd:schema xmlns:xsd="http://www.w3.org/2001/XMLSchema" xmlns:xs="http://www.w3.org/2001/XMLSchema" xmlns:p="http://schemas.microsoft.com/office/2006/metadata/properties" xmlns:ns2="56f694ce-0d8d-4140-af7b-51105567e791" xmlns:ns3="ad955218-927d-446f-bd94-718ac5e6255c" targetNamespace="http://schemas.microsoft.com/office/2006/metadata/properties" ma:root="true" ma:fieldsID="5e0b6d1355d1909234ea1c3671f66232" ns2:_="" ns3:_="">
    <xsd:import namespace="56f694ce-0d8d-4140-af7b-51105567e791"/>
    <xsd:import namespace="ad955218-927d-446f-bd94-718ac5e6255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f694ce-0d8d-4140-af7b-51105567e7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Tag immagine" ma:readOnly="false" ma:fieldId="{5cf76f15-5ced-4ddc-b409-7134ff3c332f}" ma:taxonomyMulti="true" ma:sspId="a3126849-ed39-4324-a057-c3f9becfefc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d955218-927d-446f-bd94-718ac5e6255c" elementFormDefault="qualified">
    <xsd:import namespace="http://schemas.microsoft.com/office/2006/documentManagement/types"/>
    <xsd:import namespace="http://schemas.microsoft.com/office/infopath/2007/PartnerControls"/>
    <xsd:element name="SharedWithUsers" ma:index="10"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Condiviso con dettagli" ma:internalName="SharedWithDetails" ma:readOnly="true">
      <xsd:simpleType>
        <xsd:restriction base="dms:Note">
          <xsd:maxLength value="255"/>
        </xsd:restriction>
      </xsd:simpleType>
    </xsd:element>
    <xsd:element name="TaxCatchAll" ma:index="22" nillable="true" ma:displayName="Taxonomy Catch All Column" ma:hidden="true" ma:list="{2aca5ff2-35fa-4634-855e-35521b5f5a05}" ma:internalName="TaxCatchAll" ma:showField="CatchAllData" ma:web="ad955218-927d-446f-bd94-718ac5e6255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56f694ce-0d8d-4140-af7b-51105567e791">
      <Terms xmlns="http://schemas.microsoft.com/office/infopath/2007/PartnerControls"/>
    </lcf76f155ced4ddcb4097134ff3c332f>
    <TaxCatchAll xmlns="ad955218-927d-446f-bd94-718ac5e6255c" xsi:nil="true"/>
  </documentManagement>
</p:properties>
</file>

<file path=customXml/itemProps1.xml><?xml version="1.0" encoding="utf-8"?>
<ds:datastoreItem xmlns:ds="http://schemas.openxmlformats.org/officeDocument/2006/customXml" ds:itemID="{BB0AA0DE-F95E-48A6-A386-1FF17D0AB3F2}">
  <ds:schemaRefs>
    <ds:schemaRef ds:uri="http://schemas.openxmlformats.org/officeDocument/2006/bibliography"/>
  </ds:schemaRefs>
</ds:datastoreItem>
</file>

<file path=customXml/itemProps2.xml><?xml version="1.0" encoding="utf-8"?>
<ds:datastoreItem xmlns:ds="http://schemas.openxmlformats.org/officeDocument/2006/customXml" ds:itemID="{F5A8B1E8-67FC-48F3-80DE-6E09F3797C2A}"/>
</file>

<file path=customXml/itemProps3.xml><?xml version="1.0" encoding="utf-8"?>
<ds:datastoreItem xmlns:ds="http://schemas.openxmlformats.org/officeDocument/2006/customXml" ds:itemID="{CC107ABC-960D-44AD-BFCA-9ECF2E83289D}">
  <ds:schemaRefs>
    <ds:schemaRef ds:uri="http://schemas.microsoft.com/sharepoint/v3/contenttype/forms"/>
  </ds:schemaRefs>
</ds:datastoreItem>
</file>

<file path=customXml/itemProps4.xml><?xml version="1.0" encoding="utf-8"?>
<ds:datastoreItem xmlns:ds="http://schemas.openxmlformats.org/officeDocument/2006/customXml" ds:itemID="{673B02D6-3A44-4F96-A66F-28D9C110DA91}">
  <ds:schemaRefs>
    <ds:schemaRef ds:uri="http://schemas.openxmlformats.org/package/2006/metadata/core-properties"/>
    <ds:schemaRef ds:uri="http://purl.org/dc/dcmitype/"/>
    <ds:schemaRef ds:uri="http://schemas.microsoft.com/office/2006/metadata/properties"/>
    <ds:schemaRef ds:uri="http://schemas.microsoft.com/office/2006/documentManagement/types"/>
    <ds:schemaRef ds:uri="http://schemas.microsoft.com/office/infopath/2007/PartnerControls"/>
    <ds:schemaRef ds:uri="ad955218-927d-446f-bd94-718ac5e6255c"/>
    <ds:schemaRef ds:uri="56f694ce-0d8d-4140-af7b-51105567e791"/>
    <ds:schemaRef ds:uri="http://www.w3.org/XML/1998/namespace"/>
    <ds:schemaRef ds:uri="http://purl.org/dc/terms/"/>
    <ds:schemaRef ds:uri="http://purl.org/dc/elements/1.1/"/>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Autorizzazione Alessandro</ap:Template>
  <ap:Application>Microsoft Word for the web</ap:Application>
  <ap:DocSecurity>0</ap:DocSecurity>
  <ap:ScaleCrop>false</ap:ScaleCrop>
  <ap:Company>Proelia Sistemi Srl</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Ragione Sociale</dc:title>
  <dc:subject/>
  <dc:creator>Settembre Davide</dc:creator>
  <cp:keywords/>
  <dc:description/>
  <cp:lastModifiedBy>Luca Iattici</cp:lastModifiedBy>
  <cp:revision>81</cp:revision>
  <cp:lastPrinted>2018-04-19T13:54:00Z</cp:lastPrinted>
  <dcterms:created xsi:type="dcterms:W3CDTF">2018-04-19T13:56:00Z</dcterms:created>
  <dcterms:modified xsi:type="dcterms:W3CDTF">2025-09-25T14:00:07Z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0x0101000CC961CE0EB86C4BAF5FBA22B52F24DB</vt:lpwstr>
  </property>
  <property fmtid="{D5CDD505-2E9C-101B-9397-08002B2CF9AE}" pid="3" name="MediaServiceImageTags">
    <vt:lpwstr/>
  </property>
  <property fmtid="{D5CDD505-2E9C-101B-9397-08002B2CF9AE}" pid="5" name="docLang">
    <vt:lpwstr>it</vt:lpwstr>
  </property>
</Properties>
</file>