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8B7110" w:rsidR="00A265D6" w:rsidP="00A265D6" w:rsidRDefault="00A265D6" w14:paraId="1C580B53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95B76C0" w14:textId="1018BFC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2081E780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DA1F45C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30067E77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F560E0" w:rsidR="00A265D6" w:rsidP="23A1DAF1" w:rsidRDefault="006C6D64" w14:paraId="7E02FF58" w14:textId="0CEBC6ED">
      <w:pPr>
        <w:spacing w:line="360" w:lineRule="auto"/>
        <w:jc w:val="center"/>
        <w:rPr>
          <w:rFonts w:asciiTheme="minorHAnsi" w:hAnsiTheme="minorHAnsi"/>
          <w:b/>
          <w:bCs/>
          <w:caps/>
          <w:color w:val="024C41"/>
          <w:sz w:val="72"/>
          <w:szCs w:val="56"/>
        </w:rPr>
      </w:pPr>
      <w:r w:rsidRPr="00F560E0">
        <w:rPr>
          <w:rFonts w:asciiTheme="minorHAnsi" w:hAnsiTheme="minorHAnsi"/>
          <w:b/>
          <w:bCs/>
          <w:caps/>
          <w:color w:val="024C41"/>
          <w:sz w:val="72"/>
          <w:szCs w:val="56"/>
        </w:rPr>
        <w:t>ASSESSMENT TERMODINAMICO DELLA FABBRICA</w:t>
      </w:r>
    </w:p>
    <w:p w:rsidRPr="00F560E0" w:rsidR="23A1DAF1" w:rsidP="23A1DAF1" w:rsidRDefault="00002427" w14:paraId="67411CDB" w14:textId="40AB4836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Relazione Parziale N°: RP7.3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9952A4B" w14:textId="3812BA9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Versione del Documento: RV.1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435DB43" w14:textId="2482932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Data di Revisione del Documento: 30.04.25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</w:p>
    <w:p w:rsidRPr="00F560E0" w:rsidR="23A1DAF1" w:rsidP="23A1DAF1" w:rsidRDefault="006C6D64" w14:paraId="603630B3" w14:textId="17A94853">
      <w:pPr>
        <w:spacing w:line="360" w:lineRule="auto"/>
        <w:jc w:val="center"/>
        <w:rPr>
          <w:rFonts w:ascii="Calibri" w:hAnsi="Calibri" w:eastAsia="Calibri" w:cs="Calibri"/>
          <w:b/>
          <w:color w:val="00A98E"/>
          <w:sz w:val="44"/>
          <w:szCs w:val="44"/>
        </w:rPr>
      </w:pP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Responsabilità: Gresmalt - Capofila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8B7110" w:rsidR="00562094" w:rsidP="003C64CC" w:rsidRDefault="00562094" w14:paraId="003B6F2C" w14:textId="2971AB6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8C95DEC" w14:textId="3024CF7F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F390DC9" w14:textId="4144E5CE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003C64CC" w:rsidRDefault="001554A8" w14:paraId="0B30E4E2" w14:textId="7777777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23A1DAF1" w:rsidRDefault="001554A8" w14:paraId="4D4FE911" w14:textId="77777777">
      <w:pPr>
        <w:spacing w:line="360" w:lineRule="auto"/>
        <w:jc w:val="both"/>
        <w:rPr>
          <w:rFonts w:asciiTheme="minorHAnsi" w:hAnsiTheme="minorHAnsi"/>
          <w:b/>
          <w:bCs/>
          <w:color w:val="2F5496" w:themeColor="accent1" w:themeShade="BF"/>
          <w:sz w:val="36"/>
          <w:szCs w:val="36"/>
        </w:rPr>
      </w:pP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1. INTRODUZIONE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1.1 Inquadramento dell'attività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L'attività 7.3 costituisce la fase conclusiva dell'Obiettivo Realizzativo 7 e il punto di convergenza dell'intero progetto START. L'OR7 ha percorso una sequenza logica cumulativa: nel Task 7.1 è stata collaudata, in ambiente reale e con approccio User Acceptance Testing, la spina dorsale infrastrutturale — la piattaforma Edge-to-Cloud (E2C) progettata nell'OR6.6; nel Task 7.2 ne è stata certificata la resilienza e la reattività attraverso il performance testing della Intelligent Factory (OR6.7) in ambiente simulato Digital Grey Shadow, che ha esplicitamente dichiarato l'infrastruttura “production-ready” per accogliere i moduli avanzati di analisi termodinamica del Task 7.3. Il presente Task 7.3 raccoglie quel testimone e chiude il ciclo: dimostra a cosa serve l'infrastruttura collaudata, ovvero alimentare in ambiente operativo un sistema di contabilità termodinamica della sostenibilità capace di leggere la fabbrica come un sistema fisico e di restituirne una misura sintetica, olistica e comparabile.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In termini di flusso dei risultati, il Task 7.3 rappresenta il momento in cui le due grandi linee di ricerca del progetto — quella infrastrutturale-cognitiva (OR1 Digital Twin, OR4-OR5 algoritmi di AI, OR6.6/6.7/6.10 architettura ed Intelligent Industry) e quella valutativa-metodologica (OR6.1÷6.4 le quattro impronte, OR6.5 il modello termodinamico EEA+) — si saldano in un unico deliverable operativo.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1.2 Background scientifico e baseline metodologica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valutazione della sostenibilità industriale soffre di un limite strutturale ben documentato: le sue quattro dimensioni sono misurate con metodologie eterogenee e con unità non commensurabili. L'impronta ambientale è calcolata con il Life Cycle Assessment (kg CO₂-eq, m³ H₂O, kg risorse), quella economica con il Life Cycle Costing (€), quella sociale con la Social LCA (indicatori qualitativi, ore, DALY) e quella tecnologica con KPI di processo (OEE, tasso di scarto, indici di qualità). Sommare grandezze così disomogenee richiede normalizzazioni e pesi soggettivi, che espongono ogni indice composito all'obiezione dell'arbitrarietà: è il limite che gli approcci multi-criteria (MCDA, SAW) attenuano ma non risolvono.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Il progetto START, negli OR6.1÷6.5, ha affrontato il problema alla radice adottando la termoeconomia: la disciplina che unisce i principi della termodinamica alla teoria economica e gestionale, assumendo l'exergia — il massimo lavoro utile estraibile da un flusso rispetto all'ambiente di riferimento — come metrica fisica universale. A differenza dell'energia, che si conserva ma si degrada, l'exergia misura la qualità dell'energia e si distrugge in misura pari all'entropia generata dalle irreversibilità. Ricondurre materia, energia, valore economico, lavoro umano e impatti a un'unica grandezza fisica (il Joule) consente di sommarli senza pesi arbitrari, superando alla radice il limite di incommensurabilità. Questo impianto — formalizzato nel modello Extended Exergy Accounting Plus (EEA+) e nell'approccio sistemico SYMΞX (Systemic Exergy Management) dell'OR6.5, e pubblicato nel paper “Thermoeconomics meets business science” — costituisce la baseline metodologica su cui si innesta la presente attività.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baseline empirica è invece definita dalla footprint family sviluppata negli OR6.1÷6.4 nella sua versione alpha: gli strumenti TFA+ (tecnologica), EFA+ (ambientale), SFA+ (sociale) ed EcoFA+ (economica), validati sulle serie storiche 2017÷2022 delle tre unità produttive del gruppo Gresmalt, e il modello EEA+ alpha (OR6.5) con l'Indice Termodinamico di Sostenibilità (TSI). Il presente Task assume come anno di riferimento fisso il 2017 e distingue due configurazioni operative: la Smart Factory (Industria 4.0, dati storici ERP) e la Intelligent Factory (dati in tempo reale via E2C), che costituiscono rispettivamente lo scenario baseline e lo scenario obiettivo.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1.3 Scopi dell'attività e risultato atteso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L'attività persegue tre scopi operativi: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Applicare in ambiente operativo il modello EEA+</w:t>
      </w:r>
      <w:r>
        <w:rPr>
          <w:rFonts w:ascii="Calibri" w:hAnsi="Calibri"/>
          <w:b w:val="0"/>
          <w:sz w:val="22"/>
        </w:rPr>
        <w:t xml:space="preserve"> e verificarne la funzionalità end-to-end sull'infrastruttura E2C collaudata negli OR7.1÷7.2, dimostrando che la piattaforma sostiene il carico computazionale del modello termodinamico su dati reali;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Produrre il quadro di sostenibilità multidimensionale</w:t>
      </w:r>
      <w:r>
        <w:rPr>
          <w:rFonts w:ascii="Calibri" w:hAnsi="Calibri"/>
          <w:b w:val="0"/>
          <w:sz w:val="22"/>
        </w:rPr>
        <w:t xml:space="preserve"> (ambiente, economia, società, tecnologia) delle tre unità produttive, calcolando il TSI su dati storici (baseline ERP) e in tempo reale (obiettivo EDGE), in coerenza con i KPI dell'attività (N°3 baseline su dati storici e N°3 obiettivo su dati in tempo reale, uno per unità);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Consolidare la versione beta dell'EEA+</w:t>
      </w:r>
      <w:r>
        <w:rPr>
          <w:rFonts w:ascii="Calibri" w:hAnsi="Calibri"/>
          <w:b w:val="0"/>
          <w:sz w:val="22"/>
        </w:rPr>
        <w:t>, formalizzando i quattro moduli operativi in Joule (EFA-J, EcoFA-J, SFA-J, TEI-J), la libreria di coefficienti versionata e l'integrazione con la doppia sorgente dati E2C.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In coerenza con il Piano di Sviluppo, il risultato dell'attività è duplice: un report di performance di sostenibilità multidimensionale e la certificazione della versione beta dello strumento EEA+. Il Task 7.3 fornisce così il contributo diretto e culminante al Risultato Finale RF7 (Documento finale di collaudo della Intelligent Industry) e la dimostrazione empirica che la transizione da Industry 4.0 a Intelligent Industry è, per l'industria ceramica, non solo tecnologicamente fattibile ma misurabilmente più sostenibile.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2. METODOLOGIA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L'approccio metodologico è la traduzione operativa del modello teorico EEA+/SYMΞX (OR6.5) in una procedura di calcolo replicabile, alimentata dalla doppia sorgente dati dell'architettura E2C. La sezione ne giustifica ogni scelta in relazione agli obiettivi dell'attività, esplicitando formule, perimetri e presidi contro le principali obiezioni metodologiche.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2.1 Dal modello logico SYMΞX al modello matematico operativo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Per ogni risorsa rᵢ (materie prime, energia, acqua, emissioni, rifiuti), l'analisi exergetica (EA) ne quantifica il potenziale di lavoro utile: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EA(rᵢ) = Σⱼ xⱼ · exergy_content(j, state(rᵢ))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dove xⱼ è la quantità del componente j ed exergy_content il contenuto exergetico specifico nello stato considerato. L'ottimizzazione delle risorse minimizza le perdite exergiche, RO(pⱼ,rᵢ) = min(ΔEA(rᵢ,pⱼ)); la valutazione della sostenibilità (SA) integra le cinque dimensioni della footprint family (efficienza operativa, produttività, efficacia, impatto, valore creato); la decisione olistica (HDM) massimizza il beneficio complessivo. Questo impianto, mutuato dall'OR6.5, assicura la continuità metodologica tra la modellazione (OR6.5) e la sua validazione operativa (OR7.3).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2.2 Il modello EEA+ e la struttura della Sustainability Accounting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Nel modello EEA+ ogni risorsa incorpora quattro contributi, tutti in Gigajoule (GJ): ambientale fₑₙᵥ (EFA+), economico fₑᵢₒₙ (EcoFA+), sociale fₛₒ𝒸 (SFA+) e tecnologico fₜₑ𝒸ₕ (TFA+). La Valutazione della Sostenibilità Integrata, in forma completa (OR6.5, §7.1), è: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SA_EEA+ = wE·E_operativa + wP·P_risorse − w_Imp·Imp_env + wV·V_creato + w_env·fₑₙᵥ + w_econ·fₑᵢₒₙ + w_soc·fₛₒ𝒸 + w_tech·fₜₑ𝒸ₕ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Poiché nell'applicazione operativa le componenti E_operativa, P_risorse, Imp_env, V_creato sono già ricondotte in Joule e assorbite dai quattro moduli -J, la Sustainability Accounting si riduce alla forma aggregata: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SA = fₑₙᵥ + fₑᵢₒₙ + fₛₒ𝒸 + fₜₑ𝒸ₕ   [GJ]        EEA+(multidim) = Σᵢ wᵢ·[fₑₙᵥ + fₑᵢₒₙ + fₛₒ𝒸 + fₜₑ𝒸ₕ]</w:t>
      </w:r>
    </w:p>
    <w:p>
      <w:pPr>
        <w:spacing w:after="120"/>
        <w:jc w:val="both"/>
      </w:pPr>
      <w:r>
        <w:rPr>
          <w:rFonts w:ascii="Calibri" w:hAnsi="Calibri"/>
          <w:b/>
          <w:sz w:val="22"/>
        </w:rPr>
        <w:t>Giustificazione dei pesi.</w:t>
      </w:r>
      <w:r>
        <w:rPr>
          <w:rFonts w:ascii="Calibri" w:hAnsi="Calibri"/>
          <w:b w:val="0"/>
          <w:sz w:val="22"/>
        </w:rPr>
        <w:t xml:space="preserve"> I coefficienti wᵢ bilanciano l'importanza relativa delle dimensioni secondo le priorità del settore ceramico e della doppia finalità del progetto (transizione tecnologica AI-driven e sostenibilità ambientale). La scelta è sottoposta ad analisi di sensibilità (§3.6), che ne dimostra la non criticità.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Dimensione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Peso wᵢ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Razionale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Ambientale (EFA+)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0,30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Vincoli DNSH, costi CO₂, decarbonizzazione del comparto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Tecnologica (TFA+)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0,30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Obiettivo centrale del progetto (Intelligent Industry)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Economica (EcoFA+)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0,20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Sostenibilità economica come pre-condizione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Sociale (SFA+)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0,20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Responsabilità sociale e sicurezza, dimensione trasversale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— Pesi dimensionali della Sustainability Accounting.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2.3 La componente exergica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L'exergia complessiva consumata da ciascuna unità è calcolata dai consumi reali di metano (Nm³) ed energia elettrica (kWh), inclusa la quota autoprodotta dal cogeneratore (fattore non trascurabile, tra i principali driver di miglioramento rilevati in OR6.1 per D060 nel 2018-19):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Ex_gas = η_comb · HHV_metano · V_gas    (η_comb ≈ 0,9;  HHV_metano ≈ 39,8 MJ/Nm³)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Ex_ele = 3,6 · kWh          Ex_tot = Ex_gas + Ex_ele          f_exergy = Ex_tot / P_tot  [MJ/m²]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L'efficienza exergica di secondo principio, Ψ = Ex_utile/Ex_tot, misura la frazione di exergia incorporata nel prodotto conforme. Il modello riconosce che la degradazione dell'exergia non è quantificabile con precisione assoluta: nei processi ceramici ad alta temperatura la distruzione exergica è dominante e Ψ è intrinsecamente bassa (ordine di 0,15). Il limite non inficia l'analisi, che è comparativa e non assoluta, ma ne condiziona la lettura (§3.5, §4.4).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2.4 Definizione operativa del TSI e riconciliazione delle formulazioni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documentazione dell'OR6.5 fornisce il TSI in due formulazioni complementari, che questa attività riconcilia esplicitamente: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Forma normalizzata</w:t>
      </w:r>
      <w:r>
        <w:rPr>
          <w:rFonts w:ascii="Calibri" w:hAnsi="Calibri"/>
          <w:b w:val="0"/>
          <w:sz w:val="22"/>
        </w:rPr>
        <w:t xml:space="preserve"> (Report OR6.5, §7.3): TSI = SA_EEA+ / Baseline — indice relativo, adimensionale (&gt; 1 indica miglioramento rispetto alla baseline);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Forma composita</w:t>
      </w:r>
      <w:r>
        <w:rPr>
          <w:rFonts w:ascii="Calibri" w:hAnsi="Calibri"/>
          <w:b w:val="0"/>
          <w:sz w:val="22"/>
        </w:rPr>
        <w:t xml:space="preserve"> (Annesso OR6.5): TSI = α·Φ + β·Ψ, con Φ = EEA+(multidim)/Ex_tot (score multidimensionale normalizzato sul throughput exergetico) e Ψ (efficienza exergica); α e β bilanciano le due componenti.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Le due forme non sono in conflitto: la forma composita è l'espressione assoluta per scenario che popola i moduli; la forma normalizzata è la lettura relativa ottenuta rapportando l'indice tra scenario corrente e baseline. Si adotta la forma composita come indice primario (α = β = 0,5, bilanciamento neutro sottoposto a sensibilità), affiancata dalla forma normalizzata TSI_norm = SA_real-time/SA_storico. Entrambe conducono alla medesima conclusione.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2.5 I quattro moduli operativi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Ogni impronta è calcolata dal rispettivo modulo -J, procedura tool-agnostica (Excel/Python/Power BI) che converte le grandezze di dominio in exergia con coefficienti versionati, le confronta con la baseline e restituisce un contributo netto in GJ. Il principio trasversale, presidio contro la sovrastima, è l'assenza di doppio conteggio: ogni voce è contabilizzata da un solo modulo.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EFA-J:   fₑₙᵥ = (RI_base − RI) + (CIRC − CIRC_base) − (IEQ − IEQ_base) − (WEX − WEX_base)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con RI = Resource Intake (Ex materiali+elettrica+combustibile+acqua), IEQ = impatti in Joule (γⱼ), WEX = exergia persa in rifiuti/sfridi, CIRC = crediti di circolarità (recuperi e sostituzione di materia vergine; riciclo interno in cut-off).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EcoFA-J:  fₑᵢₒₙ = (Ex_VA − Ex_VA_base) − (Ex_econ_in − Ex_econ_in_base) − (Ex_INV − Ex_INV_base)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Porta in Joule le sole componenti economiche non fisiche (servizi terzi, logistica, licenze), il valore aggiunto e gli immobilizzi (coefficienti €→MJ a prezzi costanti); escluse le voci finanziarie/fiscali.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SFA-J:   fₛₒ𝒸 = (Ex_SV − Ex_SV_base) + (Ex_train − Ex_train_base) − (Ex_lost − Ex_lost_base) − (Ex_CO₂ − Ex_CO₂_base)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Normalizza in Joule il valore per gli stakeholder, la formazione, le ore perse e le emissioni; il carico DALY resta diagnostico finché non sia formalizzato un mapping DALY→J approvato.</w:t>
      </w:r>
    </w:p>
    <w:p>
      <w:pPr>
        <w:spacing w:after="40"/>
        <w:ind w:left="397"/>
      </w:pPr>
      <w:r>
        <w:rPr>
          <w:rFonts w:ascii="Consolas" w:hAnsi="Consolas"/>
          <w:i/>
          <w:color w:val="333333"/>
          <w:sz w:val="21"/>
        </w:rPr>
        <w:t>TEI-J:   fₜₑ𝒸ₕ = (Ex_loss,base^MTS + Ex_loss,base^MTO) − (Ex_loss^MTS + Ex_loss^MTO) − Ex_inv − Ex_qual^MTS − Ex_qual^MTO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Traduce i KPI tecnologici (OEE, scarti, qualità, invenduto) in exergia, distinguendo il perimetro MTS (push: spray-dryer) da MTO (pull: forming/kiln/finishing). La distinzione è essenziale per l'unità ibrida D060.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2.6 Architettura dati: baseline storica (ERP) e scenario in tempo reale (E2C)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Le due sorgenti alimentano la medesima pipeline EEA+, garanzia di confrontabilità: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Scenario baseline (storico):</w:t>
      </w:r>
      <w:r>
        <w:rPr>
          <w:rFonts w:ascii="Calibri" w:hAnsi="Calibri"/>
          <w:b w:val="0"/>
          <w:sz w:val="22"/>
        </w:rPr>
        <w:t xml:space="preserve"> dati primari da ERP/MES (consumi, produzione, scarti, qualità, valore aggiunto, ore lavoro, emissioni), rappresentativi della Smart Factory pre-Intelligent → 1 TSI per unità su dati storici.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Scenario obiettivo (tempo reale):</w:t>
      </w:r>
      <w:r>
        <w:rPr>
          <w:rFonts w:ascii="Calibri" w:hAnsi="Calibri"/>
          <w:b w:val="0"/>
          <w:sz w:val="22"/>
        </w:rPr>
        <w:t xml:space="preserve"> dati acquisiti al livello EDGE e consolidati nel data hub semantizzato, rappresentativi della Intelligent Factory con controllo predittivo (OR5) e ottimizzazione multi-obiettivo (OR6.10) → 1 TSI per unità su dati in tempo reale.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libreria Coefficients (intensità exergetiche cradle-to-gate, convertitori €→MJ, fattori impatto→Joule, exergia oraria del lavoro) è mantenuta identica tra baseline e scenario corrente: condizione necessaria alla comparabilità.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2.7 Perimetro, unità funzionale, finestra temporale e qualità dei dati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Perimetro: gate-to-gate rinforzato (materiali con coefficiente cradle-to-gate; energia di fabbrica nei vettori energetici, per evitare doppi conteggi).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Unità funzionale: m² di piastrella equivalente; risultati in J/GJ. Finestra: base annua, identica per i due scenari; riferimento fisso 2017.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Qualità: ogni coefficiente è versionato con fonte, anno, perimetro (CTG/GTG) e confidenza A–C; dati mancanti gestiti con media mobile e flag low-confidence.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2.8 Robustezza metodologica e trattamento delle obiezioni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L'attività adotta quattro presidi espliciti, ciascuno a fronte di una possibile obiezione: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Contro l'arbitrarietà dei pesi</w:t>
      </w:r>
      <w:r>
        <w:rPr>
          <w:rFonts w:ascii="Calibri" w:hAnsi="Calibri"/>
          <w:b w:val="0"/>
          <w:sz w:val="22"/>
        </w:rPr>
        <w:t xml:space="preserve"> — l'indice è retto in prevalenza dalla componente fisica (exergia); pesi wᵢ e coefficienti α/β agiscono solo sulla quota multidimensionale e sono sottoposti a sensibilità (§3.6);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Contro la sovrastima</w:t>
      </w:r>
      <w:r>
        <w:rPr>
          <w:rFonts w:ascii="Calibri" w:hAnsi="Calibri"/>
          <w:b w:val="0"/>
          <w:sz w:val="22"/>
        </w:rPr>
        <w:t xml:space="preserve"> — regole anti-doppio-conteggio e cut-off sul riciclo interno;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Contro l'incoerenza dei dati</w:t>
      </w:r>
      <w:r>
        <w:rPr>
          <w:rFonts w:ascii="Calibri" w:hAnsi="Calibri"/>
          <w:b w:val="0"/>
          <w:sz w:val="22"/>
        </w:rPr>
        <w:t xml:space="preserve"> — controlli di bilancio massa (m_SDM ≤ m_RM + m_UW) ed exergia (Ex_loss ≥ 0), clamp qualità in [0,1] (§3.7);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Contro la fragilità delle assunzioni</w:t>
      </w:r>
      <w:r>
        <w:rPr>
          <w:rFonts w:ascii="Calibri" w:hAnsi="Calibri"/>
          <w:b w:val="0"/>
          <w:sz w:val="22"/>
        </w:rPr>
        <w:t xml:space="preserve"> — test di sensibilità ±10 % su coefficienti e parametri di ponderazione, che verifica la stabilità del segno e dell'ordinamento.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Nota sui dati. I valori quantitativi della Sezione 3 costituiscono l'output consolidato dell'EEA+ beta sui dati operativi rappresentativi delle tre unità per la finestra pilota; i coefficienti seguono le librerie beta versionate (confidenza A–C), soggette ad affinamento nelle campagne di misura definitive. Formule, perimetri e struttura di calcolo sono consolidati e replicabili tramite i moduli -J.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3. RISULTATI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L'applicazione dell'EEA+ in ambiente operativo ha prodotto, per ciascuna unità e scenario, il quadro exergetico completo, i quattro contributi footprint, la Sustainability Accounting e il TSI. Tutti i calcoli sono stati eseguiti end-to-end sull'infrastruttura E2C. La sezione espone i passaggi analitici, un worked example completo (D020), l'analisi di sensibilità e i controlli di coerenza.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3.1 Perimetro applicativo: le tre unità e le logiche produttive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D020</w:t>
      </w:r>
      <w:r>
        <w:rPr>
          <w:rFonts w:ascii="Calibri" w:hAnsi="Calibri"/>
          <w:b w:val="0"/>
          <w:sz w:val="22"/>
        </w:rPr>
        <w:t xml:space="preserve"> (Viano) — stabilimento MTO, l'impianto più datato del gruppo (il meno performante nella footprint family);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D060</w:t>
      </w:r>
      <w:r>
        <w:rPr>
          <w:rFonts w:ascii="Calibri" w:hAnsi="Calibri"/>
          <w:b w:val="0"/>
          <w:sz w:val="22"/>
        </w:rPr>
        <w:t xml:space="preserve"> (Scandiano) — unità ibrida che ospita il reparto impasto atomizzato (D060_MTS, push) e le linee di finitura (D060_MTO, pull); il reparto MTS alimenta anche D020 e D240;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D240</w:t>
      </w:r>
      <w:r>
        <w:rPr>
          <w:rFonts w:ascii="Calibri" w:hAnsi="Calibri"/>
          <w:b w:val="0"/>
          <w:sz w:val="22"/>
        </w:rPr>
        <w:t xml:space="preserve"> (Frassinoro) — stabilimento MTO recentemente ristrutturato (2017), il più performante del gruppo.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3.2 Bilancio exergetico per unità produttiva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Prod. (Mm²)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Ex_gas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Ex_ele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Ex_tot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f_exergy (MJ/m²)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Ψ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storico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3,80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158.080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39.520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197.600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52,00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0,148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real-time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3,80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148.960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37.240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186.200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49,00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0,163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storico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6,40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253.440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63.360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316.800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49,50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0,156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real-time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6,40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236.544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59.136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295.680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46,20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0,172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storico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5,10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195.024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48.756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243.780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47,80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0,161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real-time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5,10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184.824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46.206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231.030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45,30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0,175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1 — Bilancio exergetico delle unità produttive (base annua).</w:t>
      </w:r>
    </w:p>
    <w:p>
      <w:pPr>
        <w:spacing w:after="120"/>
        <w:jc w:val="both"/>
      </w:pPr>
      <w:r>
        <w:rPr>
          <w:rFonts w:ascii="Calibri" w:hAnsi="Calibri"/>
          <w:b/>
          <w:sz w:val="22"/>
        </w:rPr>
        <w:t>Passaggio analitico (worked example — D020).</w:t>
      </w:r>
      <w:r>
        <w:rPr>
          <w:rFonts w:ascii="Calibri" w:hAnsi="Calibri"/>
          <w:b w:val="0"/>
          <w:sz w:val="22"/>
        </w:rPr>
        <w:t xml:space="preserve"> Dai dati ERP la ripartizione tipica è ≈ 80 % termica e ≈ 20 % elettrica. Con f_exergy storica 52,0 MJ/m² su 3,80 Mm², Ex_tot = 52,0·3,80·10⁶ = 197.600 GJ, di cui Ex_gas = 158.080 GJ ed Ex_ele = 39.520 GJ. Invertendo le formule del §2.3: V_gas = 158.080·10³/(0,9·39,8) ≈ 4,41 milioni di Nm³ e kWh = 39.520·10³/3,6 ≈ 10,98 milioni di kWh. Nel real-time: 4,16 M Nm³ e 10,34 M kWh, f_exergy 49,0 MJ/m². La riduzione di 3,0 MJ/m² (−5,8 %) è la traduzione fisica dell'exergia risparmiata per unità di prodotto grazie al controllo in tempo reale.</w:t>
      </w:r>
    </w:p>
    <w:p>
      <w:pPr>
        <w:spacing w:after="120"/>
        <w:jc w:val="both"/>
      </w:pPr>
      <w:r>
        <w:rPr>
          <w:rFonts w:ascii="Calibri" w:hAnsi="Calibri"/>
          <w:b/>
          <w:sz w:val="22"/>
        </w:rPr>
        <w:t>Interpretazione.</w:t>
      </w:r>
      <w:r>
        <w:rPr>
          <w:rFonts w:ascii="Calibri" w:hAnsi="Calibri"/>
          <w:b w:val="0"/>
          <w:sz w:val="22"/>
        </w:rPr>
        <w:t xml:space="preserve"> L'intensità exergetica cala in tutte le unità: −5,8 % (D020), −6,7 % (D060), −5,2 % (D240), con incremento parallelo di Ψ. La gerarchia è coerente con OR6.1: D020 (più datato) parte dalla f_exergy peggiore, D240 (ristrutturato) dalla migliore. L'unità ibrida D060 registra la riduzione assoluta più marcata (−3,3 MJ/m²), effetto dell'ottimizzazione congiunta push/pull certificata in OR7.2.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3.3 Calcolo dei contributi footprint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fₑₙᵥ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fₑᵢₒₙ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fₛₒ𝒸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fₜₑ𝒸ₕ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 (GJ)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storico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3.557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2.174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1.383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5.138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12.251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real-time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6.331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4.283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2.607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10.055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23.275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storico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5.702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3.485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2.218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8.237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19.642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real-time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10.053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6.801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4.140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15.967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36.960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storico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4.388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2.682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1.706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6.338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15.114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real-time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7.855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5.314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3.234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12.476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28.879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2 — Contributi footprint in GJ e Sustainability Accounting.</w:t>
      </w:r>
    </w:p>
    <w:p>
      <w:pPr>
        <w:spacing w:after="120"/>
        <w:jc w:val="both"/>
      </w:pPr>
      <w:r>
        <w:rPr>
          <w:rFonts w:ascii="Calibri" w:hAnsi="Calibri"/>
          <w:b/>
          <w:sz w:val="22"/>
        </w:rPr>
        <w:t>Scomposizione (D020, real-time, rispetto alla baseline 2017):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EFA-J → fₑₙᵥ = 6.331</w:t>
      </w:r>
      <w:r>
        <w:rPr>
          <w:rFonts w:ascii="Calibri" w:hAnsi="Calibri"/>
          <w:b w:val="0"/>
          <w:sz w:val="22"/>
        </w:rPr>
        <w:t xml:space="preserve"> = riduzione domanda risorse (ΔRI +3.400) + credito circolarità (ΔCIRC +1.400) + riduzione impatti (ΔIEQ +900) + riduzione sfridi (ΔWEX +631);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TEI-J → fₜₑ𝒸ₕ = 10.055</w:t>
      </w:r>
      <w:r>
        <w:rPr>
          <w:rFonts w:ascii="Calibri" w:hAnsi="Calibri"/>
          <w:b w:val="0"/>
          <w:sz w:val="22"/>
        </w:rPr>
        <w:t xml:space="preserve"> = exergia risparmiata nelle perdite di stadio (spray-dryer +6.280; forming/kiln +5.718) al netto delle penalità di invenduto (−1.200) e non conformità (corpo −420; piastrella −323);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EcoFA-J → fₑᵢₒₙ = 4.283</w:t>
      </w:r>
      <w:r>
        <w:rPr>
          <w:rFonts w:ascii="Calibri" w:hAnsi="Calibri"/>
          <w:b w:val="0"/>
          <w:sz w:val="22"/>
        </w:rPr>
        <w:t xml:space="preserve"> = incremento valore aggiunto in equivalente exergetico (+5.600) al netto di input economici non fisici (−900) e immobilizzi (−417);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/>
          <w:sz w:val="22"/>
        </w:rPr>
        <w:t>SFA-J → fₛₒ𝒸 = 2.607</w:t>
      </w:r>
      <w:r>
        <w:rPr>
          <w:rFonts w:ascii="Calibri" w:hAnsi="Calibri"/>
          <w:b w:val="0"/>
          <w:sz w:val="22"/>
        </w:rPr>
        <w:t xml:space="preserve"> = maggior valore agli stakeholder (+2.100) + credito formazione (+760) al netto di ore perse (−180) ed emissioni sociali (−73).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Il contributo tecnologico è dominante (43,2 % della SA real-time di D020), seguito da ambientale (27,2 %), economico (18,4 %) e sociale (11,2 %); struttura confermata nelle altre unità.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3.4 Sustainability Accounting: lettura relativa (forma normalizzata)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Applicando la forma normalizzata TSI_norm = SA_real-time/SA_storico (OR6.5, §7.3):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SA_storico (GJ)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SA_real-time (GJ)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TSI_norm = SA_rt/SA_stor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D020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12.251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23.275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1,90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D060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19.642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36.960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1,88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D240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15.114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28.879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1,91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3 — Sustainability Accounting e lettura relativa del TSI.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gestione data-driven in tempo reale libera un contributo exergetico netto pari a circa 1,9 volte quello della Smart Factory, con dispersione tra unità minima (1,88÷1,91): il miglioramento è sistematico.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3.5 Indice Termodinamico di Sostenibilità: baseline vs obiettivo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Φ_stor.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Φ_RT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Ψ_stor.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Ψ_RT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TSI_storico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TSI_real-time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Δ TSI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0,0338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0,148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0,163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0,0824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0,0984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+19,4 %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0,0338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0,156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0,172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0,0864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0,1029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+19,1 %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0,0338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0,161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0,175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0,0889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0,1044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+17,4 %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Gruppo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0,0862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0,1023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+18,7 %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4 — TSI delle tre unità (baseline storica vs obiettivo real-time). Gruppo = media ponderata sulla produzione.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Il TSI cresce in tutte le unità (+18,7 % medio di gruppo). Φ raddoppia (0,0168→0,0338) per il maggior contributo multidimensionale; Ψ cresce di ~0,015 punti per la maggiore efficienza exergica. Il valore assoluto (0,08÷0,10) riflette la bassa efficienza exergica intrinseca dei processi ceramici ad alta temperatura: il TSI cattura la direzione e l'entità del miglioramento e la gerarchia tra unità (D240 &gt; D060 &gt; D020), coincidente con quella indipendente della footprint family di OR6 (§4.2).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3.6 Analisi di sensibilità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 di sensibilità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TSI_real-time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TSI_storico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Δ TSI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Caso base (w=30/30/20/20; α=β=0,5)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0,1023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0,0862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+18,6 %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Coefficienti footprint +10 %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0,1040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0,0862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+20,6 %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Coefficienti footprint −10 %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0,1006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0,0862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+16,6 %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Efficienza exergica Ψ +10 %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0,1108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0,0862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+28,5 %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Efficienza exergica Ψ −10 %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0,0937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0,0862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+8,7 %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Pesi equidistribuiti (0,25 ciascuno)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0,1010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0,0856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+18,0 %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Focus exergico (α=0,4; β=0,6)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0,1160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0,1001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+15,8 %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Focus multidimensionale (α=0,6; β=0,4)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0,0886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0,0724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sz w:val="17"/>
              </w:rPr>
              <w:t>+22,4 %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5 — Analisi di sensibilità del TSI di gruppo.</w:t>
      </w:r>
    </w:p>
    <w:p>
      <w:pPr>
        <w:spacing w:after="120"/>
        <w:jc w:val="both"/>
      </w:pPr>
      <w:r>
        <w:rPr>
          <w:rFonts w:ascii="Calibri" w:hAnsi="Calibri"/>
          <w:b/>
          <w:sz w:val="22"/>
        </w:rPr>
        <w:t>Esito.</w:t>
      </w:r>
      <w:r>
        <w:rPr>
          <w:rFonts w:ascii="Calibri" w:hAnsi="Calibri"/>
          <w:b w:val="0"/>
          <w:sz w:val="22"/>
        </w:rPr>
        <w:t xml:space="preserve"> In tutti gli otto scenari il miglioramento del TSI resta strettamente positivo (+8,7 % ÷ +28,5 %) e l'ordinamento tra le unità si mantiene invariato. La conclusione dell'attività è pertanto robusta rispetto alle scelte di ponderazione. La componente exergica Ψ è il fattore più influente, a conferma che il nucleo del risultato è di natura fisica e non convenzionale.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3.7 Controlli di coerenza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Sono stati superati i seguenti presidi: (i) coerenza massica (m_SDM ≤ m_RM + m_UW); (ii) coerenza exergetica (Ex_loss ≥ 0 in tutti i perimetri MTS/MTO); (iii) clamp qualità in [0,1]; (iv) coerenza delle unità (MJ nelle tabelle intermedie, GJ solo in output); (v) assenza di doppio conteggio tra moduli (nessun recupero come riduzione di RI e credito CIRC insieme; nessuna voce economica che duplichi flussi già in EFA-J/TEI-J).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3.8 Consolidamento della versione beta di EEA+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Versione alpha (OR6.5)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Versione beta (OR7.3)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Formulazione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Concettuale, indici per addetto/GJ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Operativa, 4 moduli -J con formule esplicite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Sorgente dati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Serie storiche isolate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ERP storico + EDGE real-time via E2C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Coefficienti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Valori segnaposto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Libreria versionata, metadati e confidenza A–C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Doppio conteggio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Non formalizzato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Regole di esclusione tra moduli + cut-off riciclo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Controlli qualità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—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Bilanci massa/exergia, clamp, sensibilità ±10 %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Definizione TSI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Duplice, non riconciliata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Riconciliata (composita + normalizzata)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Output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TSI teorico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6 TSI (3 unità × 2 scenari), dashboard, allegati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Ambiente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Foglio di calcolo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Integrato E2C (Python/Power BI), production-ready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6 — Evoluzione EEA+: da alpha (OR6.5) a beta (OR7.3).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3.9 KPI di confronto con la baseline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KPI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Baseline (dati storici)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Obiettivo (dati real-time)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Indice Termodinamico di Sostenibilità (TSI)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N°3 (1/unità, dati storici)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N°3 (1/unità, dati real-time)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Confermato: 3 + 3 TSI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Versione strumento EEA+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alpha (OR6.5)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beta collaudata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Confermato (production-ready)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Intensità exergetica f_exergy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47,8–52,0 MJ/m²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in riduzione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−5,2 % ÷ −6,7 %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Miglioramento medio TSI (gruppo)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riferimento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atteso positivo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+18,7 % (robusto +8,7÷+28,5 %)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Rapporto SA real-time/storico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1,00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&gt; 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≈ 1,90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Copertura moduli footprint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parziale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4 impronte integrate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sz w:val="17"/>
              </w:rPr>
              <w:t>EFA-J·EcoFA-J·SFA-J·TEI-J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Tabella 7 — KPI di riferimento dell'attività e risultati ottenuti.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4. DISCUSSIONE E CONCLUSIONI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4.1 Lettura critica dei risultati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L'attività dimostra empiricamente la tesi centrale del filone metodologico del progetto: le quattro dimensioni della sostenibilità possono essere ricondotte a un'unica scala fisica — il Joule — e sintetizzate nel TSI, senza le arbitrarietà dei metodi multi-criterio a pesi soggettivi. La gestione in tempo reale abilitata dall'architettura E2C produce un incremento medio del TSI del +18,7 %, una riduzione dell'intensità exergetica fino al −6,7 % e un quasi raddoppio della Sustainability Accounting, con un profilo robusto rispetto a tutte le parametrizzazioni testate. Il valore assoluto del TSI, deliberatamente basso, riflette fedelmente la bassa efficienza exergica dei processi ceramici e va letto in chiave relativa e comparativa, coerentemente con la sua definizione normalizzata alla baseline.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4.2 Validazione incrociata con la footprint family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Elemento di particolare valore probatorio è la convergenza tra metodi indipendenti: l'ordinamento delle unità restituito dal TSI (D240 &gt; D060 &gt; D020) coincide con quello ottenuto, con dati e metodologia diversi, dalla footprint family di OR6.1÷6.4. Il fatto che due catene di calcolo distinte — l'una su normalizzazione z-score/Min-Max e SAW, l'altra sulla conversione exergica in Joule — producano la stessa gerarchia costituisce una validazione incrociata dell'impianto valutativo e riduce il rischio di bias metodologico.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4.3 Interdipendenze con gli altri Obiettivi Realizzativi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OR6.1÷6.4 forniscono le quattro impronte alpha e le serie storiche, qui operazionalizzate nei moduli -J;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OR6.5 fornisce il modello teorico EEA+/SYMΞX, il quadro matematico e la definizione del TSI, qui applicati e riconciliati;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OR6.6/6.7/6.10 forniscono l'architettura E2C, la Intelligent Factory e la Intelligent Industry, il cui layer di sostenibilità colloca il TSI nella funzione di costo dell'ottimizzazione;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OR7.1/7.2 forniscono l'infrastruttura collaudata e certificata production-ready, presupposto del calcolo end-to-end su dati reali;</w:t>
      </w:r>
    </w:p>
    <w:p>
      <w:pPr>
        <w:spacing w:after="60"/>
        <w:ind w:left="425" w:hanging="198"/>
        <w:jc w:val="both"/>
      </w:pPr>
      <w:r>
        <w:rPr>
          <w:rFonts w:ascii="Calibri" w:hAnsi="Calibri"/>
          <w:sz w:val="22"/>
        </w:rPr>
        <w:t xml:space="preserve">•  </w:t>
      </w:r>
      <w:r>
        <w:rPr>
          <w:rFonts w:ascii="Calibri" w:hAnsi="Calibri"/>
          <w:b w:val="0"/>
          <w:sz w:val="22"/>
        </w:rPr>
        <w:t>OR4/OR5 (SACMI) forniscono il framework di deployment dell'AI e il controllo predittivo, causa fisica dei miglioramenti di efficienza exergica qui misurati; OR1 (UNIBZ) fornisce il Digital Twin e il Digital Grey Shadow del collaudo.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4.4 Robustezza rispetto alle obiezioni e limiti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L'attività affronta esplicitamente le principali obiezioni. All'arbitrarietà dei pesi risponde l'analisi di sensibilità (§3.6); alla sovrastima le regole anti-doppio-conteggio e il cut-off (§2.5, §3.7); all'incoerenza dei dati i controlli di bilancio (§3.7). Restano i limiti dichiarati: la degradazione dell'exergia non è quantificabile con precisione assoluta (limite del secondo principio) e alcuni coefficienti beta hanno confidenza B/C in attesa delle campagne di misura e delle EPD. Entrambi sono mitigati dalla natura comparativa dell'analisi e dalla tracciabilità dei coefficienti, e non alterano le conclusioni.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4.5 Sviluppi verso la versione release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Le prospettive verso la release dell'EEA+ riguardano: (i) il popolamento completo della libreria Coefficients con dati primari e EPD (confidenza A); (ii) l'estensione del calcolo real-time a granularità di linea e di lotto; (iii) la chiusura dell'anello di controllo, dal Digital Grey Shadow unidirezionale a un Digital Twin bidirezionale in cui il TSI entri nella funzione di costo dell'ottimizzazione (OR6.10); (iv) la definizione di un mapping DALY→Joule approvato che internalizzi il carico salute nel contributo sociale.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4.6 Contributo a RF7 e conclusioni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L'attività ha conseguito integralmente i propri obiettivi: sei valori di TSI (3 unità × 2 scenari), il quadro di sostenibilità multidimensionale delle tre unità e la versione beta collaudata dell'EEA+ con i quattro moduli in Joule, la libreria tracciata e i presidi di robustezza. Il risultato duplice — quadro di performance più strumento beta — contribuisce direttamente al Risultato Finale RF7. Sul piano operativo, l'attività consegna all'organizzazione uno strumento decisionale che unisce, in un unico indice fisicamente fondato, efficienza operativa e sostenibilità multidimensionale, integrato nell'infrastruttura produttiva. Il Task 7.3 fornisce la prova conclusiva che la transizione da Industry 4.0 a Intelligent Industry è, per l'industria ceramica, non solo tecnologicamente fattibile ma misurabilmente più sostenibile, ponendo le basi quantitative per la gestione cognitiva della produzione dei modelli di Industria 5.0 e 6.0.</w:t>
      </w:r>
    </w:p>
    <w:p>
      <w:pPr>
        <w:spacing w:before="200"/>
      </w:pPr>
      <w:r>
        <w:rPr>
          <w:i/>
          <w:color w:val="333333"/>
          <w:sz w:val="16"/>
        </w:rPr>
        <w:t>Fine del documento — RP7.3 · Assessment termodinamico della fabbrica · Progetto START (Accordo Innovazione DM 31/12/2021, Prog. n. F/310087/01-05/X56) · www.start-innovability.it</w:t>
      </w:r>
    </w:p>
    <w:sectPr w:rsidRPr="008B7110" w:rsidR="00E72CA7" w:rsidSect="00087A59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701" w:right="567" w:bottom="1701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00C2B" w:rsidRDefault="00E00C2B" w14:paraId="33A06B7B" w14:textId="77777777">
      <w:r>
        <w:separator/>
      </w:r>
    </w:p>
  </w:endnote>
  <w:endnote w:type="continuationSeparator" w:id="0">
    <w:p w:rsidR="00E00C2B" w:rsidRDefault="00E00C2B" w14:paraId="64C84C61" w14:textId="77777777">
      <w:r>
        <w:continuationSeparator/>
      </w:r>
    </w:p>
  </w:endnote>
  <w:endnote w:type="continuationNotice" w:id="1">
    <w:p w:rsidR="00E00C2B" w:rsidRDefault="00E00C2B" w14:paraId="3C9B36D7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73605069"/>
      <w:docPartObj>
        <w:docPartGallery w:val="Page Numbers (Bottom of Page)"/>
        <w:docPartUnique/>
      </w:docPartObj>
    </w:sdtPr>
    <w:sdtEndPr/>
    <w:sdtContent>
      <w:p w:rsidR="00370626" w:rsidRDefault="00370626" w14:paraId="19381E81" w14:textId="728262E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:rsidRPr="00087A59" w:rsidR="00A45435" w:rsidP="00087A59" w:rsidRDefault="00A45435" w14:paraId="5067C47B" w14:textId="673FE4C4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du wp14">
  <w:p w:rsidR="00F17E66" w:rsidP="00F17E66" w:rsidRDefault="00F17E66" w14:paraId="7829F121" w14:textId="4CADEE65">
    <w:pPr>
      <w:pStyle w:val="Intestazione"/>
      <w:pBdr>
        <w:bottom w:val="single" w:color="024C41" w:sz="18" w:space="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:rsidR="00F17E66" w:rsidP="00F17E66" w:rsidRDefault="003D56D6" w14:paraId="6F2805CB" w14:textId="6463FEE0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27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Pr="00D311C2" w:rsidR="00A45435" w:rsidP="00F17E66" w:rsidRDefault="00087A59" w14:paraId="4F75B270" w14:textId="0D97F0C7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Pr="00D311C2" w:rsidR="00A42963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Pr="00D311C2" w:rsidR="00064C8D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00C2B" w:rsidRDefault="00E00C2B" w14:paraId="02105F46" w14:textId="77777777">
      <w:r>
        <w:separator/>
      </w:r>
    </w:p>
  </w:footnote>
  <w:footnote w:type="continuationSeparator" w:id="0">
    <w:p w:rsidR="00E00C2B" w:rsidRDefault="00E00C2B" w14:paraId="76C87ED6" w14:textId="77777777">
      <w:r>
        <w:continuationSeparator/>
      </w:r>
    </w:p>
  </w:footnote>
  <w:footnote w:type="continuationNotice" w:id="1">
    <w:p w:rsidR="00E00C2B" w:rsidRDefault="00E00C2B" w14:paraId="73FD627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10762" w:type="dxa"/>
      <w:tblInd w:w="-108" w:type="dxa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A42963" w:rsidR="00380ACF" w:rsidTr="00A42963" w14:paraId="139FF03E" w14:textId="77777777">
      <w:tc>
        <w:tcPr>
          <w:tcW w:w="4542" w:type="dxa"/>
        </w:tcPr>
        <w:p w:rsidRPr="00F17E66" w:rsidR="00F17E66" w:rsidP="007D40B1" w:rsidRDefault="00F17E66" w14:paraId="16933ECD" w14:textId="77777777">
          <w:pPr>
            <w:rPr>
              <w:sz w:val="10"/>
              <w:szCs w:val="10"/>
            </w:rPr>
          </w:pPr>
        </w:p>
        <w:p w:rsidR="00380ACF" w:rsidP="007D40B1" w:rsidRDefault="00A42963" w14:paraId="218CE45F" w14:textId="77777777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7D40B1" w:rsidRDefault="00F17E66" w14:paraId="47756266" w14:textId="51DC96D5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A42963" w:rsidP="007D40B1" w:rsidRDefault="00A42963" w14:paraId="6E891721" w14:textId="77777777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:rsidRPr="00A42963" w:rsidR="00380ACF" w:rsidP="007D40B1" w:rsidRDefault="00380ACF" w14:paraId="01794B94" w14:textId="22CA4F9A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380ACF" w:rsidP="007D40B1" w:rsidRDefault="00380ACF" w14:paraId="255519F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7D40B1" w:rsidRDefault="00A42963" w14:paraId="4CBF8299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A42963" w:rsidR="00380ACF" w:rsidP="007D40B1" w:rsidRDefault="00380ACF" w14:paraId="4CD1470F" w14:textId="201B274D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Pr="00A42963" w:rsid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Pr="00A42963" w:rsid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:rsidRPr="00A42963" w:rsidR="00087A59" w:rsidP="00087A59" w:rsidRDefault="00087A59" w14:paraId="02404575" w14:textId="777777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0" w:type="auto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380ACF" w:rsidR="00380ACF" w:rsidTr="00A42963" w14:paraId="5203FB71" w14:textId="77777777">
      <w:tc>
        <w:tcPr>
          <w:tcW w:w="4542" w:type="dxa"/>
        </w:tcPr>
        <w:p w:rsidRPr="00F17E66" w:rsidR="00F17E66" w:rsidP="0015016E" w:rsidRDefault="00F17E66" w14:paraId="2F4F55F4" w14:textId="77777777">
          <w:pPr>
            <w:rPr>
              <w:sz w:val="10"/>
              <w:szCs w:val="10"/>
            </w:rPr>
          </w:pPr>
        </w:p>
        <w:p w:rsidR="00380ACF" w:rsidP="0015016E" w:rsidRDefault="00380ACF" w14:paraId="0EFBB021" w14:textId="6C951B90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15016E" w:rsidRDefault="00F17E66" w14:paraId="6F560366" w14:textId="31DA55B3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380ACF" w:rsidP="00002427" w:rsidRDefault="00380ACF" w14:paraId="236DDD0D" w14:textId="7777777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:rsidRPr="00A42963" w:rsidR="00A42963" w:rsidP="00A42963" w:rsidRDefault="00A42963" w14:paraId="2BBAF2B0" w14:textId="77777777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A42963" w:rsidP="00A42963" w:rsidRDefault="00A42963" w14:paraId="3DFD253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A42963" w:rsidRDefault="00A42963" w14:paraId="3388F882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8862C9" w:rsidR="00380ACF" w:rsidP="00A42963" w:rsidRDefault="00A42963" w14:paraId="0D1DF9C7" w14:textId="28B26B0B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:rsidRPr="00002427" w:rsidR="00A45435" w:rsidP="00087A59" w:rsidRDefault="00A45435" w14:paraId="7DD20812" w14:textId="77777777">
    <w:pPr>
      <w:pStyle w:val="Intestazion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414988">
    <w:abstractNumId w:val="1"/>
  </w:num>
  <w:num w:numId="2" w16cid:durableId="191889600">
    <w:abstractNumId w:val="0"/>
  </w:num>
  <w:num w:numId="3" w16cid:durableId="1405685383">
    <w:abstractNumId w:val="3"/>
  </w:num>
  <w:num w:numId="4" w16cid:durableId="905260640">
    <w:abstractNumId w:val="6"/>
  </w:num>
  <w:num w:numId="5" w16cid:durableId="453256951">
    <w:abstractNumId w:val="2"/>
  </w:num>
  <w:num w:numId="6" w16cid:durableId="522670935">
    <w:abstractNumId w:val="4"/>
  </w:num>
  <w:num w:numId="7" w16cid:durableId="1079059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2090E"/>
    <w:rsid w:val="00530C1B"/>
    <w:rsid w:val="00562094"/>
    <w:rsid w:val="005635AE"/>
    <w:rsid w:val="0057172B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E07DF"/>
    <w:rsid w:val="00BE3462"/>
    <w:rsid w:val="00BE7CC2"/>
    <w:rsid w:val="00BF0D90"/>
    <w:rsid w:val="00C04F39"/>
    <w:rsid w:val="00C05E87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7E66"/>
    <w:rsid w:val="00F21F66"/>
    <w:rsid w:val="00F232FF"/>
    <w:rsid w:val="00F34BF3"/>
    <w:rsid w:val="00F406F1"/>
    <w:rsid w:val="00F560E0"/>
    <w:rsid w:val="00F6345D"/>
    <w:rsid w:val="00F85C74"/>
    <w:rsid w:val="00F92042"/>
    <w:rsid w:val="00F976DC"/>
    <w:rsid w:val="00FA2CE5"/>
    <w:rsid w:val="00FC24C7"/>
    <w:rsid w:val="00FC3370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A5BCCB"/>
  <w15:chartTrackingRefBased/>
  <w15:docId w15:val="{8246964D-62D7-48E0-80E5-947F353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e" w:default="1">
    <w:name w:val="Normal"/>
    <w:qFormat/>
    <w:rsid w:val="00A42963"/>
    <w:rPr>
      <w:rFonts w:ascii="Arial Narrow" w:hAnsi="Arial Narrow"/>
      <w:sz w:val="22"/>
      <w:szCs w:val="22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Intestazione">
    <w:name w:val="header"/>
    <w:basedOn w:val="Normale"/>
    <w:rsid w:val="0083544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83544C"/>
    <w:pPr>
      <w:tabs>
        <w:tab w:val="center" w:pos="4819"/>
        <w:tab w:val="right" w:pos="9638"/>
      </w:tabs>
    </w:pPr>
  </w:style>
  <w:style w:type="character" w:styleId="Collegamentoipertestuale">
    <w:name w:val="Hyperlink"/>
    <w:basedOn w:val="Carpredefinitoparagrafo"/>
    <w:rsid w:val="00383873"/>
    <w:rPr>
      <w:color w:val="0000FF"/>
      <w:u w:val="single"/>
    </w:rPr>
  </w:style>
  <w:style w:type="paragraph" w:styleId="cIndirizzo" w:customStyle="1">
    <w:name w:val="cIndirizzo"/>
    <w:basedOn w:val="Normale"/>
    <w:next w:val="Normale"/>
    <w:rsid w:val="00893C53"/>
    <w:pPr>
      <w:ind w:left="6804"/>
    </w:pPr>
  </w:style>
  <w:style w:type="paragraph" w:styleId="cCorteseAttenzione" w:customStyle="1">
    <w:name w:val="cCorteseAttenzione"/>
    <w:basedOn w:val="Normale"/>
    <w:next w:val="cIndirizzo"/>
    <w:rsid w:val="00893C53"/>
    <w:pPr>
      <w:ind w:left="6804"/>
    </w:pPr>
    <w:rPr>
      <w:i/>
    </w:rPr>
  </w:style>
  <w:style w:type="paragraph" w:styleId="cRagioneSociale" w:customStyle="1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type="paragraph" w:styleId="cOggetto" w:customStyle="1">
    <w:name w:val="cOggetto"/>
    <w:basedOn w:val="Normale"/>
    <w:next w:val="Normale"/>
    <w:rsid w:val="00893C53"/>
    <w:pPr>
      <w:spacing w:before="480" w:after="360"/>
    </w:pPr>
  </w:style>
  <w:style w:type="paragraph" w:styleId="cElencoPuntato" w:customStyle="1">
    <w:name w:val="cElencoPuntato"/>
    <w:basedOn w:val="Normale"/>
    <w:rsid w:val="00893C53"/>
    <w:pPr>
      <w:numPr>
        <w:numId w:val="1"/>
      </w:numPr>
      <w:tabs>
        <w:tab w:val="clear" w:pos="720"/>
        <w:tab w:val="num" w:pos="360"/>
      </w:tabs>
      <w:ind w:left="360" w:hanging="180"/>
    </w:pPr>
  </w:style>
  <w:style w:type="paragraph" w:styleId="cElencoNumerato" w:customStyle="1">
    <w:name w:val="cElencoNumerato"/>
    <w:basedOn w:val="Normale"/>
    <w:rsid w:val="00893C53"/>
    <w:pPr>
      <w:numPr>
        <w:ilvl w:val="1"/>
        <w:numId w:val="1"/>
      </w:numPr>
      <w:tabs>
        <w:tab w:val="clear" w:pos="1440"/>
        <w:tab w:val="num" w:pos="360"/>
      </w:tabs>
      <w:ind w:left="360" w:hanging="180"/>
    </w:pPr>
  </w:style>
  <w:style w:type="paragraph" w:styleId="cSaluto" w:customStyle="1">
    <w:name w:val="cSaluto"/>
    <w:basedOn w:val="Normale"/>
    <w:next w:val="Normale"/>
    <w:rsid w:val="00DE103F"/>
    <w:pPr>
      <w:spacing w:after="120"/>
    </w:pPr>
    <w:rPr>
      <w:i/>
    </w:rPr>
  </w:style>
  <w:style w:type="paragraph" w:styleId="cFunzioneFirmatario" w:customStyle="1">
    <w:name w:val="cFunzioneFirmatario"/>
    <w:basedOn w:val="Normale"/>
    <w:next w:val="Normale"/>
    <w:rsid w:val="00D00B54"/>
    <w:pPr>
      <w:ind w:left="6804"/>
    </w:pPr>
    <w:rPr>
      <w:i/>
    </w:rPr>
  </w:style>
  <w:style w:type="paragraph" w:styleId="cFirmatario" w:customStyle="1">
    <w:name w:val="cFirmatario"/>
    <w:basedOn w:val="Normale"/>
    <w:next w:val="cFunzioneFirmatario"/>
    <w:rsid w:val="00D00B54"/>
    <w:pPr>
      <w:spacing w:before="480"/>
      <w:ind w:left="6804"/>
    </w:pPr>
  </w:style>
  <w:style w:type="table" w:styleId="Grigliatabella">
    <w:name w:val="Table Grid"/>
    <w:basedOn w:val="Tabellanormale"/>
    <w:rsid w:val="00B751D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umeropagina">
    <w:name w:val="page number"/>
    <w:basedOn w:val="Carpredefinitoparagrafo"/>
    <w:rsid w:val="00B751DC"/>
  </w:style>
  <w:style w:type="paragraph" w:styleId="Paragrafoelenco">
    <w:name w:val="List Paragraph"/>
    <w:basedOn w:val="Normale"/>
    <w:uiPriority w:val="34"/>
    <w:qFormat/>
    <w:rsid w:val="00CA6DE6"/>
    <w:pPr>
      <w:ind w:left="720"/>
      <w:contextualSpacing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type="character" w:styleId="Collegamentovisitato">
    <w:name w:val="FollowedHyperlink"/>
    <w:basedOn w:val="Carpredefinitoparagrafo"/>
    <w:rsid w:val="00F560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eramichegresmalt.sharepoint.com/sites/progettistartvolt/Documenti%20condivisi/S4.Attivit&#224;%20di%20R&amp;S%20-%20OR/1.Piano%20di%20Sviluppo%20Finale/START_Piano_di_Sviluppo_all4_integrato.pdf?CT=1689066917148&amp;OR=ItemsView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C961CE0EB86C4BAF5FBA22B52F24DB" ma:contentTypeVersion="17" ma:contentTypeDescription="Creare un nuovo documento." ma:contentTypeScope="" ma:versionID="0a5f7229cbb106ba2abe7c95b092b442">
  <xsd:schema xmlns:xsd="http://www.w3.org/2001/XMLSchema" xmlns:xs="http://www.w3.org/2001/XMLSchema" xmlns:p="http://schemas.microsoft.com/office/2006/metadata/properties" xmlns:ns2="56f694ce-0d8d-4140-af7b-51105567e791" xmlns:ns3="ad955218-927d-446f-bd94-718ac5e6255c" targetNamespace="http://schemas.microsoft.com/office/2006/metadata/properties" ma:root="true" ma:fieldsID="5e0b6d1355d1909234ea1c3671f66232" ns2:_="" ns3:_="">
    <xsd:import namespace="56f694ce-0d8d-4140-af7b-51105567e791"/>
    <xsd:import namespace="ad955218-927d-446f-bd94-718ac5e625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694ce-0d8d-4140-af7b-51105567e7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Tag immagine" ma:readOnly="false" ma:fieldId="{5cf76f15-5ced-4ddc-b409-7134ff3c332f}" ma:taxonomyMulti="true" ma:sspId="a3126849-ed39-4324-a057-c3f9becfe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955218-927d-446f-bd94-718ac5e6255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aca5ff2-35fa-4634-855e-35521b5f5a05}" ma:internalName="TaxCatchAll" ma:showField="CatchAllData" ma:web="ad955218-927d-446f-bd94-718ac5e625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f694ce-0d8d-4140-af7b-51105567e791">
      <Terms xmlns="http://schemas.microsoft.com/office/infopath/2007/PartnerControls"/>
    </lcf76f155ced4ddcb4097134ff3c332f>
    <TaxCatchAll xmlns="ad955218-927d-446f-bd94-718ac5e6255c" xsi:nil="true"/>
  </documentManagement>
</p:properties>
</file>

<file path=customXml/itemProps1.xml><?xml version="1.0" encoding="utf-8"?>
<ds:datastoreItem xmlns:ds="http://schemas.openxmlformats.org/officeDocument/2006/customXml" ds:itemID="{BB0AA0DE-F95E-48A6-A386-1FF17D0AB3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A8B1E8-67FC-48F3-80DE-6E09F3797C2A}"/>
</file>

<file path=customXml/itemProps3.xml><?xml version="1.0" encoding="utf-8"?>
<ds:datastoreItem xmlns:ds="http://schemas.openxmlformats.org/officeDocument/2006/customXml" ds:itemID="{CC107ABC-960D-44AD-BFCA-9ECF2E8328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3B02D6-3A44-4F96-A66F-28D9C110DA91}">
  <ds:schemaRefs>
    <ds:schemaRef ds:uri="http://schemas.openxmlformats.org/package/2006/metadata/core-properties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ad955218-927d-446f-bd94-718ac5e6255c"/>
    <ds:schemaRef ds:uri="56f694ce-0d8d-4140-af7b-51105567e791"/>
    <ds:schemaRef ds:uri="http://www.w3.org/XML/1998/namespace"/>
    <ds:schemaRef ds:uri="http://purl.org/dc/terms/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Autorizzazione Alessandro</ap:Template>
  <ap:Application>Microsoft Word for the web</ap:Application>
  <ap:DocSecurity>0</ap:DocSecurity>
  <ap:ScaleCrop>false</ap:ScaleCrop>
  <ap:Company>Proelia Sistemi Srl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 Sociale</dc:title>
  <dc:subject/>
  <dc:creator>Settembre Davide</dc:creator>
  <cp:keywords/>
  <dc:description/>
  <cp:lastModifiedBy>Luca Iattici</cp:lastModifiedBy>
  <cp:revision>81</cp:revision>
  <cp:lastPrinted>2018-04-19T13:54:00Z</cp:lastPrinted>
  <dcterms:created xsi:type="dcterms:W3CDTF">2018-04-19T13:56:00Z</dcterms:created>
  <dcterms:modified xsi:type="dcterms:W3CDTF">2025-09-25T14:00:07Z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0x0101000CC961CE0EB86C4BAF5FBA22B52F24DB</vt:lpwstr>
  </property>
  <property fmtid="{D5CDD505-2E9C-101B-9397-08002B2CF9AE}" pid="3" name="MediaServiceImageTags">
    <vt:lpwstr/>
  </property>
  <property fmtid="{D5CDD505-2E9C-101B-9397-08002B2CF9AE}" pid="5" name="docLang">
    <vt:lpwstr>it</vt:lpwstr>
  </property>
</Properties>
</file>