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Theme="minorHAnsi" w:hAnsiTheme="minorHAnsi"/>
          <w:b/>
          <w:bCs/>
          <w:caps/>
          <w:color w:val="024C41"/>
          <w:sz w:val="72"/>
          <w:szCs w:val="72"/>
        </w:rPr>
        <w:t xml:space="preserve">Report tecnico delle nuove collezioni</w:t>
      </w:r>
    </w:p>
    <w:p>
      <w:pPr>
        <w:spacing w:line="360" w:lineRule="auto"/>
        <w:jc w:val="center"/>
      </w:pPr>
      <w:r>
        <w:rPr>
          <w:rFonts w:asciiTheme="minorHAnsi" w:hAnsiTheme="minorHAnsi"/>
          <w:b/>
          <w:bCs/>
          <w:color w:val="00A98E"/>
          <w:sz w:val="40"/>
          <w:szCs w:val="40"/>
        </w:rPr>
        <w:t xml:space="preserve">Relazione Parziale N°: RP7.9</w:t>
      </w:r>
    </w:p>
    <w:p>
      <w:pPr>
        <w:spacing w:line="360" w:lineRule="auto"/>
        <w:jc w:val="center"/>
      </w:pPr>
      <w:r>
        <w:rPr>
          <w:rFonts w:asciiTheme="minorHAnsi" w:hAnsiTheme="minorHAnsi"/>
          <w:b/>
          <w:bCs/>
          <w:color w:val="00A98E"/>
          <w:sz w:val="40"/>
          <w:szCs w:val="40"/>
        </w:rPr>
        <w:t xml:space="preserve">Versione del Documento: RV.1</w:t>
      </w:r>
    </w:p>
    <w:p>
      <w:pPr>
        <w:spacing w:line="360" w:lineRule="auto"/>
        <w:jc w:val="center"/>
      </w:pPr>
      <w:r>
        <w:rPr>
          <w:rFonts w:asciiTheme="minorHAnsi" w:hAnsiTheme="minorHAnsi"/>
          <w:b/>
          <w:bCs/>
          <w:color w:val="00A98E"/>
          <w:sz w:val="40"/>
          <w:szCs w:val="40"/>
        </w:rPr>
        <w:t xml:space="preserve">Data di Revisione del Documento: 03.09.2026</w:t>
      </w:r>
    </w:p>
    <w:p>
      <w:pPr>
        <w:spacing w:line="360" w:lineRule="auto"/>
        <w:jc w:val="center"/>
      </w:pPr>
      <w:r>
        <w:rPr>
          <w:rFonts w:asciiTheme="minorHAnsi" w:hAnsiTheme="minorHAnsi"/>
          <w:b/>
          <w:bCs/>
          <w:color w:val="00A98E"/>
          <w:sz w:val="40"/>
          <w:szCs w:val="40"/>
        </w:rPr>
        <w:t xml:space="preserve">Responsabilità:  Gresmalt - Capofila</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after="120"/>
        <w:jc w:val="both"/>
      </w:pPr>
      <w:r>
        <w:rPr>
          <w:rFonts w:asciiTheme="minorHAnsi" w:hAnsiTheme="minorHAnsi"/>
          <w:b/>
          <w:bCs/>
          <w:caps/>
          <w:color w:val="024C41"/>
          <w:sz w:val="36"/>
          <w:szCs w:val="36"/>
        </w:rPr>
        <w:t xml:space="preserve">1.INTRODUZIONE</w:t>
      </w:r>
    </w:p>
    <w:p>
      <w:pPr>
        <w:spacing w:line="360" w:lineRule="auto"/>
        <w:ind w:firstLine="284"/>
        <w:jc w:val="both"/>
      </w:pPr>
      <w:r>
        <w:rPr>
          <w:rFonts w:asciiTheme="minorHAnsi" w:hAnsiTheme="minorHAnsi"/>
          <w:sz w:val="28"/>
          <w:szCs w:val="28"/>
        </w:rPr>
        <w:t xml:space="preserve">Il progetto START | SusTainable dAta-dRiven manufacTuring persegue, nell'Obiettivo Realizzativo OR7 – «Validazione in ambiente operativo della Intelligent Industry», la trasformazione del sistema produttivo ceramico di Gresmalt in una Intelligent Factory data-driven. All'interno di OR7, il filone dedicato alle collezioni ceramiche si sviluppa attraverso una catena di attività progressive: OR6.9 ha prodotto e collaudato in ambiente virtuale il Protocollo di Product Design Thinking (versione alpha), utilizzato per ideare due configurazioni di collezione a partire dall'analisi data-driven di vendite, trend di mercato e cluster di prodotto; OR7.7 ha collaudato il medesimo protocollo su collezioni reali, portandolo alla versione beta e realizzando in laboratorio 24 prototipi fisici (due collezioni, quattro colori, tre formati ciascuna), denominate LIMEN e LEVITA.</w:t>
      </w:r>
    </w:p>
    <w:p>
      <w:pPr>
        <w:spacing w:line="360" w:lineRule="auto"/>
        <w:ind w:firstLine="284"/>
        <w:jc w:val="both"/>
      </w:pPr>
      <w:r>
        <w:rPr>
          <w:rFonts w:asciiTheme="minorHAnsi" w:hAnsiTheme="minorHAnsi"/>
          <w:sz w:val="28"/>
          <w:szCs w:val="28"/>
        </w:rPr>
        <w:t xml:space="preserve">La baseline di partenza della presente attività è costituita dagli esiti del collaudo alpha documentato in RP7.7 e nei relativi Annessi 2 e 3: la collezione LIMEN è risultata pienamente conforme su tutti i 12 prototipi testati (planarità, classe di scivolosità R10B/R11, resistenza a flessione, assorbimento d'acqua), con esito «GO» e trasferimento a industrializzazione da deliberare; la collezione LEVITA ha invece mostrato una non conformità di assorbimento d'acqua sulle tonalità chiare (beige, white) nel formato 60×60 cm, riconducibile ai parametri di pressatura e cottura del formato e non alla formulazione dell'impasto, con esito «GO condizionato» subordinato al completamento della verifica tecnica su tale combinazione.</w:t>
      </w:r>
    </w:p>
    <w:p>
      <w:pPr>
        <w:spacing w:line="360" w:lineRule="auto"/>
        <w:ind w:firstLine="284"/>
        <w:jc w:val="both"/>
      </w:pPr>
      <w:r>
        <w:rPr>
          <w:rFonts w:asciiTheme="minorHAnsi" w:hAnsiTheme="minorHAnsi"/>
          <w:sz w:val="28"/>
          <w:szCs w:val="28"/>
        </w:rPr>
        <w:t xml:space="preserve">Obiettivo della presente attività (OR7.9) è industrializzare e testare in ambiente preindustriale, su volumi rappresentativi della scala produttiva reale, le collezioni LIMEN e LEVITA selezionate in esito a OR7.7, secondo quanto previsto dal Piano di Sviluppo (Allegato 4): industrializzazione di non meno di 6.000 m² di piastrelle per ciascun formato (non meno di 3 per collezione) e per ciascun colore (non meno di 4), per un volume complessivo non inferiore a 120.000 m² di «piastrelle intelligenti». Tutti i lotti industrializzati sono stati caratterizzati sia dal punto di vista tecnologico, in coordinamento con OR2.1 e OR7.4 (Product Technological Sustainability Assessment), sia dal punto di vista della sostenibilità di processo, in coordinamento con OR7.3 (EEA+), e sottoposti a verifica di conformità da parte di un laboratorio esterno accreditato, a garanzia della trasparenza del processo di validazione.</w:t>
      </w:r>
    </w:p>
    <w:p>
      <w:pPr>
        <w:spacing w:line="360" w:lineRule="auto" w:after="120"/>
        <w:jc w:val="both"/>
      </w:pPr>
      <w:r>
        <w:rPr>
          <w:rFonts w:asciiTheme="minorHAnsi" w:hAnsiTheme="minorHAnsi"/>
          <w:b/>
          <w:bCs/>
          <w:caps/>
          <w:color w:val="024C41"/>
          <w:sz w:val="36"/>
          <w:szCs w:val="36"/>
        </w:rPr>
        <w:t xml:space="preserve">2. METODOLOGIA</w:t>
      </w:r>
    </w:p>
    <w:p>
      <w:pPr>
        <w:spacing w:line="360" w:lineRule="auto" w:after="80"/>
        <w:jc w:val="both"/>
      </w:pPr>
      <w:r>
        <w:rPr>
          <w:rFonts w:asciiTheme="minorHAnsi" w:hAnsiTheme="minorHAnsi"/>
          <w:b/>
          <w:bCs/>
          <w:color w:val="024C41"/>
          <w:sz w:val="30"/>
          <w:szCs w:val="30"/>
        </w:rPr>
        <w:t xml:space="preserve">2.1 Selezione delle tipologie e pianificazione dell'industrializzazione</w:t>
      </w:r>
    </w:p>
    <w:p>
      <w:pPr>
        <w:spacing w:line="360" w:lineRule="auto"/>
        <w:ind w:firstLine="284"/>
        <w:jc w:val="both"/>
      </w:pPr>
      <w:r>
        <w:rPr>
          <w:rFonts w:asciiTheme="minorHAnsi" w:hAnsiTheme="minorHAnsi"/>
          <w:sz w:val="28"/>
          <w:szCs w:val="28"/>
        </w:rPr>
        <w:t xml:space="preserve">Le due tipologie di collezione individuate in OR7.7 sono state assunte come oggetto del test preindustriale senza ulteriori varianti di concept, in coerenza con l'esito del collaudo alpha. Per LIMEN sono stati confermati i tre formati di collaudo (60×120, 60×60, 30×60 cm) e le quattro colorazioni validate. Per LEVITA, prima dell'avvio dell'industrializzazione sul formato 60×60 nelle tonalità beige e white, è stata condotta un'azione correttiva mirata sui parametri di pressatura (incremento della pressione specifica di formatura) e sul ciclo di cottura (allungamento della curva nella fase di gresà), individuata come causa più probabile della maggiore porosità residua riscontrata in fase alpha.</w:t>
      </w:r>
    </w:p>
    <w:p>
      <w:pPr>
        <w:spacing w:line="360" w:lineRule="auto" w:after="80"/>
        <w:jc w:val="both"/>
      </w:pPr>
      <w:r>
        <w:rPr>
          <w:rFonts w:asciiTheme="minorHAnsi" w:hAnsiTheme="minorHAnsi"/>
          <w:b/>
          <w:bCs/>
          <w:color w:val="024C41"/>
          <w:sz w:val="30"/>
          <w:szCs w:val="30"/>
        </w:rPr>
        <w:t xml:space="preserve">2.2 Piano di produzione su scala preindustriale</w:t>
      </w:r>
    </w:p>
    <w:p>
      <w:pPr>
        <w:spacing w:line="360" w:lineRule="auto"/>
        <w:ind w:firstLine="284"/>
        <w:jc w:val="both"/>
      </w:pPr>
      <w:r>
        <w:rPr>
          <w:rFonts w:asciiTheme="minorHAnsi" w:hAnsiTheme="minorHAnsi"/>
          <w:sz w:val="28"/>
          <w:szCs w:val="28"/>
        </w:rPr>
        <w:t xml:space="preserve">L'industrializzazione è stata condotta sulle linee produttive degli stabilimenti Gresmalt di Sassuolo e Casalgrande, già adeguate nell'ambito di OR7.6 (pressatura/essiccazione, smaltatura/decorazione, cottura/stoccaggio, rifinitura/scelta/imballaggio), impiegando i medesimi sistemi di monitoraggio e raccolta dati collaudati in OR7.1 (piattaforma edge-to-cloud) e OR7.2 (Intelligent Factory). Per ciascuna collezione sono stati pianificati lotti produttivi dedicati per formato, distribuiti sulle quattro colorazioni, dimensionati per superare la soglia minima di 6.000 m² per formato indicata dal Piano di Sviluppo.</w:t>
      </w:r>
    </w:p>
    <w:p>
      <w:pPr>
        <w:spacing w:line="360" w:lineRule="auto" w:after="80"/>
        <w:jc w:val="both"/>
      </w:pPr>
      <w:r>
        <w:rPr>
          <w:rFonts w:asciiTheme="minorHAnsi" w:hAnsiTheme="minorHAnsi"/>
          <w:b/>
          <w:bCs/>
          <w:color w:val="024C41"/>
          <w:sz w:val="30"/>
          <w:szCs w:val="30"/>
        </w:rPr>
        <w:t xml:space="preserve">2.3 Piano di caratterizzazione tecnologica e di sostenibilità</w:t>
      </w:r>
    </w:p>
    <w:p>
      <w:pPr>
        <w:spacing w:line="360" w:lineRule="auto"/>
        <w:ind w:firstLine="284"/>
        <w:jc w:val="both"/>
      </w:pPr>
      <w:r>
        <w:rPr>
          <w:rFonts w:asciiTheme="minorHAnsi" w:hAnsiTheme="minorHAnsi"/>
          <w:sz w:val="28"/>
          <w:szCs w:val="28"/>
        </w:rPr>
        <w:t xml:space="preserve">Su campioni prelevati da ciascun lotto sono state eseguite le prove previste dalla norma di prodotto UNI EN 14411 secondo i metodi ISO 10545: ritiro lineare dopo cottura (parte 2), assorbimento d'acqua (parte 3), sforzo di rottura e resistenza a flessione (parte 4), coefficiente di dilatazione termica lineare (parte 8), resistenza all'attacco chimico (parte 13) e resistenza alle macchie (parte 14), a fronte delle soglie di conformità definite nel Piano di Sviluppo. In parallelo, i medesimi lotti sono stati impiegati per il calcolo dell'indice di sostenibilità di processo EEA+ (OR7.3, Extended Exergy Accounting) e dell'indice di sostenibilità tecnologica di prodotto P-TSI (OR7.4, Product Technological Sustainability Assessment), a integrazione della sola caratterizzazione normativa con una lettura di efficienza energetica ed exergetica del processo.</w:t>
      </w:r>
    </w:p>
    <w:p>
      <w:pPr>
        <w:spacing w:line="360" w:lineRule="auto" w:after="80"/>
        <w:jc w:val="both"/>
      </w:pPr>
      <w:r>
        <w:rPr>
          <w:rFonts w:asciiTheme="minorHAnsi" w:hAnsiTheme="minorHAnsi"/>
          <w:b/>
          <w:bCs/>
          <w:color w:val="024C41"/>
          <w:sz w:val="30"/>
          <w:szCs w:val="30"/>
        </w:rPr>
        <w:t xml:space="preserve">2.4 Verifica di conformità di terza parte</w:t>
      </w:r>
    </w:p>
    <w:p>
      <w:pPr>
        <w:spacing w:line="360" w:lineRule="auto"/>
        <w:ind w:firstLine="284"/>
        <w:jc w:val="both"/>
      </w:pPr>
      <w:r>
        <w:rPr>
          <w:rFonts w:asciiTheme="minorHAnsi" w:hAnsiTheme="minorHAnsi"/>
          <w:sz w:val="28"/>
          <w:szCs w:val="28"/>
        </w:rPr>
        <w:t xml:space="preserve">Coerentemente con quanto indicato nel Piano di Sviluppo in merito alla necessità di garantire trasparenza nella validazione dei risultati, campioni rappresentativi di ciascuna combinazione formato/colore sono stati sottoposti a verifica da parte di un laboratorio esterno accreditato ACCREDIA (Centro Ceramico, Bologna), che ha rilasciato rapporto di prova a conferma dei risultati ottenuti internamente dal Laboratorio R&amp;amp;S Gresmalt.</w:t>
      </w:r>
    </w:p>
    <w:p>
      <w:pPr>
        <w:spacing w:line="360" w:lineRule="auto" w:after="120"/>
        <w:jc w:val="both"/>
      </w:pPr>
      <w:r>
        <w:rPr>
          <w:rFonts w:asciiTheme="minorHAnsi" w:hAnsiTheme="minorHAnsi"/>
          <w:b/>
          <w:bCs/>
          <w:caps/>
          <w:color w:val="024C41"/>
          <w:sz w:val="36"/>
          <w:szCs w:val="36"/>
        </w:rPr>
        <w:t xml:space="preserve">3.RISULTATI</w:t>
      </w:r>
    </w:p>
    <w:p>
      <w:pPr>
        <w:spacing w:line="360" w:lineRule="auto" w:after="80"/>
        <w:jc w:val="both"/>
      </w:pPr>
      <w:r>
        <w:rPr>
          <w:rFonts w:asciiTheme="minorHAnsi" w:hAnsiTheme="minorHAnsi"/>
          <w:b/>
          <w:bCs/>
          <w:color w:val="024C41"/>
          <w:sz w:val="30"/>
          <w:szCs w:val="30"/>
        </w:rPr>
        <w:t xml:space="preserve">3.1 Volumi industrializzati</w:t>
      </w:r>
    </w:p>
    <w:p>
      <w:pPr>
        <w:spacing w:line="360" w:lineRule="auto"/>
        <w:ind w:firstLine="284"/>
        <w:jc w:val="both"/>
      </w:pPr>
      <w:r>
        <w:rPr>
          <w:rFonts w:asciiTheme="minorHAnsi" w:hAnsiTheme="minorHAnsi"/>
          <w:sz w:val="28"/>
          <w:szCs w:val="28"/>
        </w:rPr>
        <w:t xml:space="preserve">La Tabella 1 riporta i volumi complessivamente industrializzati per collezione e formato nel periodo di riferimento. Il volume complessivo raggiunto è pari a 121.630 m², a fronte della soglia minima di progetto di 120.000 m², con ciascun formato attestato al di sopra della soglia minima di 6.000 m² indicata dal Piano di Sviluppo.</w:t>
      </w:r>
    </w:p>
    <w:tbl>
      <w:tblPr>
        <w:tblW w:w="10000" w:type="dxa"/>
        <w:tblBorders>
          <w:top w:val="single" w:sz="4" w:space="0" w:color="024C41"/>
          <w:left w:val="single" w:sz="4" w:space="0" w:color="024C41"/>
          <w:bottom w:val="single" w:sz="4" w:space="0" w:color="024C41"/>
          <w:right w:val="single" w:sz="4" w:space="0" w:color="024C41"/>
          <w:insideH w:val="single" w:sz="4" w:space="0" w:color="A6C9C3"/>
          <w:insideV w:val="single" w:sz="4" w:space="0" w:color="A6C9C3"/>
        </w:tblBorders>
        <w:tblLook w:val="04A0"/>
      </w:tblPr>
      <w:tblGrid>
        <w:gridCol w:w="1600"/>
        <w:gridCol w:w="1400"/>
        <w:gridCol w:w="1900"/>
        <w:gridCol w:w="1600"/>
        <w:gridCol w:w="1900"/>
        <w:gridCol w:w="1600"/>
      </w:tblGrid>
      <w:tr>
        <w:tc>
          <w:tcPr>
            <w:tcW w:w="1600" w:type="dxa"/>
            <w:shd w:val="clear" w:color="auto" w:fill="024C41"/>
            <w:vAlign w:val="center"/>
          </w:tcPr>
          <w:p>
            <w:pPr>
              <w:spacing w:after="0" w:line="240" w:lineRule="auto"/>
              <w:jc w:val="center"/>
            </w:pPr>
            <w:r>
              <w:rPr>
                <w:rFonts w:asciiTheme="minorHAnsi" w:hAnsiTheme="minorHAnsi"/>
                <w:b/>
                <w:bCs/>
                <w:color w:val="FFFFFF"/>
                <w:sz w:val="22"/>
                <w:szCs w:val="22"/>
              </w:rPr>
              <w:t xml:space="preserve">Collezione</w:t>
            </w:r>
          </w:p>
        </w:tc>
        <w:tc>
          <w:tcPr>
            <w:tcW w:w="1400" w:type="dxa"/>
            <w:shd w:val="clear" w:color="auto" w:fill="024C41"/>
            <w:vAlign w:val="center"/>
          </w:tcPr>
          <w:p>
            <w:pPr>
              <w:spacing w:after="0" w:line="240" w:lineRule="auto"/>
              <w:jc w:val="center"/>
            </w:pPr>
            <w:r>
              <w:rPr>
                <w:rFonts w:asciiTheme="minorHAnsi" w:hAnsiTheme="minorHAnsi"/>
                <w:b/>
                <w:bCs/>
                <w:color w:val="FFFFFF"/>
                <w:sz w:val="22"/>
                <w:szCs w:val="22"/>
              </w:rPr>
              <w:t xml:space="preserve">Formato</w:t>
            </w:r>
          </w:p>
        </w:tc>
        <w:tc>
          <w:tcPr>
            <w:tcW w:w="1900" w:type="dxa"/>
            <w:shd w:val="clear" w:color="auto" w:fill="024C41"/>
            <w:vAlign w:val="center"/>
          </w:tcPr>
          <w:p>
            <w:pPr>
              <w:spacing w:after="0" w:line="240" w:lineRule="auto"/>
              <w:jc w:val="center"/>
            </w:pPr>
            <w:r>
              <w:rPr>
                <w:rFonts w:asciiTheme="minorHAnsi" w:hAnsiTheme="minorHAnsi"/>
                <w:b/>
                <w:bCs/>
                <w:color w:val="FFFFFF"/>
                <w:sz w:val="22"/>
                <w:szCs w:val="22"/>
              </w:rPr>
              <w:t xml:space="preserve">Colori industrializzati</w:t>
            </w:r>
          </w:p>
        </w:tc>
        <w:tc>
          <w:tcPr>
            <w:tcW w:w="1600" w:type="dxa"/>
            <w:shd w:val="clear" w:color="auto" w:fill="024C41"/>
            <w:vAlign w:val="center"/>
          </w:tcPr>
          <w:p>
            <w:pPr>
              <w:spacing w:after="0" w:line="240" w:lineRule="auto"/>
              <w:jc w:val="center"/>
            </w:pPr>
            <w:r>
              <w:rPr>
                <w:rFonts w:asciiTheme="minorHAnsi" w:hAnsiTheme="minorHAnsi"/>
                <w:b/>
                <w:bCs/>
                <w:color w:val="FFFFFF"/>
                <w:sz w:val="22"/>
                <w:szCs w:val="22"/>
              </w:rPr>
              <w:t xml:space="preserve">m² prodotti</w:t>
            </w:r>
          </w:p>
        </w:tc>
        <w:tc>
          <w:tcPr>
            <w:tcW w:w="1900" w:type="dxa"/>
            <w:shd w:val="clear" w:color="auto" w:fill="024C41"/>
            <w:vAlign w:val="center"/>
          </w:tcPr>
          <w:p>
            <w:pPr>
              <w:spacing w:after="0" w:line="240" w:lineRule="auto"/>
              <w:jc w:val="center"/>
            </w:pPr>
            <w:r>
              <w:rPr>
                <w:rFonts w:asciiTheme="minorHAnsi" w:hAnsiTheme="minorHAnsi"/>
                <w:b/>
                <w:bCs/>
                <w:color w:val="FFFFFF"/>
                <w:sz w:val="22"/>
                <w:szCs w:val="22"/>
              </w:rPr>
              <w:t xml:space="preserve">Soglia minima (m²)</w:t>
            </w:r>
          </w:p>
        </w:tc>
        <w:tc>
          <w:tcPr>
            <w:tcW w:w="1600" w:type="dxa"/>
            <w:shd w:val="clear" w:color="auto" w:fill="024C41"/>
            <w:vAlign w:val="center"/>
          </w:tcPr>
          <w:p>
            <w:pPr>
              <w:spacing w:after="0" w:line="240" w:lineRule="auto"/>
              <w:jc w:val="center"/>
            </w:pPr>
            <w:r>
              <w:rPr>
                <w:rFonts w:asciiTheme="minorHAnsi" w:hAnsiTheme="minorHAnsi"/>
                <w:b/>
                <w:bCs/>
                <w:color w:val="FFFFFF"/>
                <w:sz w:val="22"/>
                <w:szCs w:val="22"/>
              </w:rPr>
              <w:t xml:space="preserve">Esito</w:t>
            </w:r>
          </w:p>
        </w:tc>
      </w:tr>
      <w:tr>
        <w:tc>
          <w:tcPr>
            <w:tcW w:w="1600" w:type="dxa"/>
            <w:vAlign w:val="center"/>
          </w:tcPr>
          <w:p>
            <w:pPr>
              <w:spacing w:after="0" w:line="240" w:lineRule="auto"/>
              <w:jc w:val="center"/>
            </w:pPr>
            <w:r>
              <w:rPr>
                <w:rFonts w:asciiTheme="minorHAnsi" w:hAnsiTheme="minorHAnsi"/>
                <w:sz w:val="22"/>
                <w:szCs w:val="22"/>
              </w:rPr>
              <w:t xml:space="preserve">LIMEN</w:t>
            </w:r>
          </w:p>
        </w:tc>
        <w:tc>
          <w:tcPr>
            <w:tcW w:w="1400" w:type="dxa"/>
            <w:vAlign w:val="center"/>
          </w:tcPr>
          <w:p>
            <w:pPr>
              <w:spacing w:after="0" w:line="240" w:lineRule="auto"/>
              <w:jc w:val="center"/>
            </w:pPr>
            <w:r>
              <w:rPr>
                <w:rFonts w:asciiTheme="minorHAnsi" w:hAnsiTheme="minorHAnsi"/>
                <w:sz w:val="22"/>
                <w:szCs w:val="22"/>
              </w:rPr>
              <w:t xml:space="preserve">60×120</w:t>
            </w:r>
          </w:p>
        </w:tc>
        <w:tc>
          <w:tcPr>
            <w:tcW w:w="1900" w:type="dxa"/>
            <w:vAlign w:val="center"/>
          </w:tcPr>
          <w:p>
            <w:pPr>
              <w:spacing w:after="0" w:line="240" w:lineRule="auto"/>
              <w:jc w:val="center"/>
            </w:pPr>
            <w:r>
              <w:rPr>
                <w:rFonts w:asciiTheme="minorHAnsi" w:hAnsiTheme="minorHAnsi"/>
                <w:sz w:val="22"/>
                <w:szCs w:val="22"/>
              </w:rPr>
              <w:t xml:space="preserve">4</w:t>
            </w:r>
          </w:p>
        </w:tc>
        <w:tc>
          <w:tcPr>
            <w:tcW w:w="1600" w:type="dxa"/>
            <w:vAlign w:val="center"/>
          </w:tcPr>
          <w:p>
            <w:pPr>
              <w:spacing w:after="0" w:line="240" w:lineRule="auto"/>
              <w:jc w:val="center"/>
            </w:pPr>
            <w:r>
              <w:rPr>
                <w:rFonts w:asciiTheme="minorHAnsi" w:hAnsiTheme="minorHAnsi"/>
                <w:sz w:val="22"/>
                <w:szCs w:val="22"/>
              </w:rPr>
              <w:t xml:space="preserve">22.410</w:t>
            </w:r>
          </w:p>
        </w:tc>
        <w:tc>
          <w:tcPr>
            <w:tcW w:w="1900" w:type="dxa"/>
            <w:vAlign w:val="center"/>
          </w:tcPr>
          <w:p>
            <w:pPr>
              <w:spacing w:after="0" w:line="240" w:lineRule="auto"/>
              <w:jc w:val="center"/>
            </w:pPr>
            <w:r>
              <w:rPr>
                <w:rFonts w:asciiTheme="minorHAnsi" w:hAnsiTheme="minorHAnsi"/>
                <w:sz w:val="22"/>
                <w:szCs w:val="22"/>
              </w:rPr>
              <w:t xml:space="preserve">6.000</w:t>
            </w:r>
          </w:p>
        </w:tc>
        <w:tc>
          <w:tcPr>
            <w:tcW w:w="1600" w:type="dxa"/>
            <w:vAlign w:val="center"/>
          </w:tcPr>
          <w:p>
            <w:pPr>
              <w:spacing w:after="0" w:line="240" w:lineRule="auto"/>
              <w:jc w:val="center"/>
            </w:pPr>
            <w:r>
              <w:rPr>
                <w:rFonts w:asciiTheme="minorHAnsi" w:hAnsiTheme="minorHAnsi"/>
                <w:sz w:val="22"/>
                <w:szCs w:val="22"/>
              </w:rPr>
              <w:t xml:space="preserve">Conforme</w:t>
            </w:r>
          </w:p>
        </w:tc>
      </w:tr>
      <w:tr>
        <w:tc>
          <w:tcPr>
            <w:tcW w:w="1600" w:type="dxa"/>
            <w:vAlign w:val="center"/>
          </w:tcPr>
          <w:p>
            <w:pPr>
              <w:spacing w:after="0" w:line="240" w:lineRule="auto"/>
              <w:jc w:val="center"/>
            </w:pPr>
            <w:r>
              <w:rPr>
                <w:rFonts w:asciiTheme="minorHAnsi" w:hAnsiTheme="minorHAnsi"/>
                <w:sz w:val="22"/>
                <w:szCs w:val="22"/>
              </w:rPr>
              <w:t xml:space="preserve">LIMEN</w:t>
            </w:r>
          </w:p>
        </w:tc>
        <w:tc>
          <w:tcPr>
            <w:tcW w:w="1400" w:type="dxa"/>
            <w:vAlign w:val="center"/>
          </w:tcPr>
          <w:p>
            <w:pPr>
              <w:spacing w:after="0" w:line="240" w:lineRule="auto"/>
              <w:jc w:val="center"/>
            </w:pPr>
            <w:r>
              <w:rPr>
                <w:rFonts w:asciiTheme="minorHAnsi" w:hAnsiTheme="minorHAnsi"/>
                <w:sz w:val="22"/>
                <w:szCs w:val="22"/>
              </w:rPr>
              <w:t xml:space="preserve">60×60</w:t>
            </w:r>
          </w:p>
        </w:tc>
        <w:tc>
          <w:tcPr>
            <w:tcW w:w="1900" w:type="dxa"/>
            <w:vAlign w:val="center"/>
          </w:tcPr>
          <w:p>
            <w:pPr>
              <w:spacing w:after="0" w:line="240" w:lineRule="auto"/>
              <w:jc w:val="center"/>
            </w:pPr>
            <w:r>
              <w:rPr>
                <w:rFonts w:asciiTheme="minorHAnsi" w:hAnsiTheme="minorHAnsi"/>
                <w:sz w:val="22"/>
                <w:szCs w:val="22"/>
              </w:rPr>
              <w:t xml:space="preserve">4</w:t>
            </w:r>
          </w:p>
        </w:tc>
        <w:tc>
          <w:tcPr>
            <w:tcW w:w="1600" w:type="dxa"/>
            <w:vAlign w:val="center"/>
          </w:tcPr>
          <w:p>
            <w:pPr>
              <w:spacing w:after="0" w:line="240" w:lineRule="auto"/>
              <w:jc w:val="center"/>
            </w:pPr>
            <w:r>
              <w:rPr>
                <w:rFonts w:asciiTheme="minorHAnsi" w:hAnsiTheme="minorHAnsi"/>
                <w:sz w:val="22"/>
                <w:szCs w:val="22"/>
              </w:rPr>
              <w:t xml:space="preserve">20.180</w:t>
            </w:r>
          </w:p>
        </w:tc>
        <w:tc>
          <w:tcPr>
            <w:tcW w:w="1900" w:type="dxa"/>
            <w:vAlign w:val="center"/>
          </w:tcPr>
          <w:p>
            <w:pPr>
              <w:spacing w:after="0" w:line="240" w:lineRule="auto"/>
              <w:jc w:val="center"/>
            </w:pPr>
            <w:r>
              <w:rPr>
                <w:rFonts w:asciiTheme="minorHAnsi" w:hAnsiTheme="minorHAnsi"/>
                <w:sz w:val="22"/>
                <w:szCs w:val="22"/>
              </w:rPr>
              <w:t xml:space="preserve">6.000</w:t>
            </w:r>
          </w:p>
        </w:tc>
        <w:tc>
          <w:tcPr>
            <w:tcW w:w="1600" w:type="dxa"/>
            <w:vAlign w:val="center"/>
          </w:tcPr>
          <w:p>
            <w:pPr>
              <w:spacing w:after="0" w:line="240" w:lineRule="auto"/>
              <w:jc w:val="center"/>
            </w:pPr>
            <w:r>
              <w:rPr>
                <w:rFonts w:asciiTheme="minorHAnsi" w:hAnsiTheme="minorHAnsi"/>
                <w:sz w:val="22"/>
                <w:szCs w:val="22"/>
              </w:rPr>
              <w:t xml:space="preserve">Conforme</w:t>
            </w:r>
          </w:p>
        </w:tc>
      </w:tr>
      <w:tr>
        <w:tc>
          <w:tcPr>
            <w:tcW w:w="1600" w:type="dxa"/>
            <w:vAlign w:val="center"/>
          </w:tcPr>
          <w:p>
            <w:pPr>
              <w:spacing w:after="0" w:line="240" w:lineRule="auto"/>
              <w:jc w:val="center"/>
            </w:pPr>
            <w:r>
              <w:rPr>
                <w:rFonts w:asciiTheme="minorHAnsi" w:hAnsiTheme="minorHAnsi"/>
                <w:sz w:val="22"/>
                <w:szCs w:val="22"/>
              </w:rPr>
              <w:t xml:space="preserve">LIMEN</w:t>
            </w:r>
          </w:p>
        </w:tc>
        <w:tc>
          <w:tcPr>
            <w:tcW w:w="1400" w:type="dxa"/>
            <w:vAlign w:val="center"/>
          </w:tcPr>
          <w:p>
            <w:pPr>
              <w:spacing w:after="0" w:line="240" w:lineRule="auto"/>
              <w:jc w:val="center"/>
            </w:pPr>
            <w:r>
              <w:rPr>
                <w:rFonts w:asciiTheme="minorHAnsi" w:hAnsiTheme="minorHAnsi"/>
                <w:sz w:val="22"/>
                <w:szCs w:val="22"/>
              </w:rPr>
              <w:t xml:space="preserve">30×60</w:t>
            </w:r>
          </w:p>
        </w:tc>
        <w:tc>
          <w:tcPr>
            <w:tcW w:w="1900" w:type="dxa"/>
            <w:vAlign w:val="center"/>
          </w:tcPr>
          <w:p>
            <w:pPr>
              <w:spacing w:after="0" w:line="240" w:lineRule="auto"/>
              <w:jc w:val="center"/>
            </w:pPr>
            <w:r>
              <w:rPr>
                <w:rFonts w:asciiTheme="minorHAnsi" w:hAnsiTheme="minorHAnsi"/>
                <w:sz w:val="22"/>
                <w:szCs w:val="22"/>
              </w:rPr>
              <w:t xml:space="preserve">4</w:t>
            </w:r>
          </w:p>
        </w:tc>
        <w:tc>
          <w:tcPr>
            <w:tcW w:w="1600" w:type="dxa"/>
            <w:vAlign w:val="center"/>
          </w:tcPr>
          <w:p>
            <w:pPr>
              <w:spacing w:after="0" w:line="240" w:lineRule="auto"/>
              <w:jc w:val="center"/>
            </w:pPr>
            <w:r>
              <w:rPr>
                <w:rFonts w:asciiTheme="minorHAnsi" w:hAnsiTheme="minorHAnsi"/>
                <w:sz w:val="22"/>
                <w:szCs w:val="22"/>
              </w:rPr>
              <w:t xml:space="preserve">18.940</w:t>
            </w:r>
          </w:p>
        </w:tc>
        <w:tc>
          <w:tcPr>
            <w:tcW w:w="1900" w:type="dxa"/>
            <w:vAlign w:val="center"/>
          </w:tcPr>
          <w:p>
            <w:pPr>
              <w:spacing w:after="0" w:line="240" w:lineRule="auto"/>
              <w:jc w:val="center"/>
            </w:pPr>
            <w:r>
              <w:rPr>
                <w:rFonts w:asciiTheme="minorHAnsi" w:hAnsiTheme="minorHAnsi"/>
                <w:sz w:val="22"/>
                <w:szCs w:val="22"/>
              </w:rPr>
              <w:t xml:space="preserve">6.000</w:t>
            </w:r>
          </w:p>
        </w:tc>
        <w:tc>
          <w:tcPr>
            <w:tcW w:w="1600" w:type="dxa"/>
            <w:vAlign w:val="center"/>
          </w:tcPr>
          <w:p>
            <w:pPr>
              <w:spacing w:after="0" w:line="240" w:lineRule="auto"/>
              <w:jc w:val="center"/>
            </w:pPr>
            <w:r>
              <w:rPr>
                <w:rFonts w:asciiTheme="minorHAnsi" w:hAnsiTheme="minorHAnsi"/>
                <w:sz w:val="22"/>
                <w:szCs w:val="22"/>
              </w:rPr>
              <w:t xml:space="preserve">Conforme</w:t>
            </w:r>
          </w:p>
        </w:tc>
      </w:tr>
      <w:tr>
        <w:tc>
          <w:tcPr>
            <w:tcW w:w="1600" w:type="dxa"/>
            <w:vAlign w:val="center"/>
          </w:tcPr>
          <w:p>
            <w:pPr>
              <w:spacing w:after="0" w:line="240" w:lineRule="auto"/>
              <w:jc w:val="center"/>
            </w:pPr>
            <w:r>
              <w:rPr>
                <w:rFonts w:asciiTheme="minorHAnsi" w:hAnsiTheme="minorHAnsi"/>
                <w:sz w:val="22"/>
                <w:szCs w:val="22"/>
              </w:rPr>
              <w:t xml:space="preserve">LEVITA</w:t>
            </w:r>
          </w:p>
        </w:tc>
        <w:tc>
          <w:tcPr>
            <w:tcW w:w="1400" w:type="dxa"/>
            <w:vAlign w:val="center"/>
          </w:tcPr>
          <w:p>
            <w:pPr>
              <w:spacing w:after="0" w:line="240" w:lineRule="auto"/>
              <w:jc w:val="center"/>
            </w:pPr>
            <w:r>
              <w:rPr>
                <w:rFonts w:asciiTheme="minorHAnsi" w:hAnsiTheme="minorHAnsi"/>
                <w:sz w:val="22"/>
                <w:szCs w:val="22"/>
              </w:rPr>
              <w:t xml:space="preserve">60×60</w:t>
            </w:r>
          </w:p>
        </w:tc>
        <w:tc>
          <w:tcPr>
            <w:tcW w:w="1900" w:type="dxa"/>
            <w:vAlign w:val="center"/>
          </w:tcPr>
          <w:p>
            <w:pPr>
              <w:spacing w:after="0" w:line="240" w:lineRule="auto"/>
              <w:jc w:val="center"/>
            </w:pPr>
            <w:r>
              <w:rPr>
                <w:rFonts w:asciiTheme="minorHAnsi" w:hAnsiTheme="minorHAnsi"/>
                <w:sz w:val="22"/>
                <w:szCs w:val="22"/>
              </w:rPr>
              <w:t xml:space="preserve">4</w:t>
            </w:r>
          </w:p>
        </w:tc>
        <w:tc>
          <w:tcPr>
            <w:tcW w:w="1600" w:type="dxa"/>
            <w:vAlign w:val="center"/>
          </w:tcPr>
          <w:p>
            <w:pPr>
              <w:spacing w:after="0" w:line="240" w:lineRule="auto"/>
              <w:jc w:val="center"/>
            </w:pPr>
            <w:r>
              <w:rPr>
                <w:rFonts w:asciiTheme="minorHAnsi" w:hAnsiTheme="minorHAnsi"/>
                <w:sz w:val="22"/>
                <w:szCs w:val="22"/>
              </w:rPr>
              <w:t xml:space="preserve">20.760</w:t>
            </w:r>
          </w:p>
        </w:tc>
        <w:tc>
          <w:tcPr>
            <w:tcW w:w="1900" w:type="dxa"/>
            <w:vAlign w:val="center"/>
          </w:tcPr>
          <w:p>
            <w:pPr>
              <w:spacing w:after="0" w:line="240" w:lineRule="auto"/>
              <w:jc w:val="center"/>
            </w:pPr>
            <w:r>
              <w:rPr>
                <w:rFonts w:asciiTheme="minorHAnsi" w:hAnsiTheme="minorHAnsi"/>
                <w:sz w:val="22"/>
                <w:szCs w:val="22"/>
              </w:rPr>
              <w:t xml:space="preserve">6.000</w:t>
            </w:r>
          </w:p>
        </w:tc>
        <w:tc>
          <w:tcPr>
            <w:tcW w:w="1600" w:type="dxa"/>
            <w:vAlign w:val="center"/>
          </w:tcPr>
          <w:p>
            <w:pPr>
              <w:spacing w:after="0" w:line="240" w:lineRule="auto"/>
              <w:jc w:val="center"/>
            </w:pPr>
            <w:r>
              <w:rPr>
                <w:rFonts w:asciiTheme="minorHAnsi" w:hAnsiTheme="minorHAnsi"/>
                <w:sz w:val="22"/>
                <w:szCs w:val="22"/>
              </w:rPr>
              <w:t xml:space="preserve">Conforme</w:t>
            </w:r>
          </w:p>
        </w:tc>
      </w:tr>
      <w:tr>
        <w:tc>
          <w:tcPr>
            <w:tcW w:w="1600" w:type="dxa"/>
            <w:vAlign w:val="center"/>
          </w:tcPr>
          <w:p>
            <w:pPr>
              <w:spacing w:after="0" w:line="240" w:lineRule="auto"/>
              <w:jc w:val="center"/>
            </w:pPr>
            <w:r>
              <w:rPr>
                <w:rFonts w:asciiTheme="minorHAnsi" w:hAnsiTheme="minorHAnsi"/>
                <w:sz w:val="22"/>
                <w:szCs w:val="22"/>
              </w:rPr>
              <w:t xml:space="preserve">LEVITA</w:t>
            </w:r>
          </w:p>
        </w:tc>
        <w:tc>
          <w:tcPr>
            <w:tcW w:w="1400" w:type="dxa"/>
            <w:vAlign w:val="center"/>
          </w:tcPr>
          <w:p>
            <w:pPr>
              <w:spacing w:after="0" w:line="240" w:lineRule="auto"/>
              <w:jc w:val="center"/>
            </w:pPr>
            <w:r>
              <w:rPr>
                <w:rFonts w:asciiTheme="minorHAnsi" w:hAnsiTheme="minorHAnsi"/>
                <w:sz w:val="22"/>
                <w:szCs w:val="22"/>
              </w:rPr>
              <w:t xml:space="preserve">30×60</w:t>
            </w:r>
          </w:p>
        </w:tc>
        <w:tc>
          <w:tcPr>
            <w:tcW w:w="1900" w:type="dxa"/>
            <w:vAlign w:val="center"/>
          </w:tcPr>
          <w:p>
            <w:pPr>
              <w:spacing w:after="0" w:line="240" w:lineRule="auto"/>
              <w:jc w:val="center"/>
            </w:pPr>
            <w:r>
              <w:rPr>
                <w:rFonts w:asciiTheme="minorHAnsi" w:hAnsiTheme="minorHAnsi"/>
                <w:sz w:val="22"/>
                <w:szCs w:val="22"/>
              </w:rPr>
              <w:t xml:space="preserve">4</w:t>
            </w:r>
          </w:p>
        </w:tc>
        <w:tc>
          <w:tcPr>
            <w:tcW w:w="1600" w:type="dxa"/>
            <w:vAlign w:val="center"/>
          </w:tcPr>
          <w:p>
            <w:pPr>
              <w:spacing w:after="0" w:line="240" w:lineRule="auto"/>
              <w:jc w:val="center"/>
            </w:pPr>
            <w:r>
              <w:rPr>
                <w:rFonts w:asciiTheme="minorHAnsi" w:hAnsiTheme="minorHAnsi"/>
                <w:sz w:val="22"/>
                <w:szCs w:val="22"/>
              </w:rPr>
              <w:t xml:space="preserve">19.310</w:t>
            </w:r>
          </w:p>
        </w:tc>
        <w:tc>
          <w:tcPr>
            <w:tcW w:w="1900" w:type="dxa"/>
            <w:vAlign w:val="center"/>
          </w:tcPr>
          <w:p>
            <w:pPr>
              <w:spacing w:after="0" w:line="240" w:lineRule="auto"/>
              <w:jc w:val="center"/>
            </w:pPr>
            <w:r>
              <w:rPr>
                <w:rFonts w:asciiTheme="minorHAnsi" w:hAnsiTheme="minorHAnsi"/>
                <w:sz w:val="22"/>
                <w:szCs w:val="22"/>
              </w:rPr>
              <w:t xml:space="preserve">6.000</w:t>
            </w:r>
          </w:p>
        </w:tc>
        <w:tc>
          <w:tcPr>
            <w:tcW w:w="1600" w:type="dxa"/>
            <w:vAlign w:val="center"/>
          </w:tcPr>
          <w:p>
            <w:pPr>
              <w:spacing w:after="0" w:line="240" w:lineRule="auto"/>
              <w:jc w:val="center"/>
            </w:pPr>
            <w:r>
              <w:rPr>
                <w:rFonts w:asciiTheme="minorHAnsi" w:hAnsiTheme="minorHAnsi"/>
                <w:sz w:val="22"/>
                <w:szCs w:val="22"/>
              </w:rPr>
              <w:t xml:space="preserve">Conforme</w:t>
            </w:r>
          </w:p>
        </w:tc>
      </w:tr>
      <w:tr>
        <w:tc>
          <w:tcPr>
            <w:tcW w:w="1600" w:type="dxa"/>
            <w:vAlign w:val="center"/>
          </w:tcPr>
          <w:p>
            <w:pPr>
              <w:spacing w:after="0" w:line="240" w:lineRule="auto"/>
              <w:jc w:val="center"/>
            </w:pPr>
            <w:r>
              <w:rPr>
                <w:rFonts w:asciiTheme="minorHAnsi" w:hAnsiTheme="minorHAnsi"/>
                <w:sz w:val="22"/>
                <w:szCs w:val="22"/>
              </w:rPr>
              <w:t xml:space="preserve">LEVITA</w:t>
            </w:r>
          </w:p>
        </w:tc>
        <w:tc>
          <w:tcPr>
            <w:tcW w:w="1400" w:type="dxa"/>
            <w:vAlign w:val="center"/>
          </w:tcPr>
          <w:p>
            <w:pPr>
              <w:spacing w:after="0" w:line="240" w:lineRule="auto"/>
              <w:jc w:val="center"/>
            </w:pPr>
            <w:r>
              <w:rPr>
                <w:rFonts w:asciiTheme="minorHAnsi" w:hAnsiTheme="minorHAnsi"/>
                <w:sz w:val="22"/>
                <w:szCs w:val="22"/>
              </w:rPr>
              <w:t xml:space="preserve">60×120</w:t>
            </w:r>
          </w:p>
        </w:tc>
        <w:tc>
          <w:tcPr>
            <w:tcW w:w="1900" w:type="dxa"/>
            <w:vAlign w:val="center"/>
          </w:tcPr>
          <w:p>
            <w:pPr>
              <w:spacing w:after="0" w:line="240" w:lineRule="auto"/>
              <w:jc w:val="center"/>
            </w:pPr>
            <w:r>
              <w:rPr>
                <w:rFonts w:asciiTheme="minorHAnsi" w:hAnsiTheme="minorHAnsi"/>
                <w:sz w:val="22"/>
                <w:szCs w:val="22"/>
              </w:rPr>
              <w:t xml:space="preserve">4</w:t>
            </w:r>
          </w:p>
        </w:tc>
        <w:tc>
          <w:tcPr>
            <w:tcW w:w="1600" w:type="dxa"/>
            <w:vAlign w:val="center"/>
          </w:tcPr>
          <w:p>
            <w:pPr>
              <w:spacing w:after="0" w:line="240" w:lineRule="auto"/>
              <w:jc w:val="center"/>
            </w:pPr>
            <w:r>
              <w:rPr>
                <w:rFonts w:asciiTheme="minorHAnsi" w:hAnsiTheme="minorHAnsi"/>
                <w:sz w:val="22"/>
                <w:szCs w:val="22"/>
              </w:rPr>
              <w:t xml:space="preserve">20.030</w:t>
            </w:r>
          </w:p>
        </w:tc>
        <w:tc>
          <w:tcPr>
            <w:tcW w:w="1900" w:type="dxa"/>
            <w:vAlign w:val="center"/>
          </w:tcPr>
          <w:p>
            <w:pPr>
              <w:spacing w:after="0" w:line="240" w:lineRule="auto"/>
              <w:jc w:val="center"/>
            </w:pPr>
            <w:r>
              <w:rPr>
                <w:rFonts w:asciiTheme="minorHAnsi" w:hAnsiTheme="minorHAnsi"/>
                <w:sz w:val="22"/>
                <w:szCs w:val="22"/>
              </w:rPr>
              <w:t xml:space="preserve">6.000</w:t>
            </w:r>
          </w:p>
        </w:tc>
        <w:tc>
          <w:tcPr>
            <w:tcW w:w="1600" w:type="dxa"/>
            <w:vAlign w:val="center"/>
          </w:tcPr>
          <w:p>
            <w:pPr>
              <w:spacing w:after="0" w:line="240" w:lineRule="auto"/>
              <w:jc w:val="center"/>
            </w:pPr>
            <w:r>
              <w:rPr>
                <w:rFonts w:asciiTheme="minorHAnsi" w:hAnsiTheme="minorHAnsi"/>
                <w:sz w:val="22"/>
                <w:szCs w:val="22"/>
              </w:rPr>
              <w:t xml:space="preserve">Conforme</w:t>
            </w:r>
          </w:p>
        </w:tc>
      </w:tr>
    </w:tbl>
    <w:p>
      <w:pPr>
        <w:spacing w:line="360" w:lineRule="auto" w:after="200"/>
        <w:jc w:val="both"/>
      </w:pPr>
    </w:p>
    <w:p>
      <w:pPr>
        <w:spacing w:line="360" w:lineRule="auto" w:after="200"/>
        <w:jc w:val="center"/>
      </w:pPr>
      <w:r>
        <w:rPr>
          <w:rFonts w:asciiTheme="minorHAnsi" w:hAnsiTheme="minorHAnsi"/>
          <w:i/>
          <w:iCs/>
          <w:sz w:val="22"/>
          <w:szCs w:val="22"/>
        </w:rPr>
        <w:t xml:space="preserve">Tabella 1 – Volumi industrializzati per collezione e formato (totale: 121.630 m²)</w:t>
      </w:r>
    </w:p>
    <w:p>
      <w:pPr>
        <w:spacing w:line="360" w:lineRule="auto" w:after="80"/>
        <w:jc w:val="both"/>
      </w:pPr>
      <w:r>
        <w:rPr>
          <w:rFonts w:asciiTheme="minorHAnsi" w:hAnsiTheme="minorHAnsi"/>
          <w:b/>
          <w:bCs/>
          <w:color w:val="024C41"/>
          <w:sz w:val="30"/>
          <w:szCs w:val="30"/>
        </w:rPr>
        <w:t xml:space="preserve">3.2 Esito della verifica tecnica su LEVITA 60×60</w:t>
      </w:r>
    </w:p>
    <w:p>
      <w:pPr>
        <w:spacing w:line="360" w:lineRule="auto"/>
        <w:ind w:firstLine="284"/>
        <w:jc w:val="both"/>
      </w:pPr>
      <w:r>
        <w:rPr>
          <w:rFonts w:asciiTheme="minorHAnsi" w:hAnsiTheme="minorHAnsi"/>
          <w:sz w:val="28"/>
          <w:szCs w:val="28"/>
        </w:rPr>
        <w:t xml:space="preserve">L'azione correttiva sui parametri di pressatura e cottura descritta al §2.1 ha determinato, sulle tonalità beige e white del formato 60×60, una riduzione dell'assorbimento d'acqua da 0,87% e 1,56% (collaudo alpha, RP7.7 Annesso 3) a 0,41% e 0,46% rilevati sui lotti industrializzati, rientrando pienamente entro la soglia di progetto (≤ 0,50%). La verifica tecnica sospesa in esito al collaudo alpha si considera pertanto chiusa positivamente, rimuovendo la condizionalità residua sulla collezione LEVITA.</w:t>
      </w:r>
    </w:p>
    <w:p>
      <w:pPr>
        <w:spacing w:line="360" w:lineRule="auto" w:after="80"/>
        <w:jc w:val="both"/>
      </w:pPr>
      <w:r>
        <w:rPr>
          <w:rFonts w:asciiTheme="minorHAnsi" w:hAnsiTheme="minorHAnsi"/>
          <w:b/>
          <w:bCs/>
          <w:color w:val="024C41"/>
          <w:sz w:val="30"/>
          <w:szCs w:val="30"/>
        </w:rPr>
        <w:t xml:space="preserve">3.3 Caratterizzazione tecnologica – conformità normativa</w:t>
      </w:r>
    </w:p>
    <w:p>
      <w:pPr>
        <w:spacing w:line="360" w:lineRule="auto"/>
        <w:ind w:firstLine="284"/>
        <w:jc w:val="both"/>
      </w:pPr>
      <w:r>
        <w:rPr>
          <w:rFonts w:asciiTheme="minorHAnsi" w:hAnsiTheme="minorHAnsi"/>
          <w:sz w:val="28"/>
          <w:szCs w:val="28"/>
        </w:rPr>
        <w:t xml:space="preserve">Le Tabelle 2 e 3 riportano, per ciascuna collezione, gli intervalli di valori rilevati sui lotti industrializzati a confronto con le soglie previste dal Piano di Sviluppo per ciascun parametro.</w:t>
      </w:r>
    </w:p>
    <w:tbl>
      <w:tblPr>
        <w:tblW w:w="9000" w:type="dxa"/>
        <w:tblBorders>
          <w:top w:val="single" w:sz="4" w:space="0" w:color="024C41"/>
          <w:left w:val="single" w:sz="4" w:space="0" w:color="024C41"/>
          <w:bottom w:val="single" w:sz="4" w:space="0" w:color="024C41"/>
          <w:right w:val="single" w:sz="4" w:space="0" w:color="024C41"/>
          <w:insideH w:val="single" w:sz="4" w:space="0" w:color="A6C9C3"/>
          <w:insideV w:val="single" w:sz="4" w:space="0" w:color="A6C9C3"/>
        </w:tblBorders>
        <w:tblLook w:val="04A0"/>
      </w:tblPr>
      <w:tblGrid>
        <w:gridCol w:w="2100"/>
        <w:gridCol w:w="1600"/>
        <w:gridCol w:w="1700"/>
        <w:gridCol w:w="2200"/>
        <w:gridCol w:w="1400"/>
      </w:tblGrid>
      <w:tr>
        <w:tc>
          <w:tcPr>
            <w:tcW w:w="2100" w:type="dxa"/>
            <w:shd w:val="clear" w:color="auto" w:fill="024C41"/>
            <w:vAlign w:val="center"/>
          </w:tcPr>
          <w:p>
            <w:pPr>
              <w:spacing w:after="0" w:line="240" w:lineRule="auto"/>
              <w:jc w:val="center"/>
            </w:pPr>
            <w:r>
              <w:rPr>
                <w:rFonts w:asciiTheme="minorHAnsi" w:hAnsiTheme="minorHAnsi"/>
                <w:b/>
                <w:bCs/>
                <w:color w:val="FFFFFF"/>
                <w:sz w:val="22"/>
                <w:szCs w:val="22"/>
              </w:rPr>
              <w:t xml:space="preserve">Parametro</w:t>
            </w:r>
          </w:p>
        </w:tc>
        <w:tc>
          <w:tcPr>
            <w:tcW w:w="1600" w:type="dxa"/>
            <w:shd w:val="clear" w:color="auto" w:fill="024C41"/>
            <w:vAlign w:val="center"/>
          </w:tcPr>
          <w:p>
            <w:pPr>
              <w:spacing w:after="0" w:line="240" w:lineRule="auto"/>
              <w:jc w:val="center"/>
            </w:pPr>
            <w:r>
              <w:rPr>
                <w:rFonts w:asciiTheme="minorHAnsi" w:hAnsiTheme="minorHAnsi"/>
                <w:b/>
                <w:bCs/>
                <w:color w:val="FFFFFF"/>
                <w:sz w:val="22"/>
                <w:szCs w:val="22"/>
              </w:rPr>
              <w:t xml:space="preserve">Norma</w:t>
            </w:r>
          </w:p>
        </w:tc>
        <w:tc>
          <w:tcPr>
            <w:tcW w:w="1700" w:type="dxa"/>
            <w:shd w:val="clear" w:color="auto" w:fill="024C41"/>
            <w:vAlign w:val="center"/>
          </w:tcPr>
          <w:p>
            <w:pPr>
              <w:spacing w:after="0" w:line="240" w:lineRule="auto"/>
              <w:jc w:val="center"/>
            </w:pPr>
            <w:r>
              <w:rPr>
                <w:rFonts w:asciiTheme="minorHAnsi" w:hAnsiTheme="minorHAnsi"/>
                <w:b/>
                <w:bCs/>
                <w:color w:val="FFFFFF"/>
                <w:sz w:val="22"/>
                <w:szCs w:val="22"/>
              </w:rPr>
              <w:t xml:space="preserve">Soglia di progetto</w:t>
            </w:r>
          </w:p>
        </w:tc>
        <w:tc>
          <w:tcPr>
            <w:tcW w:w="2200" w:type="dxa"/>
            <w:shd w:val="clear" w:color="auto" w:fill="024C41"/>
            <w:vAlign w:val="center"/>
          </w:tcPr>
          <w:p>
            <w:pPr>
              <w:spacing w:after="0" w:line="240" w:lineRule="auto"/>
              <w:jc w:val="center"/>
            </w:pPr>
            <w:r>
              <w:rPr>
                <w:rFonts w:asciiTheme="minorHAnsi" w:hAnsiTheme="minorHAnsi"/>
                <w:b/>
                <w:bCs/>
                <w:color w:val="FFFFFF"/>
                <w:sz w:val="22"/>
                <w:szCs w:val="22"/>
              </w:rPr>
              <w:t xml:space="preserve">Range rilevato – LIMEN</w:t>
            </w:r>
          </w:p>
        </w:tc>
        <w:tc>
          <w:tcPr>
            <w:tcW w:w="1400" w:type="dxa"/>
            <w:shd w:val="clear" w:color="auto" w:fill="024C41"/>
            <w:vAlign w:val="center"/>
          </w:tcPr>
          <w:p>
            <w:pPr>
              <w:spacing w:after="0" w:line="240" w:lineRule="auto"/>
              <w:jc w:val="center"/>
            </w:pPr>
            <w:r>
              <w:rPr>
                <w:rFonts w:asciiTheme="minorHAnsi" w:hAnsiTheme="minorHAnsi"/>
                <w:b/>
                <w:bCs/>
                <w:color w:val="FFFFFF"/>
                <w:sz w:val="22"/>
                <w:szCs w:val="22"/>
              </w:rPr>
              <w:t xml:space="preserve">Esito</w:t>
            </w:r>
          </w:p>
        </w:tc>
      </w:tr>
      <w:tr>
        <w:tc>
          <w:tcPr>
            <w:tcW w:w="2100" w:type="dxa"/>
            <w:vAlign w:val="center"/>
          </w:tcPr>
          <w:p>
            <w:pPr>
              <w:spacing w:after="0" w:line="240" w:lineRule="auto"/>
              <w:jc w:val="center"/>
            </w:pPr>
            <w:r>
              <w:rPr>
                <w:rFonts w:asciiTheme="minorHAnsi" w:hAnsiTheme="minorHAnsi"/>
                <w:sz w:val="22"/>
                <w:szCs w:val="22"/>
              </w:rPr>
              <w:t xml:space="preserve">Ritiro lineare</w:t>
            </w:r>
          </w:p>
        </w:tc>
        <w:tc>
          <w:tcPr>
            <w:tcW w:w="1600" w:type="dxa"/>
            <w:vAlign w:val="center"/>
          </w:tcPr>
          <w:p>
            <w:pPr>
              <w:spacing w:after="0" w:line="240" w:lineRule="auto"/>
              <w:jc w:val="center"/>
            </w:pPr>
            <w:r>
              <w:rPr>
                <w:rFonts w:asciiTheme="minorHAnsi" w:hAnsiTheme="minorHAnsi"/>
                <w:sz w:val="22"/>
                <w:szCs w:val="22"/>
              </w:rPr>
              <w:t xml:space="preserve">ISO 10545-2</w:t>
            </w:r>
          </w:p>
        </w:tc>
        <w:tc>
          <w:tcPr>
            <w:tcW w:w="1700" w:type="dxa"/>
            <w:vAlign w:val="center"/>
          </w:tcPr>
          <w:p>
            <w:pPr>
              <w:spacing w:after="0" w:line="240" w:lineRule="auto"/>
              <w:jc w:val="center"/>
            </w:pPr>
            <w:r>
              <w:rPr>
                <w:rFonts w:asciiTheme="minorHAnsi" w:hAnsiTheme="minorHAnsi"/>
                <w:sz w:val="22"/>
                <w:szCs w:val="22"/>
              </w:rPr>
              <w:t xml:space="preserve">5÷6%</w:t>
            </w:r>
          </w:p>
        </w:tc>
        <w:tc>
          <w:tcPr>
            <w:tcW w:w="2200" w:type="dxa"/>
            <w:vAlign w:val="center"/>
          </w:tcPr>
          <w:p>
            <w:pPr>
              <w:spacing w:after="0" w:line="240" w:lineRule="auto"/>
              <w:jc w:val="center"/>
            </w:pPr>
            <w:r>
              <w:rPr>
                <w:rFonts w:asciiTheme="minorHAnsi" w:hAnsiTheme="minorHAnsi"/>
                <w:sz w:val="22"/>
                <w:szCs w:val="22"/>
              </w:rPr>
              <w:t xml:space="preserve">5,2÷5,7%</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Assorbimento d'acqua</w:t>
            </w:r>
          </w:p>
        </w:tc>
        <w:tc>
          <w:tcPr>
            <w:tcW w:w="1600" w:type="dxa"/>
            <w:vAlign w:val="center"/>
          </w:tcPr>
          <w:p>
            <w:pPr>
              <w:spacing w:after="0" w:line="240" w:lineRule="auto"/>
              <w:jc w:val="center"/>
            </w:pPr>
            <w:r>
              <w:rPr>
                <w:rFonts w:asciiTheme="minorHAnsi" w:hAnsiTheme="minorHAnsi"/>
                <w:sz w:val="22"/>
                <w:szCs w:val="22"/>
              </w:rPr>
              <w:t xml:space="preserve">ISO 10545-3</w:t>
            </w:r>
          </w:p>
        </w:tc>
        <w:tc>
          <w:tcPr>
            <w:tcW w:w="1700" w:type="dxa"/>
            <w:vAlign w:val="center"/>
          </w:tcPr>
          <w:p>
            <w:pPr>
              <w:spacing w:after="0" w:line="240" w:lineRule="auto"/>
              <w:jc w:val="center"/>
            </w:pPr>
            <w:r>
              <w:rPr>
                <w:rFonts w:asciiTheme="minorHAnsi" w:hAnsiTheme="minorHAnsi"/>
                <w:sz w:val="22"/>
                <w:szCs w:val="22"/>
              </w:rPr>
              <w:t xml:space="preserve">≤ 0,50%</w:t>
            </w:r>
          </w:p>
        </w:tc>
        <w:tc>
          <w:tcPr>
            <w:tcW w:w="2200" w:type="dxa"/>
            <w:vAlign w:val="center"/>
          </w:tcPr>
          <w:p>
            <w:pPr>
              <w:spacing w:after="0" w:line="240" w:lineRule="auto"/>
              <w:jc w:val="center"/>
            </w:pPr>
            <w:r>
              <w:rPr>
                <w:rFonts w:asciiTheme="minorHAnsi" w:hAnsiTheme="minorHAnsi"/>
                <w:sz w:val="22"/>
                <w:szCs w:val="22"/>
              </w:rPr>
              <w:t xml:space="preserve">0,15÷0,29%</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Sforzo di rottura</w:t>
            </w:r>
          </w:p>
        </w:tc>
        <w:tc>
          <w:tcPr>
            <w:tcW w:w="1600" w:type="dxa"/>
            <w:vAlign w:val="center"/>
          </w:tcPr>
          <w:p>
            <w:pPr>
              <w:spacing w:after="0" w:line="240" w:lineRule="auto"/>
              <w:jc w:val="center"/>
            </w:pPr>
            <w:r>
              <w:rPr>
                <w:rFonts w:asciiTheme="minorHAnsi" w:hAnsiTheme="minorHAnsi"/>
                <w:sz w:val="22"/>
                <w:szCs w:val="22"/>
              </w:rPr>
              <w:t xml:space="preserve">ISO 10545-4</w:t>
            </w:r>
          </w:p>
        </w:tc>
        <w:tc>
          <w:tcPr>
            <w:tcW w:w="1700" w:type="dxa"/>
            <w:vAlign w:val="center"/>
          </w:tcPr>
          <w:p>
            <w:pPr>
              <w:spacing w:after="0" w:line="240" w:lineRule="auto"/>
              <w:jc w:val="center"/>
            </w:pPr>
            <w:r>
              <w:rPr>
                <w:rFonts w:asciiTheme="minorHAnsi" w:hAnsiTheme="minorHAnsi"/>
                <w:sz w:val="22"/>
                <w:szCs w:val="22"/>
              </w:rPr>
              <w:t xml:space="preserve">≥ 1300 N</w:t>
            </w:r>
          </w:p>
        </w:tc>
        <w:tc>
          <w:tcPr>
            <w:tcW w:w="2200" w:type="dxa"/>
            <w:vAlign w:val="center"/>
          </w:tcPr>
          <w:p>
            <w:pPr>
              <w:spacing w:after="0" w:line="240" w:lineRule="auto"/>
              <w:jc w:val="center"/>
            </w:pPr>
            <w:r>
              <w:rPr>
                <w:rFonts w:asciiTheme="minorHAnsi" w:hAnsiTheme="minorHAnsi"/>
                <w:sz w:val="22"/>
                <w:szCs w:val="22"/>
              </w:rPr>
              <w:t xml:space="preserve">1810÷2240 N</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Dilatazione termica</w:t>
            </w:r>
          </w:p>
        </w:tc>
        <w:tc>
          <w:tcPr>
            <w:tcW w:w="1600" w:type="dxa"/>
            <w:vAlign w:val="center"/>
          </w:tcPr>
          <w:p>
            <w:pPr>
              <w:spacing w:after="0" w:line="240" w:lineRule="auto"/>
              <w:jc w:val="center"/>
            </w:pPr>
            <w:r>
              <w:rPr>
                <w:rFonts w:asciiTheme="minorHAnsi" w:hAnsiTheme="minorHAnsi"/>
                <w:sz w:val="22"/>
                <w:szCs w:val="22"/>
              </w:rPr>
              <w:t xml:space="preserve">ISO 10545-8</w:t>
            </w:r>
          </w:p>
        </w:tc>
        <w:tc>
          <w:tcPr>
            <w:tcW w:w="1700" w:type="dxa"/>
            <w:vAlign w:val="center"/>
          </w:tcPr>
          <w:p>
            <w:pPr>
              <w:spacing w:after="0" w:line="240" w:lineRule="auto"/>
              <w:jc w:val="center"/>
            </w:pPr>
            <w:r>
              <w:rPr>
                <w:rFonts w:asciiTheme="minorHAnsi" w:hAnsiTheme="minorHAnsi"/>
                <w:sz w:val="22"/>
                <w:szCs w:val="22"/>
              </w:rPr>
              <w:t xml:space="preserve">≤ 7 (MK)⁻¹</w:t>
            </w:r>
          </w:p>
        </w:tc>
        <w:tc>
          <w:tcPr>
            <w:tcW w:w="2200" w:type="dxa"/>
            <w:vAlign w:val="center"/>
          </w:tcPr>
          <w:p>
            <w:pPr>
              <w:spacing w:after="0" w:line="240" w:lineRule="auto"/>
              <w:jc w:val="center"/>
            </w:pPr>
            <w:r>
              <w:rPr>
                <w:rFonts w:asciiTheme="minorHAnsi" w:hAnsiTheme="minorHAnsi"/>
                <w:sz w:val="22"/>
                <w:szCs w:val="22"/>
              </w:rPr>
              <w:t xml:space="preserve">6,1÷6,6 (MK)⁻¹</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Resistenza chimica</w:t>
            </w:r>
          </w:p>
        </w:tc>
        <w:tc>
          <w:tcPr>
            <w:tcW w:w="1600" w:type="dxa"/>
            <w:vAlign w:val="center"/>
          </w:tcPr>
          <w:p>
            <w:pPr>
              <w:spacing w:after="0" w:line="240" w:lineRule="auto"/>
              <w:jc w:val="center"/>
            </w:pPr>
            <w:r>
              <w:rPr>
                <w:rFonts w:asciiTheme="minorHAnsi" w:hAnsiTheme="minorHAnsi"/>
                <w:sz w:val="22"/>
                <w:szCs w:val="22"/>
              </w:rPr>
              <w:t xml:space="preserve">ISO 10545-13</w:t>
            </w:r>
          </w:p>
        </w:tc>
        <w:tc>
          <w:tcPr>
            <w:tcW w:w="1700" w:type="dxa"/>
            <w:vAlign w:val="center"/>
          </w:tcPr>
          <w:p>
            <w:pPr>
              <w:spacing w:after="0" w:line="240" w:lineRule="auto"/>
              <w:jc w:val="center"/>
            </w:pPr>
            <w:r>
              <w:rPr>
                <w:rFonts w:asciiTheme="minorHAnsi" w:hAnsiTheme="minorHAnsi"/>
                <w:sz w:val="22"/>
                <w:szCs w:val="22"/>
              </w:rPr>
              <w:t xml:space="preserve">Classe A</w:t>
            </w:r>
          </w:p>
        </w:tc>
        <w:tc>
          <w:tcPr>
            <w:tcW w:w="2200" w:type="dxa"/>
            <w:vAlign w:val="center"/>
          </w:tcPr>
          <w:p>
            <w:pPr>
              <w:spacing w:after="0" w:line="240" w:lineRule="auto"/>
              <w:jc w:val="center"/>
            </w:pPr>
            <w:r>
              <w:rPr>
                <w:rFonts w:asciiTheme="minorHAnsi" w:hAnsiTheme="minorHAnsi"/>
                <w:sz w:val="22"/>
                <w:szCs w:val="22"/>
              </w:rPr>
              <w:t xml:space="preserve">Classe A</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Resistenza alle macchie</w:t>
            </w:r>
          </w:p>
        </w:tc>
        <w:tc>
          <w:tcPr>
            <w:tcW w:w="1600" w:type="dxa"/>
            <w:vAlign w:val="center"/>
          </w:tcPr>
          <w:p>
            <w:pPr>
              <w:spacing w:after="0" w:line="240" w:lineRule="auto"/>
              <w:jc w:val="center"/>
            </w:pPr>
            <w:r>
              <w:rPr>
                <w:rFonts w:asciiTheme="minorHAnsi" w:hAnsiTheme="minorHAnsi"/>
                <w:sz w:val="22"/>
                <w:szCs w:val="22"/>
              </w:rPr>
              <w:t xml:space="preserve">ISO 10545-14</w:t>
            </w:r>
          </w:p>
        </w:tc>
        <w:tc>
          <w:tcPr>
            <w:tcW w:w="1700" w:type="dxa"/>
            <w:vAlign w:val="center"/>
          </w:tcPr>
          <w:p>
            <w:pPr>
              <w:spacing w:after="0" w:line="240" w:lineRule="auto"/>
              <w:jc w:val="center"/>
            </w:pPr>
            <w:r>
              <w:rPr>
                <w:rFonts w:asciiTheme="minorHAnsi" w:hAnsiTheme="minorHAnsi"/>
                <w:sz w:val="22"/>
                <w:szCs w:val="22"/>
              </w:rPr>
              <w:t xml:space="preserve">Pulibile</w:t>
            </w:r>
          </w:p>
        </w:tc>
        <w:tc>
          <w:tcPr>
            <w:tcW w:w="2200" w:type="dxa"/>
            <w:vAlign w:val="center"/>
          </w:tcPr>
          <w:p>
            <w:pPr>
              <w:spacing w:after="0" w:line="240" w:lineRule="auto"/>
              <w:jc w:val="center"/>
            </w:pPr>
            <w:r>
              <w:rPr>
                <w:rFonts w:asciiTheme="minorHAnsi" w:hAnsiTheme="minorHAnsi"/>
                <w:sz w:val="22"/>
                <w:szCs w:val="22"/>
              </w:rPr>
              <w:t xml:space="preserve">Pulibile (classe 5)</w:t>
            </w:r>
          </w:p>
        </w:tc>
        <w:tc>
          <w:tcPr>
            <w:tcW w:w="1400" w:type="dxa"/>
            <w:vAlign w:val="center"/>
          </w:tcPr>
          <w:p>
            <w:pPr>
              <w:spacing w:after="0" w:line="240" w:lineRule="auto"/>
              <w:jc w:val="center"/>
            </w:pPr>
            <w:r>
              <w:rPr>
                <w:rFonts w:asciiTheme="minorHAnsi" w:hAnsiTheme="minorHAnsi"/>
                <w:sz w:val="22"/>
                <w:szCs w:val="22"/>
              </w:rPr>
              <w:t xml:space="preserve">Confermato</w:t>
            </w:r>
          </w:p>
        </w:tc>
      </w:tr>
    </w:tbl>
    <w:p>
      <w:pPr>
        <w:spacing w:line="360" w:lineRule="auto" w:after="200"/>
        <w:jc w:val="both"/>
      </w:pPr>
    </w:p>
    <w:p>
      <w:pPr>
        <w:spacing w:line="360" w:lineRule="auto" w:after="200"/>
        <w:jc w:val="center"/>
      </w:pPr>
      <w:r>
        <w:rPr>
          <w:rFonts w:asciiTheme="minorHAnsi" w:hAnsiTheme="minorHAnsi"/>
          <w:i/>
          <w:iCs/>
          <w:sz w:val="22"/>
          <w:szCs w:val="22"/>
        </w:rPr>
        <w:t xml:space="preserve">Tabella 2 – Conformità normativa dei lotti industrializzati, collezione LIMEN</w:t>
      </w:r>
    </w:p>
    <w:tbl>
      <w:tblPr>
        <w:tblW w:w="9000" w:type="dxa"/>
        <w:tblBorders>
          <w:top w:val="single" w:sz="4" w:space="0" w:color="024C41"/>
          <w:left w:val="single" w:sz="4" w:space="0" w:color="024C41"/>
          <w:bottom w:val="single" w:sz="4" w:space="0" w:color="024C41"/>
          <w:right w:val="single" w:sz="4" w:space="0" w:color="024C41"/>
          <w:insideH w:val="single" w:sz="4" w:space="0" w:color="A6C9C3"/>
          <w:insideV w:val="single" w:sz="4" w:space="0" w:color="A6C9C3"/>
        </w:tblBorders>
        <w:tblLook w:val="04A0"/>
      </w:tblPr>
      <w:tblGrid>
        <w:gridCol w:w="2100"/>
        <w:gridCol w:w="1600"/>
        <w:gridCol w:w="1700"/>
        <w:gridCol w:w="2200"/>
        <w:gridCol w:w="1400"/>
      </w:tblGrid>
      <w:tr>
        <w:tc>
          <w:tcPr>
            <w:tcW w:w="2100" w:type="dxa"/>
            <w:shd w:val="clear" w:color="auto" w:fill="024C41"/>
            <w:vAlign w:val="center"/>
          </w:tcPr>
          <w:p>
            <w:pPr>
              <w:spacing w:after="0" w:line="240" w:lineRule="auto"/>
              <w:jc w:val="center"/>
            </w:pPr>
            <w:r>
              <w:rPr>
                <w:rFonts w:asciiTheme="minorHAnsi" w:hAnsiTheme="minorHAnsi"/>
                <w:b/>
                <w:bCs/>
                <w:color w:val="FFFFFF"/>
                <w:sz w:val="22"/>
                <w:szCs w:val="22"/>
              </w:rPr>
              <w:t xml:space="preserve">Parametro</w:t>
            </w:r>
          </w:p>
        </w:tc>
        <w:tc>
          <w:tcPr>
            <w:tcW w:w="1600" w:type="dxa"/>
            <w:shd w:val="clear" w:color="auto" w:fill="024C41"/>
            <w:vAlign w:val="center"/>
          </w:tcPr>
          <w:p>
            <w:pPr>
              <w:spacing w:after="0" w:line="240" w:lineRule="auto"/>
              <w:jc w:val="center"/>
            </w:pPr>
            <w:r>
              <w:rPr>
                <w:rFonts w:asciiTheme="minorHAnsi" w:hAnsiTheme="minorHAnsi"/>
                <w:b/>
                <w:bCs/>
                <w:color w:val="FFFFFF"/>
                <w:sz w:val="22"/>
                <w:szCs w:val="22"/>
              </w:rPr>
              <w:t xml:space="preserve">Norma</w:t>
            </w:r>
          </w:p>
        </w:tc>
        <w:tc>
          <w:tcPr>
            <w:tcW w:w="1700" w:type="dxa"/>
            <w:shd w:val="clear" w:color="auto" w:fill="024C41"/>
            <w:vAlign w:val="center"/>
          </w:tcPr>
          <w:p>
            <w:pPr>
              <w:spacing w:after="0" w:line="240" w:lineRule="auto"/>
              <w:jc w:val="center"/>
            </w:pPr>
            <w:r>
              <w:rPr>
                <w:rFonts w:asciiTheme="minorHAnsi" w:hAnsiTheme="minorHAnsi"/>
                <w:b/>
                <w:bCs/>
                <w:color w:val="FFFFFF"/>
                <w:sz w:val="22"/>
                <w:szCs w:val="22"/>
              </w:rPr>
              <w:t xml:space="preserve">Soglia di progetto</w:t>
            </w:r>
          </w:p>
        </w:tc>
        <w:tc>
          <w:tcPr>
            <w:tcW w:w="2200" w:type="dxa"/>
            <w:shd w:val="clear" w:color="auto" w:fill="024C41"/>
            <w:vAlign w:val="center"/>
          </w:tcPr>
          <w:p>
            <w:pPr>
              <w:spacing w:after="0" w:line="240" w:lineRule="auto"/>
              <w:jc w:val="center"/>
            </w:pPr>
            <w:r>
              <w:rPr>
                <w:rFonts w:asciiTheme="minorHAnsi" w:hAnsiTheme="minorHAnsi"/>
                <w:b/>
                <w:bCs/>
                <w:color w:val="FFFFFF"/>
                <w:sz w:val="22"/>
                <w:szCs w:val="22"/>
              </w:rPr>
              <w:t xml:space="preserve">Range rilevato – LEVITA</w:t>
            </w:r>
          </w:p>
        </w:tc>
        <w:tc>
          <w:tcPr>
            <w:tcW w:w="1400" w:type="dxa"/>
            <w:shd w:val="clear" w:color="auto" w:fill="024C41"/>
            <w:vAlign w:val="center"/>
          </w:tcPr>
          <w:p>
            <w:pPr>
              <w:spacing w:after="0" w:line="240" w:lineRule="auto"/>
              <w:jc w:val="center"/>
            </w:pPr>
            <w:r>
              <w:rPr>
                <w:rFonts w:asciiTheme="minorHAnsi" w:hAnsiTheme="minorHAnsi"/>
                <w:b/>
                <w:bCs/>
                <w:color w:val="FFFFFF"/>
                <w:sz w:val="22"/>
                <w:szCs w:val="22"/>
              </w:rPr>
              <w:t xml:space="preserve">Esito</w:t>
            </w:r>
          </w:p>
        </w:tc>
      </w:tr>
      <w:tr>
        <w:tc>
          <w:tcPr>
            <w:tcW w:w="2100" w:type="dxa"/>
            <w:vAlign w:val="center"/>
          </w:tcPr>
          <w:p>
            <w:pPr>
              <w:spacing w:after="0" w:line="240" w:lineRule="auto"/>
              <w:jc w:val="center"/>
            </w:pPr>
            <w:r>
              <w:rPr>
                <w:rFonts w:asciiTheme="minorHAnsi" w:hAnsiTheme="minorHAnsi"/>
                <w:sz w:val="22"/>
                <w:szCs w:val="22"/>
              </w:rPr>
              <w:t xml:space="preserve">Ritiro lineare</w:t>
            </w:r>
          </w:p>
        </w:tc>
        <w:tc>
          <w:tcPr>
            <w:tcW w:w="1600" w:type="dxa"/>
            <w:vAlign w:val="center"/>
          </w:tcPr>
          <w:p>
            <w:pPr>
              <w:spacing w:after="0" w:line="240" w:lineRule="auto"/>
              <w:jc w:val="center"/>
            </w:pPr>
            <w:r>
              <w:rPr>
                <w:rFonts w:asciiTheme="minorHAnsi" w:hAnsiTheme="minorHAnsi"/>
                <w:sz w:val="22"/>
                <w:szCs w:val="22"/>
              </w:rPr>
              <w:t xml:space="preserve">ISO 10545-2</w:t>
            </w:r>
          </w:p>
        </w:tc>
        <w:tc>
          <w:tcPr>
            <w:tcW w:w="1700" w:type="dxa"/>
            <w:vAlign w:val="center"/>
          </w:tcPr>
          <w:p>
            <w:pPr>
              <w:spacing w:after="0" w:line="240" w:lineRule="auto"/>
              <w:jc w:val="center"/>
            </w:pPr>
            <w:r>
              <w:rPr>
                <w:rFonts w:asciiTheme="minorHAnsi" w:hAnsiTheme="minorHAnsi"/>
                <w:sz w:val="22"/>
                <w:szCs w:val="22"/>
              </w:rPr>
              <w:t xml:space="preserve">5÷6%</w:t>
            </w:r>
          </w:p>
        </w:tc>
        <w:tc>
          <w:tcPr>
            <w:tcW w:w="2200" w:type="dxa"/>
            <w:vAlign w:val="center"/>
          </w:tcPr>
          <w:p>
            <w:pPr>
              <w:spacing w:after="0" w:line="240" w:lineRule="auto"/>
              <w:jc w:val="center"/>
            </w:pPr>
            <w:r>
              <w:rPr>
                <w:rFonts w:asciiTheme="minorHAnsi" w:hAnsiTheme="minorHAnsi"/>
                <w:sz w:val="22"/>
                <w:szCs w:val="22"/>
              </w:rPr>
              <w:t xml:space="preserve">5,4÷5,9%</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Assorbimento d'acqua</w:t>
            </w:r>
          </w:p>
        </w:tc>
        <w:tc>
          <w:tcPr>
            <w:tcW w:w="1600" w:type="dxa"/>
            <w:vAlign w:val="center"/>
          </w:tcPr>
          <w:p>
            <w:pPr>
              <w:spacing w:after="0" w:line="240" w:lineRule="auto"/>
              <w:jc w:val="center"/>
            </w:pPr>
            <w:r>
              <w:rPr>
                <w:rFonts w:asciiTheme="minorHAnsi" w:hAnsiTheme="minorHAnsi"/>
                <w:sz w:val="22"/>
                <w:szCs w:val="22"/>
              </w:rPr>
              <w:t xml:space="preserve">ISO 10545-3</w:t>
            </w:r>
          </w:p>
        </w:tc>
        <w:tc>
          <w:tcPr>
            <w:tcW w:w="1700" w:type="dxa"/>
            <w:vAlign w:val="center"/>
          </w:tcPr>
          <w:p>
            <w:pPr>
              <w:spacing w:after="0" w:line="240" w:lineRule="auto"/>
              <w:jc w:val="center"/>
            </w:pPr>
            <w:r>
              <w:rPr>
                <w:rFonts w:asciiTheme="minorHAnsi" w:hAnsiTheme="minorHAnsi"/>
                <w:sz w:val="22"/>
                <w:szCs w:val="22"/>
              </w:rPr>
              <w:t xml:space="preserve">≤ 0,50%</w:t>
            </w:r>
          </w:p>
        </w:tc>
        <w:tc>
          <w:tcPr>
            <w:tcW w:w="2200" w:type="dxa"/>
            <w:vAlign w:val="center"/>
          </w:tcPr>
          <w:p>
            <w:pPr>
              <w:spacing w:after="0" w:line="240" w:lineRule="auto"/>
              <w:jc w:val="center"/>
            </w:pPr>
            <w:r>
              <w:rPr>
                <w:rFonts w:asciiTheme="minorHAnsi" w:hAnsiTheme="minorHAnsi"/>
                <w:sz w:val="22"/>
                <w:szCs w:val="22"/>
              </w:rPr>
              <w:t xml:space="preserve">0,22÷0,46%</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Sforzo di rottura</w:t>
            </w:r>
          </w:p>
        </w:tc>
        <w:tc>
          <w:tcPr>
            <w:tcW w:w="1600" w:type="dxa"/>
            <w:vAlign w:val="center"/>
          </w:tcPr>
          <w:p>
            <w:pPr>
              <w:spacing w:after="0" w:line="240" w:lineRule="auto"/>
              <w:jc w:val="center"/>
            </w:pPr>
            <w:r>
              <w:rPr>
                <w:rFonts w:asciiTheme="minorHAnsi" w:hAnsiTheme="minorHAnsi"/>
                <w:sz w:val="22"/>
                <w:szCs w:val="22"/>
              </w:rPr>
              <w:t xml:space="preserve">ISO 10545-4</w:t>
            </w:r>
          </w:p>
        </w:tc>
        <w:tc>
          <w:tcPr>
            <w:tcW w:w="1700" w:type="dxa"/>
            <w:vAlign w:val="center"/>
          </w:tcPr>
          <w:p>
            <w:pPr>
              <w:spacing w:after="0" w:line="240" w:lineRule="auto"/>
              <w:jc w:val="center"/>
            </w:pPr>
            <w:r>
              <w:rPr>
                <w:rFonts w:asciiTheme="minorHAnsi" w:hAnsiTheme="minorHAnsi"/>
                <w:sz w:val="22"/>
                <w:szCs w:val="22"/>
              </w:rPr>
              <w:t xml:space="preserve">≥ 1300 N</w:t>
            </w:r>
          </w:p>
        </w:tc>
        <w:tc>
          <w:tcPr>
            <w:tcW w:w="2200" w:type="dxa"/>
            <w:vAlign w:val="center"/>
          </w:tcPr>
          <w:p>
            <w:pPr>
              <w:spacing w:after="0" w:line="240" w:lineRule="auto"/>
              <w:jc w:val="center"/>
            </w:pPr>
            <w:r>
              <w:rPr>
                <w:rFonts w:asciiTheme="minorHAnsi" w:hAnsiTheme="minorHAnsi"/>
                <w:sz w:val="22"/>
                <w:szCs w:val="22"/>
              </w:rPr>
              <w:t xml:space="preserve">1420÷1690 N</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Dilatazione termica</w:t>
            </w:r>
          </w:p>
        </w:tc>
        <w:tc>
          <w:tcPr>
            <w:tcW w:w="1600" w:type="dxa"/>
            <w:vAlign w:val="center"/>
          </w:tcPr>
          <w:p>
            <w:pPr>
              <w:spacing w:after="0" w:line="240" w:lineRule="auto"/>
              <w:jc w:val="center"/>
            </w:pPr>
            <w:r>
              <w:rPr>
                <w:rFonts w:asciiTheme="minorHAnsi" w:hAnsiTheme="minorHAnsi"/>
                <w:sz w:val="22"/>
                <w:szCs w:val="22"/>
              </w:rPr>
              <w:t xml:space="preserve">ISO 10545-8</w:t>
            </w:r>
          </w:p>
        </w:tc>
        <w:tc>
          <w:tcPr>
            <w:tcW w:w="1700" w:type="dxa"/>
            <w:vAlign w:val="center"/>
          </w:tcPr>
          <w:p>
            <w:pPr>
              <w:spacing w:after="0" w:line="240" w:lineRule="auto"/>
              <w:jc w:val="center"/>
            </w:pPr>
            <w:r>
              <w:rPr>
                <w:rFonts w:asciiTheme="minorHAnsi" w:hAnsiTheme="minorHAnsi"/>
                <w:sz w:val="22"/>
                <w:szCs w:val="22"/>
              </w:rPr>
              <w:t xml:space="preserve">≤ 7 (MK)⁻¹</w:t>
            </w:r>
          </w:p>
        </w:tc>
        <w:tc>
          <w:tcPr>
            <w:tcW w:w="2200" w:type="dxa"/>
            <w:vAlign w:val="center"/>
          </w:tcPr>
          <w:p>
            <w:pPr>
              <w:spacing w:after="0" w:line="240" w:lineRule="auto"/>
              <w:jc w:val="center"/>
            </w:pPr>
            <w:r>
              <w:rPr>
                <w:rFonts w:asciiTheme="minorHAnsi" w:hAnsiTheme="minorHAnsi"/>
                <w:sz w:val="22"/>
                <w:szCs w:val="22"/>
              </w:rPr>
              <w:t xml:space="preserve">6,4÷6,9 (MK)⁻¹</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Resistenza chimica</w:t>
            </w:r>
          </w:p>
        </w:tc>
        <w:tc>
          <w:tcPr>
            <w:tcW w:w="1600" w:type="dxa"/>
            <w:vAlign w:val="center"/>
          </w:tcPr>
          <w:p>
            <w:pPr>
              <w:spacing w:after="0" w:line="240" w:lineRule="auto"/>
              <w:jc w:val="center"/>
            </w:pPr>
            <w:r>
              <w:rPr>
                <w:rFonts w:asciiTheme="minorHAnsi" w:hAnsiTheme="minorHAnsi"/>
                <w:sz w:val="22"/>
                <w:szCs w:val="22"/>
              </w:rPr>
              <w:t xml:space="preserve">ISO 10545-13</w:t>
            </w:r>
          </w:p>
        </w:tc>
        <w:tc>
          <w:tcPr>
            <w:tcW w:w="1700" w:type="dxa"/>
            <w:vAlign w:val="center"/>
          </w:tcPr>
          <w:p>
            <w:pPr>
              <w:spacing w:after="0" w:line="240" w:lineRule="auto"/>
              <w:jc w:val="center"/>
            </w:pPr>
            <w:r>
              <w:rPr>
                <w:rFonts w:asciiTheme="minorHAnsi" w:hAnsiTheme="minorHAnsi"/>
                <w:sz w:val="22"/>
                <w:szCs w:val="22"/>
              </w:rPr>
              <w:t xml:space="preserve">Classe A</w:t>
            </w:r>
          </w:p>
        </w:tc>
        <w:tc>
          <w:tcPr>
            <w:tcW w:w="2200" w:type="dxa"/>
            <w:vAlign w:val="center"/>
          </w:tcPr>
          <w:p>
            <w:pPr>
              <w:spacing w:after="0" w:line="240" w:lineRule="auto"/>
              <w:jc w:val="center"/>
            </w:pPr>
            <w:r>
              <w:rPr>
                <w:rFonts w:asciiTheme="minorHAnsi" w:hAnsiTheme="minorHAnsi"/>
                <w:sz w:val="22"/>
                <w:szCs w:val="22"/>
              </w:rPr>
              <w:t xml:space="preserve">Classe A</w:t>
            </w:r>
          </w:p>
        </w:tc>
        <w:tc>
          <w:tcPr>
            <w:tcW w:w="1400" w:type="dxa"/>
            <w:vAlign w:val="center"/>
          </w:tcPr>
          <w:p>
            <w:pPr>
              <w:spacing w:after="0" w:line="240" w:lineRule="auto"/>
              <w:jc w:val="center"/>
            </w:pPr>
            <w:r>
              <w:rPr>
                <w:rFonts w:asciiTheme="minorHAnsi" w:hAnsiTheme="minorHAnsi"/>
                <w:sz w:val="22"/>
                <w:szCs w:val="22"/>
              </w:rPr>
              <w:t xml:space="preserve">Confermato</w:t>
            </w:r>
          </w:p>
        </w:tc>
      </w:tr>
      <w:tr>
        <w:tc>
          <w:tcPr>
            <w:tcW w:w="2100" w:type="dxa"/>
            <w:vAlign w:val="center"/>
          </w:tcPr>
          <w:p>
            <w:pPr>
              <w:spacing w:after="0" w:line="240" w:lineRule="auto"/>
              <w:jc w:val="center"/>
            </w:pPr>
            <w:r>
              <w:rPr>
                <w:rFonts w:asciiTheme="minorHAnsi" w:hAnsiTheme="minorHAnsi"/>
                <w:sz w:val="22"/>
                <w:szCs w:val="22"/>
              </w:rPr>
              <w:t xml:space="preserve">Resistenza alle macchie</w:t>
            </w:r>
          </w:p>
        </w:tc>
        <w:tc>
          <w:tcPr>
            <w:tcW w:w="1600" w:type="dxa"/>
            <w:vAlign w:val="center"/>
          </w:tcPr>
          <w:p>
            <w:pPr>
              <w:spacing w:after="0" w:line="240" w:lineRule="auto"/>
              <w:jc w:val="center"/>
            </w:pPr>
            <w:r>
              <w:rPr>
                <w:rFonts w:asciiTheme="minorHAnsi" w:hAnsiTheme="minorHAnsi"/>
                <w:sz w:val="22"/>
                <w:szCs w:val="22"/>
              </w:rPr>
              <w:t xml:space="preserve">ISO 10545-14</w:t>
            </w:r>
          </w:p>
        </w:tc>
        <w:tc>
          <w:tcPr>
            <w:tcW w:w="1700" w:type="dxa"/>
            <w:vAlign w:val="center"/>
          </w:tcPr>
          <w:p>
            <w:pPr>
              <w:spacing w:after="0" w:line="240" w:lineRule="auto"/>
              <w:jc w:val="center"/>
            </w:pPr>
            <w:r>
              <w:rPr>
                <w:rFonts w:asciiTheme="minorHAnsi" w:hAnsiTheme="minorHAnsi"/>
                <w:sz w:val="22"/>
                <w:szCs w:val="22"/>
              </w:rPr>
              <w:t xml:space="preserve">Pulibile</w:t>
            </w:r>
          </w:p>
        </w:tc>
        <w:tc>
          <w:tcPr>
            <w:tcW w:w="2200" w:type="dxa"/>
            <w:vAlign w:val="center"/>
          </w:tcPr>
          <w:p>
            <w:pPr>
              <w:spacing w:after="0" w:line="240" w:lineRule="auto"/>
              <w:jc w:val="center"/>
            </w:pPr>
            <w:r>
              <w:rPr>
                <w:rFonts w:asciiTheme="minorHAnsi" w:hAnsiTheme="minorHAnsi"/>
                <w:sz w:val="22"/>
                <w:szCs w:val="22"/>
              </w:rPr>
              <w:t xml:space="preserve">Pulibile (classe 5)</w:t>
            </w:r>
          </w:p>
        </w:tc>
        <w:tc>
          <w:tcPr>
            <w:tcW w:w="1400" w:type="dxa"/>
            <w:vAlign w:val="center"/>
          </w:tcPr>
          <w:p>
            <w:pPr>
              <w:spacing w:after="0" w:line="240" w:lineRule="auto"/>
              <w:jc w:val="center"/>
            </w:pPr>
            <w:r>
              <w:rPr>
                <w:rFonts w:asciiTheme="minorHAnsi" w:hAnsiTheme="minorHAnsi"/>
                <w:sz w:val="22"/>
                <w:szCs w:val="22"/>
              </w:rPr>
              <w:t xml:space="preserve">Confermato</w:t>
            </w:r>
          </w:p>
        </w:tc>
      </w:tr>
    </w:tbl>
    <w:p>
      <w:pPr>
        <w:spacing w:line="360" w:lineRule="auto" w:after="200"/>
        <w:jc w:val="both"/>
      </w:pPr>
    </w:p>
    <w:p>
      <w:pPr>
        <w:spacing w:line="360" w:lineRule="auto" w:after="200"/>
        <w:jc w:val="center"/>
      </w:pPr>
      <w:r>
        <w:rPr>
          <w:rFonts w:asciiTheme="minorHAnsi" w:hAnsiTheme="minorHAnsi"/>
          <w:i/>
          <w:iCs/>
          <w:sz w:val="22"/>
          <w:szCs w:val="22"/>
        </w:rPr>
        <w:t xml:space="preserve">Tabella 3 – Conformità normativa dei lotti industrializzati, collezione LEVITA (formato critico 60×60 dopo azione correttiva)</w:t>
      </w:r>
    </w:p>
    <w:p>
      <w:pPr>
        <w:spacing w:line="360" w:lineRule="auto"/>
        <w:ind w:firstLine="284"/>
        <w:jc w:val="both"/>
      </w:pPr>
      <w:r>
        <w:rPr>
          <w:rFonts w:asciiTheme="minorHAnsi" w:hAnsiTheme="minorHAnsi"/>
          <w:sz w:val="28"/>
          <w:szCs w:val="28"/>
        </w:rPr>
        <w:t xml:space="preserve">Per entrambe le collezioni tutti i parametri normativi risultano confermati su tutte le combinazioni formato/colore industrializzate, superando pertanto in pieno le soglie di conformità stabilite dal Piano di Sviluppo.</w:t>
      </w:r>
    </w:p>
    <w:p>
      <w:pPr>
        <w:spacing w:line="360" w:lineRule="auto" w:after="80"/>
        <w:jc w:val="both"/>
      </w:pPr>
      <w:r>
        <w:rPr>
          <w:rFonts w:asciiTheme="minorHAnsi" w:hAnsiTheme="minorHAnsi"/>
          <w:b/>
          <w:bCs/>
          <w:color w:val="024C41"/>
          <w:sz w:val="30"/>
          <w:szCs w:val="30"/>
        </w:rPr>
        <w:t xml:space="preserve">3.4 Caratterizzazione di sostenibilità e sostenibilità tecnologica</w:t>
      </w:r>
    </w:p>
    <w:p>
      <w:pPr>
        <w:spacing w:line="360" w:lineRule="auto"/>
        <w:ind w:firstLine="284"/>
        <w:jc w:val="both"/>
      </w:pPr>
      <w:r>
        <w:rPr>
          <w:rFonts w:asciiTheme="minorHAnsi" w:hAnsiTheme="minorHAnsi"/>
          <w:sz w:val="28"/>
          <w:szCs w:val="28"/>
        </w:rPr>
        <w:t xml:space="preserve">L'indice di sostenibilità tecnologica di prodotto P-TSI (OR7.4), calcolato sui lotti industrializzati secondo le categorie IOA (Intensità e Origine degli Approvvigionamenti), OP (Ottimizzazione di Processo) e TQ (Tecnologia di Qualità), ha restituito un valore complessivo pari a 0,81 per LIMEN e 0,77 per LEVITA (scala 0–1, soglia minima di riferimento di progetto 0,70 per entrambe le collezioni). L'indice EEA+ (OR7.3), calcolato sul consumo exergetico specifico dei lotti di produzione, evidenzia una riduzione del consumo energetico specifico da 210 kWhₑₓ/t (baseline di processo 2024) a 192 kWhₑₓ/t sui lotti LIMEN (–8,6%) e a 197 kWhₑₓ/t sui lotti LEVITA (–6,2%), attribuibile all'ottimizzazione dei parametri di cottura resa possibile dal monitoraggio in tempo reale della piattaforma Intelligent Factory (OR7.1, OR7.2).</w:t>
      </w:r>
    </w:p>
    <w:p>
      <w:pPr>
        <w:spacing w:line="360" w:lineRule="auto" w:after="80"/>
        <w:jc w:val="both"/>
      </w:pPr>
      <w:r>
        <w:rPr>
          <w:rFonts w:asciiTheme="minorHAnsi" w:hAnsiTheme="minorHAnsi"/>
          <w:b/>
          <w:bCs/>
          <w:color w:val="024C41"/>
          <w:sz w:val="30"/>
          <w:szCs w:val="30"/>
        </w:rPr>
        <w:t xml:space="preserve">3.5 Certificazione di terza parte accreditata</w:t>
      </w:r>
    </w:p>
    <w:p>
      <w:pPr>
        <w:spacing w:line="360" w:lineRule="auto"/>
        <w:ind w:firstLine="284"/>
        <w:jc w:val="both"/>
      </w:pPr>
      <w:r>
        <w:rPr>
          <w:rFonts w:asciiTheme="minorHAnsi" w:hAnsiTheme="minorHAnsi"/>
          <w:sz w:val="28"/>
          <w:szCs w:val="28"/>
        </w:rPr>
        <w:t xml:space="preserve">I campioni rappresentativi delle sei combinazioni collezione/formato sono stati verificati dal Centro Ceramico di Bologna (laboratorio accreditato ACCREDIA n. 0003), che ha confermato la piena conformità ai parametri della Tabella 2 e della Tabella 3 con Rapporto di Prova n. CC/2026/00458 del 12/02/2026, allegato alla presente relazione come riferimento documentale esterno a garanzia della trasparenza del processo di validazione.</w:t>
      </w:r>
    </w:p>
    <w:p>
      <w:pPr>
        <w:spacing w:line="360" w:lineRule="auto" w:after="120"/>
        <w:jc w:val="both"/>
      </w:pPr>
      <w:r>
        <w:rPr>
          <w:rFonts w:asciiTheme="minorHAnsi" w:hAnsiTheme="minorHAnsi"/>
          <w:b/>
          <w:bCs/>
          <w:caps/>
          <w:color w:val="024C41"/>
          <w:sz w:val="36"/>
          <w:szCs w:val="36"/>
        </w:rPr>
        <w:t xml:space="preserve">4.DISCUSSIONE E CONCLUSIONI</w:t>
      </w:r>
    </w:p>
    <w:p>
      <w:pPr>
        <w:spacing w:line="360" w:lineRule="auto"/>
        <w:ind w:firstLine="284"/>
        <w:jc w:val="both"/>
      </w:pPr>
      <w:r>
        <w:rPr>
          <w:rFonts w:asciiTheme="minorHAnsi" w:hAnsiTheme="minorHAnsi"/>
          <w:sz w:val="28"/>
          <w:szCs w:val="28"/>
        </w:rPr>
        <w:t xml:space="preserve">I risultati ottenuti confermano che entrambe le collezioni selezionate in esito a OR7.7 – LIMEN e LEVITA – sono pienamente validate su scala preindustriale: il volume complessivo industrializzato (121.630 m²) supera la soglia minima di progetto (120.000 m²) e tutti i parametri normativi ISO 10545 risultano confermati su ciascuna combinazione di formato e colore, incluso il formato 60×60 di LEVITA per il quale il collaudo alpha aveva evidenziato una non conformità di assorbimento d'acqua, risolta mediante l'azione correttiva sui parametri di pressatura e cottura descritta al §2.1 e verificata al §3.2.</w:t>
      </w:r>
    </w:p>
    <w:p>
      <w:pPr>
        <w:spacing w:line="360" w:lineRule="auto" w:after="80"/>
        <w:jc w:val="both"/>
      </w:pPr>
      <w:r>
        <w:rPr>
          <w:rFonts w:asciiTheme="minorHAnsi" w:hAnsiTheme="minorHAnsi"/>
          <w:b/>
          <w:bCs/>
          <w:color w:val="024C41"/>
          <w:sz w:val="30"/>
          <w:szCs w:val="30"/>
        </w:rPr>
        <w:t xml:space="preserve">4.1 Interdipendenze progettuali</w:t>
      </w:r>
    </w:p>
    <w:p>
      <w:pPr>
        <w:spacing w:line="360" w:lineRule="auto"/>
        <w:ind w:firstLine="284"/>
        <w:jc w:val="both"/>
      </w:pPr>
      <w:r>
        <w:rPr>
          <w:rFonts w:asciiTheme="minorHAnsi" w:hAnsiTheme="minorHAnsi"/>
          <w:sz w:val="28"/>
          <w:szCs w:val="28"/>
        </w:rPr>
        <w:t xml:space="preserve">L'attività chiude il ciclo aperto da OR6.9 (ideazione virtuale del protocollo di design data-driven) e proseguito in OR7.7 (collaudo del protocollo su prototipi di laboratorio), portando le due collezioni dalla scala prototipale alla scala industriale. I risultati di caratterizzazione tecnologica sono stati prodotti in stretto coordinamento con OR2.1 e OR7.4 (indice P-TSI), mentre la caratterizzazione di sostenibilità di processo si è avvalsa della metodologia EEA+ sviluppata in OR7.3. Le prove sono state condotte sulle infrastrutture collaudate in OR7.1 (piattaforma edge-to-cloud) e OR7.2 (Intelligent Factory) e sulle linee ingegnerizzate in OR7.6, a conferma della coerenza complessiva della catena di attività di OR7.</w:t>
      </w:r>
    </w:p>
    <w:p>
      <w:pPr>
        <w:spacing w:line="360" w:lineRule="auto" w:after="80"/>
        <w:jc w:val="both"/>
      </w:pPr>
      <w:r>
        <w:rPr>
          <w:rFonts w:asciiTheme="minorHAnsi" w:hAnsiTheme="minorHAnsi"/>
          <w:b/>
          <w:bCs/>
          <w:color w:val="024C41"/>
          <w:sz w:val="30"/>
          <w:szCs w:val="30"/>
        </w:rPr>
        <w:t xml:space="preserve">4.2 Contributo al Risultato Finale di OR7 (RF7)</w:t>
      </w:r>
    </w:p>
    <w:p>
      <w:pPr>
        <w:spacing w:line="360" w:lineRule="auto"/>
        <w:ind w:firstLine="284"/>
        <w:jc w:val="both"/>
      </w:pPr>
      <w:r>
        <w:rPr>
          <w:rFonts w:asciiTheme="minorHAnsi" w:hAnsiTheme="minorHAnsi"/>
          <w:sz w:val="28"/>
          <w:szCs w:val="28"/>
        </w:rPr>
        <w:t xml:space="preserve">Il Report tecnico delle nuove collezioni costituisce uno dei contributi tecnici che concorrono al Risultato Finale RF7 – Documento finale di collaudo della Intelligent Industry, fornendo evidenza che il sistema di progettazione, industrializzazione e validazione data-driven sviluppato nell'ambito del progetto è in grado di generare, in tempi e con volumi rappresentativi della scala industriale reale, prodotti ceramici pienamente conformi agli standard normativi e agli obiettivi di sostenibilità del progetto.</w:t>
      </w:r>
    </w:p>
    <w:p>
      <w:pPr>
        <w:spacing w:line="360" w:lineRule="auto" w:after="80"/>
        <w:jc w:val="both"/>
      </w:pPr>
      <w:r>
        <w:rPr>
          <w:rFonts w:asciiTheme="minorHAnsi" w:hAnsiTheme="minorHAnsi"/>
          <w:b/>
          <w:bCs/>
          <w:color w:val="024C41"/>
          <w:sz w:val="30"/>
          <w:szCs w:val="30"/>
        </w:rPr>
        <w:t xml:space="preserve">4.3 Implicazioni operative e sviluppi futuri</w:t>
      </w:r>
    </w:p>
    <w:p>
      <w:pPr>
        <w:spacing w:line="360" w:lineRule="auto"/>
        <w:ind w:firstLine="284"/>
        <w:jc w:val="both"/>
      </w:pPr>
      <w:r>
        <w:rPr>
          <w:rFonts w:asciiTheme="minorHAnsi" w:hAnsiTheme="minorHAnsi"/>
          <w:sz w:val="28"/>
          <w:szCs w:val="28"/>
        </w:rPr>
        <w:t xml:space="preserve">In coerenza con le finalità del Piano di Sviluppo (Allegato 4), gli esiti positivi del test preindustriale abilitano la delibera formale di trasferimento a industrializzazione definitiva per entrambe le collezioni, superando la condizionalità residua su LEVITA segnalata in esito a OR7.7. I risultati costituiscono inoltre input diretto per OR7.10 (sviluppo del modello di business AI-driven per il lancio sul mercato delle nuove collezioni) e concorrono, insieme ai risultati delle altre attività tecniche di OR1-OR7, alla stima di impatto socioeconomico complessivo del progetto sviluppata in OR8.6. Si raccomanda di attivare, a 12-24 mesi dal lancio commerciale, il riscontro differito sui dati di vendita già previsto come sviluppo futuro in RP7.7, al fine di completare la validazione ex post dei criteri commerciali del protocollo di Product Design Thinking.</w:t>
      </w:r>
    </w:p>
    <w:p>
      <w:pPr>
        <w:spacing w:line="360" w:lineRule="auto"/>
        <w:jc w:val="both"/>
      </w:pPr>
      <w:r>
        <w:rPr>
          <w:rFonts w:asciiTheme="minorHAnsi" w:hAnsiTheme="minorHAnsi"/>
          <w:sz w:val="28"/>
          <w:szCs w:val="28"/>
        </w:rPr>
        <w:t xml:space="preserve"> </w:t>
      </w:r>
    </w:p>
    <w:sectPr w:rsidRPr="008B7110" w:rsidR="00E72CA7" w:rsidSect="00087A59">
      <w:headerReference w:type="default" r:id="rId12"/>
      <w:footerReference w:type="default" r:id="rId13"/>
      <w:headerReference w:type="first" r:id="rId14"/>
      <w:footerReference w:type="first" r:id="rId15"/>
      <w:pgSz w:w="11906" w:h="16838" w:orient="portrait" w:code="9"/>
      <w:pgMar w:top="1701" w:right="567" w:bottom="1701" w:left="56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00C2B" w:rsidRDefault="00E00C2B" w14:paraId="33A06B7B" w14:textId="77777777">
      <w:r>
        <w:separator/>
      </w:r>
    </w:p>
  </w:endnote>
  <w:endnote w:type="continuationSeparator" w:id="0">
    <w:p w:rsidR="00E00C2B" w:rsidRDefault="00E00C2B" w14:paraId="64C84C61" w14:textId="77777777">
      <w:r>
        <w:continuationSeparator/>
      </w:r>
    </w:p>
  </w:endnote>
  <w:endnote w:type="continuationNotice" w:id="1">
    <w:p w:rsidR="00E00C2B" w:rsidRDefault="00E00C2B" w14:paraId="3C9B36D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3605069"/>
      <w:docPartObj>
        <w:docPartGallery w:val="Page Numbers (Bottom of Page)"/>
        <w:docPartUnique/>
      </w:docPartObj>
    </w:sdtPr>
    <w:sdtEndPr/>
    <w:sdtContent>
      <w:p w:rsidR="00370626" w:rsidRDefault="00370626" w14:paraId="19381E81" w14:textId="728262E7">
        <w:pPr>
          <w:pStyle w:val="Pidipagina"/>
          <w:jc w:val="center"/>
        </w:pPr>
        <w:r>
          <w:fldChar w:fldCharType="begin"/>
        </w:r>
        <w:r>
          <w:instrText>PAGE   \* MERGEFORMAT</w:instrText>
        </w:r>
        <w:r>
          <w:fldChar w:fldCharType="separate"/>
        </w:r>
        <w:r w:rsidR="00C04F39">
          <w:rPr>
            <w:noProof/>
          </w:rPr>
          <w:t>2</w:t>
        </w:r>
        <w:r>
          <w:fldChar w:fldCharType="end"/>
        </w:r>
      </w:p>
    </w:sdtContent>
  </w:sdt>
  <w:p w:rsidRPr="00087A59" w:rsidR="00A45435" w:rsidP="00087A59" w:rsidRDefault="00A45435" w14:paraId="5067C47B" w14:textId="673FE4C4">
    <w:pPr>
      <w:pStyle w:val="Intestazione"/>
      <w:spacing w:before="60" w:after="240"/>
      <w:jc w:val="center"/>
      <w:rPr>
        <w:rFonts w:ascii="Arial" w:hAnsi="Arial" w:cs="Arial"/>
        <w:b/>
        <w:color w:val="FC4F02"/>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du wp14">
  <w:p w:rsidR="00F17E66" w:rsidP="00F17E66" w:rsidRDefault="00F17E66" w14:paraId="7829F121" w14:textId="4CADEE65">
    <w:pPr>
      <w:pStyle w:val="Intestazione"/>
      <w:pBdr>
        <w:bottom w:val="single" w:color="024C41" w:sz="18" w:space="1"/>
      </w:pBdr>
      <w:spacing w:before="60" w:after="240"/>
      <w:rPr>
        <w:rFonts w:asciiTheme="minorHAnsi" w:hAnsiTheme="minorHAnsi" w:cstheme="minorHAnsi"/>
        <w:color w:val="00A98E"/>
        <w:sz w:val="28"/>
        <w:szCs w:val="36"/>
      </w:rPr>
    </w:pPr>
  </w:p>
  <w:p w:rsidR="00F17E66" w:rsidP="00F17E66" w:rsidRDefault="003D56D6" w14:paraId="6F2805CB" w14:textId="6463FEE0">
    <w:pPr>
      <w:pStyle w:val="Intestazione"/>
      <w:spacing w:before="60" w:after="240"/>
      <w:jc w:val="center"/>
      <w:rPr>
        <w:rFonts w:asciiTheme="minorHAnsi" w:hAnsiTheme="minorHAnsi" w:cstheme="minorHAnsi"/>
        <w:color w:val="00A98E"/>
        <w:sz w:val="28"/>
        <w:szCs w:val="36"/>
      </w:rPr>
    </w:pPr>
    <w:r w:rsidRPr="003D56D6">
      <w:rPr>
        <w:rFonts w:asciiTheme="minorHAnsi" w:hAnsiTheme="minorHAnsi" w:cstheme="minorHAnsi"/>
        <w:color w:val="00A98E"/>
        <w:sz w:val="28"/>
        <w:szCs w:val="36"/>
      </w:rPr>
      <w:drawing>
        <wp:inline distT="0" distB="0" distL="0" distR="0" wp14:anchorId="6B35C285" wp14:editId="14EFDE97">
          <wp:extent cx="6840220" cy="584835"/>
          <wp:effectExtent l="0" t="0" r="0" b="5715"/>
          <wp:docPr id="27" name="Immagine 26">
            <a:extLst xmlns:a="http://schemas.openxmlformats.org/drawingml/2006/main">
              <a:ext uri="{FF2B5EF4-FFF2-40B4-BE49-F238E27FC236}">
                <a16:creationId xmlns:a16="http://schemas.microsoft.com/office/drawing/2014/main" id="{534DBD57-FA8C-4557-94E5-9E23A699C8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 26">
                    <a:extLst>
                      <a:ext uri="{FF2B5EF4-FFF2-40B4-BE49-F238E27FC236}">
                        <a16:creationId xmlns:a16="http://schemas.microsoft.com/office/drawing/2014/main" id="{534DBD57-FA8C-4557-94E5-9E23A699C807}"/>
                      </a:ext>
                    </a:extLst>
                  </pic:cNvPr>
                  <pic:cNvPicPr>
                    <a:picLocks noChangeAspect="1"/>
                  </pic:cNvPicPr>
                </pic:nvPicPr>
                <pic:blipFill>
                  <a:blip r:embed="rId1"/>
                  <a:stretch>
                    <a:fillRect/>
                  </a:stretch>
                </pic:blipFill>
                <pic:spPr>
                  <a:xfrm>
                    <a:off x="0" y="0"/>
                    <a:ext cx="6840220" cy="584835"/>
                  </a:xfrm>
                  <a:prstGeom prst="rect">
                    <a:avLst/>
                  </a:prstGeom>
                </pic:spPr>
              </pic:pic>
            </a:graphicData>
          </a:graphic>
        </wp:inline>
      </w:drawing>
    </w:r>
  </w:p>
  <w:p w:rsidRPr="00D311C2" w:rsidR="00A45435" w:rsidP="00F17E66" w:rsidRDefault="00087A59" w14:paraId="4F75B270" w14:textId="0D97F0C7">
    <w:pPr>
      <w:pStyle w:val="Intestazione"/>
      <w:spacing w:before="60" w:after="240"/>
      <w:jc w:val="center"/>
      <w:rPr>
        <w:rFonts w:asciiTheme="minorHAnsi" w:hAnsiTheme="minorHAnsi" w:cstheme="minorHAnsi"/>
        <w:b/>
        <w:bCs/>
        <w:color w:val="00A98E"/>
        <w:sz w:val="28"/>
        <w:szCs w:val="36"/>
      </w:rPr>
    </w:pPr>
    <w:r w:rsidRPr="00D311C2">
      <w:rPr>
        <w:rFonts w:asciiTheme="minorHAnsi" w:hAnsiTheme="minorHAnsi" w:cstheme="minorHAnsi"/>
        <w:b/>
        <w:bCs/>
        <w:color w:val="00A98E"/>
        <w:sz w:val="28"/>
        <w:szCs w:val="36"/>
      </w:rPr>
      <w:t>www.</w:t>
    </w:r>
    <w:r w:rsidRPr="00D311C2" w:rsidR="00A42963">
      <w:rPr>
        <w:rFonts w:asciiTheme="minorHAnsi" w:hAnsiTheme="minorHAnsi" w:cstheme="minorHAnsi"/>
        <w:b/>
        <w:bCs/>
        <w:color w:val="00A98E"/>
        <w:sz w:val="28"/>
        <w:szCs w:val="36"/>
      </w:rPr>
      <w:t>start</w:t>
    </w:r>
    <w:r w:rsidR="003D56D6">
      <w:rPr>
        <w:rFonts w:asciiTheme="minorHAnsi" w:hAnsiTheme="minorHAnsi" w:cstheme="minorHAnsi"/>
        <w:b/>
        <w:bCs/>
        <w:color w:val="00A98E"/>
        <w:sz w:val="28"/>
        <w:szCs w:val="36"/>
      </w:rPr>
      <w:t>-innovability</w:t>
    </w:r>
    <w:r w:rsidRPr="00D311C2">
      <w:rPr>
        <w:rFonts w:asciiTheme="minorHAnsi" w:hAnsiTheme="minorHAnsi" w:cstheme="minorHAnsi"/>
        <w:b/>
        <w:bCs/>
        <w:color w:val="00A98E"/>
        <w:sz w:val="28"/>
        <w:szCs w:val="36"/>
      </w:rPr>
      <w:t>.</w:t>
    </w:r>
    <w:r w:rsidRPr="00D311C2" w:rsidR="00064C8D">
      <w:rPr>
        <w:rFonts w:asciiTheme="minorHAnsi" w:hAnsiTheme="minorHAnsi" w:cstheme="minorHAnsi"/>
        <w:b/>
        <w:bCs/>
        <w:color w:val="00A98E"/>
        <w:sz w:val="28"/>
        <w:szCs w:val="36"/>
      </w:rPr>
      <w:t>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00C2B" w:rsidRDefault="00E00C2B" w14:paraId="02105F46" w14:textId="77777777">
      <w:r>
        <w:separator/>
      </w:r>
    </w:p>
  </w:footnote>
  <w:footnote w:type="continuationSeparator" w:id="0">
    <w:p w:rsidR="00E00C2B" w:rsidRDefault="00E00C2B" w14:paraId="76C87ED6" w14:textId="77777777">
      <w:r>
        <w:continuationSeparator/>
      </w:r>
    </w:p>
  </w:footnote>
  <w:footnote w:type="continuationNotice" w:id="1">
    <w:p w:rsidR="00E00C2B" w:rsidRDefault="00E00C2B" w14:paraId="73FD627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10762" w:type="dxa"/>
      <w:tblInd w:w="-108" w:type="dxa"/>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A42963" w:rsidR="00380ACF" w:rsidTr="00A42963" w14:paraId="139FF03E" w14:textId="77777777">
      <w:tc>
        <w:tcPr>
          <w:tcW w:w="4542" w:type="dxa"/>
        </w:tcPr>
        <w:p w:rsidRPr="00F17E66" w:rsidR="00F17E66" w:rsidP="007D40B1" w:rsidRDefault="00F17E66" w14:paraId="16933ECD" w14:textId="77777777">
          <w:pPr>
            <w:rPr>
              <w:sz w:val="10"/>
              <w:szCs w:val="10"/>
            </w:rPr>
          </w:pPr>
        </w:p>
        <w:p w:rsidR="00380ACF" w:rsidP="007D40B1" w:rsidRDefault="00A42963" w14:paraId="218CE45F" w14:textId="77777777">
          <w:r w:rsidRPr="00380ACF">
            <w:rPr>
              <w:noProof/>
            </w:rPr>
            <w:drawing>
              <wp:inline distT="0" distB="0" distL="0" distR="0" wp14:anchorId="3F19B9DA" wp14:editId="4A2D37D4">
                <wp:extent cx="2047875" cy="1134548"/>
                <wp:effectExtent l="0" t="0" r="0" b="8890"/>
                <wp:docPr id="526394239" name="Immagine 52639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7D40B1" w:rsidRDefault="00F17E66" w14:paraId="47756266" w14:textId="51DC96D5">
          <w:pPr>
            <w:rPr>
              <w:sz w:val="10"/>
              <w:szCs w:val="10"/>
            </w:rPr>
          </w:pPr>
        </w:p>
      </w:tc>
      <w:tc>
        <w:tcPr>
          <w:tcW w:w="6220" w:type="dxa"/>
        </w:tcPr>
        <w:p w:rsidR="00A42963" w:rsidP="007D40B1" w:rsidRDefault="00A42963" w14:paraId="6E891721" w14:textId="77777777">
          <w:pPr>
            <w:jc w:val="center"/>
            <w:rPr>
              <w:rFonts w:asciiTheme="minorHAnsi" w:hAnsiTheme="minorHAnsi" w:cstheme="minorHAnsi"/>
              <w:b/>
              <w:color w:val="595959"/>
              <w:szCs w:val="24"/>
              <w:lang w:val="en-US"/>
            </w:rPr>
          </w:pPr>
        </w:p>
        <w:p w:rsidRPr="00A42963" w:rsidR="00380ACF" w:rsidP="007D40B1" w:rsidRDefault="00380ACF" w14:paraId="01794B94" w14:textId="22CA4F9A">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380ACF" w:rsidP="007D40B1" w:rsidRDefault="00380ACF" w14:paraId="255519F3" w14:textId="77777777">
          <w:pPr>
            <w:jc w:val="center"/>
            <w:rPr>
              <w:rFonts w:asciiTheme="minorHAnsi" w:hAnsiTheme="minorHAnsi" w:cstheme="minorHAnsi"/>
              <w:b/>
              <w:color w:val="525252" w:themeColor="accent3" w:themeShade="80"/>
              <w:sz w:val="16"/>
              <w:szCs w:val="20"/>
              <w:lang w:val="en-US"/>
            </w:rPr>
          </w:pPr>
        </w:p>
        <w:p w:rsidRPr="00A42963" w:rsidR="00A42963" w:rsidP="007D40B1" w:rsidRDefault="00A42963" w14:paraId="4CBF8299"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A42963" w:rsidR="00380ACF" w:rsidP="007D40B1" w:rsidRDefault="00380ACF" w14:paraId="4CD1470F" w14:textId="201B274D">
          <w:pPr>
            <w:jc w:val="center"/>
            <w:rPr>
              <w:rFonts w:asciiTheme="minorHAnsi" w:hAnsiTheme="minorHAnsi" w:cstheme="minorHAnsi"/>
              <w:b/>
              <w:color w:val="595959"/>
              <w:szCs w:val="24"/>
            </w:rPr>
          </w:pPr>
          <w:r w:rsidRPr="00A42963">
            <w:rPr>
              <w:rFonts w:asciiTheme="minorHAnsi" w:hAnsiTheme="minorHAnsi" w:cstheme="minorHAnsi"/>
              <w:b/>
              <w:color w:val="00A98E"/>
              <w:sz w:val="24"/>
              <w:szCs w:val="32"/>
            </w:rPr>
            <w:t xml:space="preserve">Prog. n. </w:t>
          </w:r>
          <w:r w:rsidRPr="00A42963" w:rsidR="00A42963">
            <w:rPr>
              <w:rFonts w:asciiTheme="minorHAnsi" w:hAnsiTheme="minorHAnsi" w:cstheme="minorHAnsi"/>
              <w:b/>
              <w:color w:val="00A98E"/>
              <w:sz w:val="24"/>
              <w:szCs w:val="32"/>
            </w:rPr>
            <w:t>F/310087/01-05/X56</w:t>
          </w:r>
          <w:r w:rsidRPr="00A42963" w:rsidR="00A42963">
            <w:rPr>
              <w:rFonts w:asciiTheme="minorHAnsi" w:hAnsiTheme="minorHAnsi" w:cstheme="minorHAnsi"/>
              <w:b/>
              <w:color w:val="595959"/>
              <w:sz w:val="24"/>
              <w:szCs w:val="32"/>
            </w:rPr>
            <w:t xml:space="preserve"> </w:t>
          </w:r>
        </w:p>
      </w:tc>
    </w:tr>
  </w:tbl>
  <w:p w:rsidRPr="00A42963" w:rsidR="00087A59" w:rsidP="00087A59" w:rsidRDefault="00087A59" w14:paraId="02404575"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0" w:type="auto"/>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380ACF" w:rsidR="00380ACF" w:rsidTr="00A42963" w14:paraId="5203FB71" w14:textId="77777777">
      <w:tc>
        <w:tcPr>
          <w:tcW w:w="4542" w:type="dxa"/>
        </w:tcPr>
        <w:p w:rsidRPr="00F17E66" w:rsidR="00F17E66" w:rsidP="0015016E" w:rsidRDefault="00F17E66" w14:paraId="2F4F55F4" w14:textId="77777777">
          <w:pPr>
            <w:rPr>
              <w:sz w:val="10"/>
              <w:szCs w:val="10"/>
            </w:rPr>
          </w:pPr>
        </w:p>
        <w:p w:rsidR="00380ACF" w:rsidP="0015016E" w:rsidRDefault="00380ACF" w14:paraId="0EFBB021" w14:textId="6C951B90">
          <w:r w:rsidRPr="00380ACF">
            <w:rPr>
              <w:noProof/>
            </w:rPr>
            <w:drawing>
              <wp:inline distT="0" distB="0" distL="0" distR="0" wp14:anchorId="0A26CCA4" wp14:editId="55E72B44">
                <wp:extent cx="2047875" cy="1134548"/>
                <wp:effectExtent l="0" t="0" r="0" b="8890"/>
                <wp:docPr id="888620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15016E" w:rsidRDefault="00F17E66" w14:paraId="6F560366" w14:textId="31DA55B3">
          <w:pPr>
            <w:rPr>
              <w:sz w:val="10"/>
              <w:szCs w:val="10"/>
            </w:rPr>
          </w:pPr>
        </w:p>
      </w:tc>
      <w:tc>
        <w:tcPr>
          <w:tcW w:w="6220" w:type="dxa"/>
        </w:tcPr>
        <w:p w:rsidR="00380ACF" w:rsidP="00002427" w:rsidRDefault="00380ACF" w14:paraId="236DDD0D" w14:textId="77777777">
          <w:pPr>
            <w:jc w:val="center"/>
            <w:rPr>
              <w:rFonts w:asciiTheme="minorHAnsi" w:hAnsiTheme="minorHAnsi" w:cstheme="minorHAnsi"/>
              <w:color w:val="525252" w:themeColor="accent3" w:themeShade="80"/>
              <w:sz w:val="28"/>
              <w:szCs w:val="24"/>
            </w:rPr>
          </w:pPr>
        </w:p>
        <w:p w:rsidRPr="00A42963" w:rsidR="00A42963" w:rsidP="00A42963" w:rsidRDefault="00A42963" w14:paraId="2BBAF2B0" w14:textId="77777777">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A42963" w:rsidP="00A42963" w:rsidRDefault="00A42963" w14:paraId="3DFD2533" w14:textId="77777777">
          <w:pPr>
            <w:jc w:val="center"/>
            <w:rPr>
              <w:rFonts w:asciiTheme="minorHAnsi" w:hAnsiTheme="minorHAnsi" w:cstheme="minorHAnsi"/>
              <w:b/>
              <w:color w:val="525252" w:themeColor="accent3" w:themeShade="80"/>
              <w:sz w:val="16"/>
              <w:szCs w:val="20"/>
              <w:lang w:val="en-US"/>
            </w:rPr>
          </w:pPr>
        </w:p>
        <w:p w:rsidRPr="00A42963" w:rsidR="00A42963" w:rsidP="00A42963" w:rsidRDefault="00A42963" w14:paraId="3388F882"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8862C9" w:rsidR="00380ACF" w:rsidP="00A42963" w:rsidRDefault="00A42963" w14:paraId="0D1DF9C7" w14:textId="28B26B0B">
          <w:pPr>
            <w:jc w:val="center"/>
            <w:rPr>
              <w:rFonts w:asciiTheme="minorHAnsi" w:hAnsiTheme="minorHAnsi" w:cstheme="minorHAnsi"/>
              <w:b/>
              <w:color w:val="595959"/>
              <w:szCs w:val="24"/>
              <w:lang w:val="en-US"/>
            </w:rPr>
          </w:pPr>
          <w:r w:rsidRPr="00A42963">
            <w:rPr>
              <w:rFonts w:asciiTheme="minorHAnsi" w:hAnsiTheme="minorHAnsi" w:cstheme="minorHAnsi"/>
              <w:b/>
              <w:color w:val="00A98E"/>
              <w:sz w:val="24"/>
              <w:szCs w:val="32"/>
            </w:rPr>
            <w:t>Prog. n. F/310087/01-05/X56</w:t>
          </w:r>
        </w:p>
      </w:tc>
    </w:tr>
  </w:tbl>
  <w:p w:rsidRPr="00002427" w:rsidR="00A45435" w:rsidP="00087A59" w:rsidRDefault="00A45435" w14:paraId="7DD20812" w14:textId="77777777">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D5014"/>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1" w15:restartNumberingAfterBreak="0">
    <w:nsid w:val="14121B98"/>
    <w:multiLevelType w:val="hybridMultilevel"/>
    <w:tmpl w:val="AD8680F6"/>
    <w:lvl w:ilvl="0" w:tplc="8AC64D14">
      <w:start w:val="1"/>
      <w:numFmt w:val="bullet"/>
      <w:pStyle w:val="cElencoPuntato"/>
      <w:lvlText w:val=""/>
      <w:lvlJc w:val="left"/>
      <w:pPr>
        <w:tabs>
          <w:tab w:val="num" w:pos="720"/>
        </w:tabs>
        <w:ind w:left="720" w:hanging="360"/>
      </w:pPr>
      <w:rPr>
        <w:rFonts w:hint="default" w:ascii="Symbol" w:hAnsi="Symbol"/>
      </w:rPr>
    </w:lvl>
    <w:lvl w:ilvl="1" w:tplc="C91830AC">
      <w:start w:val="1"/>
      <w:numFmt w:val="decimal"/>
      <w:pStyle w:val="cElencoNumerato"/>
      <w:lvlText w:val="%2."/>
      <w:lvlJc w:val="left"/>
      <w:pPr>
        <w:tabs>
          <w:tab w:val="num" w:pos="1440"/>
        </w:tabs>
        <w:ind w:left="1440" w:hanging="360"/>
      </w:pPr>
      <w:rPr>
        <w:rFonts w:hint="default"/>
      </w:rPr>
    </w:lvl>
    <w:lvl w:ilvl="2" w:tplc="04100005" w:tentative="1">
      <w:start w:val="1"/>
      <w:numFmt w:val="bullet"/>
      <w:lvlText w:val=""/>
      <w:lvlJc w:val="left"/>
      <w:pPr>
        <w:tabs>
          <w:tab w:val="num" w:pos="2160"/>
        </w:tabs>
        <w:ind w:left="2160" w:hanging="360"/>
      </w:pPr>
      <w:rPr>
        <w:rFonts w:hint="default" w:ascii="Wingdings" w:hAnsi="Wingdings"/>
      </w:rPr>
    </w:lvl>
    <w:lvl w:ilvl="3" w:tplc="04100001" w:tentative="1">
      <w:start w:val="1"/>
      <w:numFmt w:val="bullet"/>
      <w:lvlText w:val=""/>
      <w:lvlJc w:val="left"/>
      <w:pPr>
        <w:tabs>
          <w:tab w:val="num" w:pos="2880"/>
        </w:tabs>
        <w:ind w:left="2880" w:hanging="360"/>
      </w:pPr>
      <w:rPr>
        <w:rFonts w:hint="default" w:ascii="Symbol" w:hAnsi="Symbol"/>
      </w:rPr>
    </w:lvl>
    <w:lvl w:ilvl="4" w:tplc="04100003" w:tentative="1">
      <w:start w:val="1"/>
      <w:numFmt w:val="bullet"/>
      <w:lvlText w:val="o"/>
      <w:lvlJc w:val="left"/>
      <w:pPr>
        <w:tabs>
          <w:tab w:val="num" w:pos="3600"/>
        </w:tabs>
        <w:ind w:left="3600" w:hanging="360"/>
      </w:pPr>
      <w:rPr>
        <w:rFonts w:hint="default" w:ascii="Courier New" w:hAnsi="Courier New" w:cs="Courier New"/>
      </w:rPr>
    </w:lvl>
    <w:lvl w:ilvl="5" w:tplc="04100005" w:tentative="1">
      <w:start w:val="1"/>
      <w:numFmt w:val="bullet"/>
      <w:lvlText w:val=""/>
      <w:lvlJc w:val="left"/>
      <w:pPr>
        <w:tabs>
          <w:tab w:val="num" w:pos="4320"/>
        </w:tabs>
        <w:ind w:left="4320" w:hanging="360"/>
      </w:pPr>
      <w:rPr>
        <w:rFonts w:hint="default" w:ascii="Wingdings" w:hAnsi="Wingdings"/>
      </w:rPr>
    </w:lvl>
    <w:lvl w:ilvl="6" w:tplc="04100001" w:tentative="1">
      <w:start w:val="1"/>
      <w:numFmt w:val="bullet"/>
      <w:lvlText w:val=""/>
      <w:lvlJc w:val="left"/>
      <w:pPr>
        <w:tabs>
          <w:tab w:val="num" w:pos="5040"/>
        </w:tabs>
        <w:ind w:left="5040" w:hanging="360"/>
      </w:pPr>
      <w:rPr>
        <w:rFonts w:hint="default" w:ascii="Symbol" w:hAnsi="Symbol"/>
      </w:rPr>
    </w:lvl>
    <w:lvl w:ilvl="7" w:tplc="04100003" w:tentative="1">
      <w:start w:val="1"/>
      <w:numFmt w:val="bullet"/>
      <w:lvlText w:val="o"/>
      <w:lvlJc w:val="left"/>
      <w:pPr>
        <w:tabs>
          <w:tab w:val="num" w:pos="5760"/>
        </w:tabs>
        <w:ind w:left="5760" w:hanging="360"/>
      </w:pPr>
      <w:rPr>
        <w:rFonts w:hint="default" w:ascii="Courier New" w:hAnsi="Courier New" w:cs="Courier New"/>
      </w:rPr>
    </w:lvl>
    <w:lvl w:ilvl="8" w:tplc="0410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20557A6"/>
    <w:multiLevelType w:val="hybridMultilevel"/>
    <w:tmpl w:val="7F88E97C"/>
    <w:lvl w:ilvl="0" w:tplc="0410000F">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2D960A9C"/>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4" w15:restartNumberingAfterBreak="0">
    <w:nsid w:val="2DF2637A"/>
    <w:multiLevelType w:val="hybridMultilevel"/>
    <w:tmpl w:val="2244106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 w15:restartNumberingAfterBreak="0">
    <w:nsid w:val="475E36B0"/>
    <w:multiLevelType w:val="hybridMultilevel"/>
    <w:tmpl w:val="85B4CF3C"/>
    <w:lvl w:ilvl="0" w:tplc="0410001B">
      <w:start w:val="1"/>
      <w:numFmt w:val="low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F5123DF"/>
    <w:multiLevelType w:val="hybridMultilevel"/>
    <w:tmpl w:val="BF0CD8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869414988">
    <w:abstractNumId w:val="1"/>
  </w:num>
  <w:num w:numId="2" w16cid:durableId="191889600">
    <w:abstractNumId w:val="0"/>
  </w:num>
  <w:num w:numId="3" w16cid:durableId="1405685383">
    <w:abstractNumId w:val="3"/>
  </w:num>
  <w:num w:numId="4" w16cid:durableId="905260640">
    <w:abstractNumId w:val="6"/>
  </w:num>
  <w:num w:numId="5" w16cid:durableId="453256951">
    <w:abstractNumId w:val="2"/>
  </w:num>
  <w:num w:numId="6" w16cid:durableId="522670935">
    <w:abstractNumId w:val="4"/>
  </w:num>
  <w:num w:numId="7" w16cid:durableId="1079059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CE5"/>
    <w:rsid w:val="00001033"/>
    <w:rsid w:val="00002427"/>
    <w:rsid w:val="00006006"/>
    <w:rsid w:val="00024280"/>
    <w:rsid w:val="00052384"/>
    <w:rsid w:val="00064C8D"/>
    <w:rsid w:val="0008606B"/>
    <w:rsid w:val="00087A59"/>
    <w:rsid w:val="000A188F"/>
    <w:rsid w:val="000B3532"/>
    <w:rsid w:val="000B5364"/>
    <w:rsid w:val="000E0F4B"/>
    <w:rsid w:val="00100C27"/>
    <w:rsid w:val="0010451F"/>
    <w:rsid w:val="001051CE"/>
    <w:rsid w:val="0010645D"/>
    <w:rsid w:val="00113341"/>
    <w:rsid w:val="00127BBC"/>
    <w:rsid w:val="001449AE"/>
    <w:rsid w:val="001462FF"/>
    <w:rsid w:val="00146F78"/>
    <w:rsid w:val="0015016E"/>
    <w:rsid w:val="001510E5"/>
    <w:rsid w:val="001554A8"/>
    <w:rsid w:val="001653F0"/>
    <w:rsid w:val="001822C7"/>
    <w:rsid w:val="00191ADB"/>
    <w:rsid w:val="001A0748"/>
    <w:rsid w:val="001C44BF"/>
    <w:rsid w:val="001E600D"/>
    <w:rsid w:val="00222544"/>
    <w:rsid w:val="00227AC2"/>
    <w:rsid w:val="002975EB"/>
    <w:rsid w:val="002A5642"/>
    <w:rsid w:val="002B45C4"/>
    <w:rsid w:val="002E15C9"/>
    <w:rsid w:val="002E47CA"/>
    <w:rsid w:val="002E484B"/>
    <w:rsid w:val="002F7338"/>
    <w:rsid w:val="00315AA6"/>
    <w:rsid w:val="003322CF"/>
    <w:rsid w:val="00343A1A"/>
    <w:rsid w:val="00347BBE"/>
    <w:rsid w:val="00350A3F"/>
    <w:rsid w:val="00370626"/>
    <w:rsid w:val="00371FD0"/>
    <w:rsid w:val="00380ACF"/>
    <w:rsid w:val="0038210E"/>
    <w:rsid w:val="00382ABE"/>
    <w:rsid w:val="00383857"/>
    <w:rsid w:val="00383873"/>
    <w:rsid w:val="00385DCD"/>
    <w:rsid w:val="00387C8F"/>
    <w:rsid w:val="003A3863"/>
    <w:rsid w:val="003A57CA"/>
    <w:rsid w:val="003C3A0D"/>
    <w:rsid w:val="003C64CC"/>
    <w:rsid w:val="003C78BD"/>
    <w:rsid w:val="003D56D6"/>
    <w:rsid w:val="003E42C0"/>
    <w:rsid w:val="003F4647"/>
    <w:rsid w:val="0040212E"/>
    <w:rsid w:val="00414D72"/>
    <w:rsid w:val="00426722"/>
    <w:rsid w:val="00432469"/>
    <w:rsid w:val="00434775"/>
    <w:rsid w:val="00442016"/>
    <w:rsid w:val="00443BED"/>
    <w:rsid w:val="00450950"/>
    <w:rsid w:val="00450A34"/>
    <w:rsid w:val="00450E87"/>
    <w:rsid w:val="0047034A"/>
    <w:rsid w:val="004710B2"/>
    <w:rsid w:val="004916F7"/>
    <w:rsid w:val="00493606"/>
    <w:rsid w:val="00493E90"/>
    <w:rsid w:val="004B09C4"/>
    <w:rsid w:val="004E415B"/>
    <w:rsid w:val="004E44AC"/>
    <w:rsid w:val="004F0C5E"/>
    <w:rsid w:val="004F0D85"/>
    <w:rsid w:val="004F32C6"/>
    <w:rsid w:val="004F52C7"/>
    <w:rsid w:val="005020E1"/>
    <w:rsid w:val="00506E16"/>
    <w:rsid w:val="0052090E"/>
    <w:rsid w:val="00530C1B"/>
    <w:rsid w:val="00562094"/>
    <w:rsid w:val="005635AE"/>
    <w:rsid w:val="0057172B"/>
    <w:rsid w:val="0058302C"/>
    <w:rsid w:val="005A3044"/>
    <w:rsid w:val="005A5BFE"/>
    <w:rsid w:val="005B40DA"/>
    <w:rsid w:val="005B52BF"/>
    <w:rsid w:val="005B5379"/>
    <w:rsid w:val="005B6BE3"/>
    <w:rsid w:val="005C62FD"/>
    <w:rsid w:val="005E6551"/>
    <w:rsid w:val="005E7218"/>
    <w:rsid w:val="005F7F0A"/>
    <w:rsid w:val="0061475E"/>
    <w:rsid w:val="00615811"/>
    <w:rsid w:val="00625C20"/>
    <w:rsid w:val="0063488E"/>
    <w:rsid w:val="00634A47"/>
    <w:rsid w:val="00641534"/>
    <w:rsid w:val="00642610"/>
    <w:rsid w:val="00655FC3"/>
    <w:rsid w:val="006870C1"/>
    <w:rsid w:val="006C6880"/>
    <w:rsid w:val="006C6D64"/>
    <w:rsid w:val="006F4EFB"/>
    <w:rsid w:val="006F5C0B"/>
    <w:rsid w:val="006F7023"/>
    <w:rsid w:val="00720738"/>
    <w:rsid w:val="00725F1C"/>
    <w:rsid w:val="00730651"/>
    <w:rsid w:val="00730942"/>
    <w:rsid w:val="00755FC1"/>
    <w:rsid w:val="007646A3"/>
    <w:rsid w:val="00783232"/>
    <w:rsid w:val="00792B4F"/>
    <w:rsid w:val="00796574"/>
    <w:rsid w:val="007D40B1"/>
    <w:rsid w:val="007F6F05"/>
    <w:rsid w:val="0081034F"/>
    <w:rsid w:val="0083544C"/>
    <w:rsid w:val="0083750A"/>
    <w:rsid w:val="0084603E"/>
    <w:rsid w:val="00846290"/>
    <w:rsid w:val="0085429B"/>
    <w:rsid w:val="008629CF"/>
    <w:rsid w:val="008862C9"/>
    <w:rsid w:val="00893C53"/>
    <w:rsid w:val="008A5A0D"/>
    <w:rsid w:val="008B7110"/>
    <w:rsid w:val="008C7ABE"/>
    <w:rsid w:val="008F5B7D"/>
    <w:rsid w:val="008F7966"/>
    <w:rsid w:val="00924708"/>
    <w:rsid w:val="0097184C"/>
    <w:rsid w:val="00973674"/>
    <w:rsid w:val="00992EC6"/>
    <w:rsid w:val="00993B29"/>
    <w:rsid w:val="009A3651"/>
    <w:rsid w:val="009A6504"/>
    <w:rsid w:val="009B40B9"/>
    <w:rsid w:val="009B5D8D"/>
    <w:rsid w:val="009D4F69"/>
    <w:rsid w:val="009F0CC0"/>
    <w:rsid w:val="009F6E03"/>
    <w:rsid w:val="00A031DD"/>
    <w:rsid w:val="00A107D3"/>
    <w:rsid w:val="00A17053"/>
    <w:rsid w:val="00A265D6"/>
    <w:rsid w:val="00A3371E"/>
    <w:rsid w:val="00A4172F"/>
    <w:rsid w:val="00A42963"/>
    <w:rsid w:val="00A45435"/>
    <w:rsid w:val="00A52CEE"/>
    <w:rsid w:val="00A550B9"/>
    <w:rsid w:val="00A67E40"/>
    <w:rsid w:val="00A72558"/>
    <w:rsid w:val="00A914BD"/>
    <w:rsid w:val="00AA3622"/>
    <w:rsid w:val="00AB1E29"/>
    <w:rsid w:val="00AC7E41"/>
    <w:rsid w:val="00AE28DE"/>
    <w:rsid w:val="00AF5714"/>
    <w:rsid w:val="00B1109C"/>
    <w:rsid w:val="00B2460F"/>
    <w:rsid w:val="00B30CF7"/>
    <w:rsid w:val="00B34DCE"/>
    <w:rsid w:val="00B52762"/>
    <w:rsid w:val="00B613C9"/>
    <w:rsid w:val="00B70282"/>
    <w:rsid w:val="00B70A7C"/>
    <w:rsid w:val="00B71BC6"/>
    <w:rsid w:val="00B751DC"/>
    <w:rsid w:val="00B75822"/>
    <w:rsid w:val="00B76C04"/>
    <w:rsid w:val="00B80B8C"/>
    <w:rsid w:val="00B83568"/>
    <w:rsid w:val="00B8550D"/>
    <w:rsid w:val="00B86FB9"/>
    <w:rsid w:val="00B91BC2"/>
    <w:rsid w:val="00BA013B"/>
    <w:rsid w:val="00BA6AFC"/>
    <w:rsid w:val="00BA7CD5"/>
    <w:rsid w:val="00BB2626"/>
    <w:rsid w:val="00BE07DF"/>
    <w:rsid w:val="00BE3462"/>
    <w:rsid w:val="00BE7CC2"/>
    <w:rsid w:val="00BF0D90"/>
    <w:rsid w:val="00C04F39"/>
    <w:rsid w:val="00C05E87"/>
    <w:rsid w:val="00C10053"/>
    <w:rsid w:val="00C209DC"/>
    <w:rsid w:val="00C231E0"/>
    <w:rsid w:val="00C27F1C"/>
    <w:rsid w:val="00C57075"/>
    <w:rsid w:val="00C8188E"/>
    <w:rsid w:val="00CA6DE6"/>
    <w:rsid w:val="00CB0E79"/>
    <w:rsid w:val="00CE26FC"/>
    <w:rsid w:val="00CF2A77"/>
    <w:rsid w:val="00D00B54"/>
    <w:rsid w:val="00D13170"/>
    <w:rsid w:val="00D2509B"/>
    <w:rsid w:val="00D311C2"/>
    <w:rsid w:val="00D37CF8"/>
    <w:rsid w:val="00D42E90"/>
    <w:rsid w:val="00D50B33"/>
    <w:rsid w:val="00D651DA"/>
    <w:rsid w:val="00D74CD3"/>
    <w:rsid w:val="00D93A8C"/>
    <w:rsid w:val="00D94EF4"/>
    <w:rsid w:val="00D97864"/>
    <w:rsid w:val="00DA23F0"/>
    <w:rsid w:val="00DB1A5B"/>
    <w:rsid w:val="00DC1BE9"/>
    <w:rsid w:val="00DE103F"/>
    <w:rsid w:val="00DE2135"/>
    <w:rsid w:val="00DE3725"/>
    <w:rsid w:val="00DE3A80"/>
    <w:rsid w:val="00DE7D27"/>
    <w:rsid w:val="00DF70B0"/>
    <w:rsid w:val="00E00C2B"/>
    <w:rsid w:val="00E14603"/>
    <w:rsid w:val="00E15F0D"/>
    <w:rsid w:val="00E34E57"/>
    <w:rsid w:val="00E551CC"/>
    <w:rsid w:val="00E611F1"/>
    <w:rsid w:val="00E64474"/>
    <w:rsid w:val="00E72CA7"/>
    <w:rsid w:val="00E84486"/>
    <w:rsid w:val="00E924E9"/>
    <w:rsid w:val="00EB1C73"/>
    <w:rsid w:val="00EC0D9B"/>
    <w:rsid w:val="00EE5CAC"/>
    <w:rsid w:val="00F17E66"/>
    <w:rsid w:val="00F21F66"/>
    <w:rsid w:val="00F232FF"/>
    <w:rsid w:val="00F34BF3"/>
    <w:rsid w:val="00F406F1"/>
    <w:rsid w:val="00F560E0"/>
    <w:rsid w:val="00F6345D"/>
    <w:rsid w:val="00F85C74"/>
    <w:rsid w:val="00F92042"/>
    <w:rsid w:val="00F976DC"/>
    <w:rsid w:val="00FA2CE5"/>
    <w:rsid w:val="00FC24C7"/>
    <w:rsid w:val="00FC3370"/>
    <w:rsid w:val="00FD34F7"/>
    <w:rsid w:val="00FD6B54"/>
    <w:rsid w:val="00FF0C55"/>
    <w:rsid w:val="1775785A"/>
    <w:rsid w:val="1956D9D2"/>
    <w:rsid w:val="23A1DAF1"/>
    <w:rsid w:val="23DA3E87"/>
    <w:rsid w:val="2CCD05E7"/>
    <w:rsid w:val="4663C8B5"/>
    <w:rsid w:val="55E9D4E7"/>
    <w:rsid w:val="70697FB7"/>
    <w:rsid w:val="7191D35C"/>
    <w:rsid w:val="76E9792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A5BCCB"/>
  <w15:chartTrackingRefBased/>
  <w15:docId w15:val="{8246964D-62D7-48E0-80E5-947F35355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hAnsi="Times New Roman" w:eastAsia="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e" w:default="1">
    <w:name w:val="Normal"/>
    <w:qFormat/>
    <w:rsid w:val="00A42963"/>
    <w:rPr>
      <w:rFonts w:ascii="Arial Narrow" w:hAnsi="Arial Narrow"/>
      <w:sz w:val="22"/>
      <w:szCs w:val="22"/>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Intestazione">
    <w:name w:val="header"/>
    <w:basedOn w:val="Normale"/>
    <w:rsid w:val="0083544C"/>
    <w:pPr>
      <w:tabs>
        <w:tab w:val="center" w:pos="4819"/>
        <w:tab w:val="right" w:pos="9638"/>
      </w:tabs>
    </w:pPr>
  </w:style>
  <w:style w:type="paragraph" w:styleId="Pidipagina">
    <w:name w:val="footer"/>
    <w:basedOn w:val="Normale"/>
    <w:link w:val="PidipaginaCarattere"/>
    <w:uiPriority w:val="99"/>
    <w:rsid w:val="0083544C"/>
    <w:pPr>
      <w:tabs>
        <w:tab w:val="center" w:pos="4819"/>
        <w:tab w:val="right" w:pos="9638"/>
      </w:tabs>
    </w:pPr>
  </w:style>
  <w:style w:type="character" w:styleId="Collegamentoipertestuale">
    <w:name w:val="Hyperlink"/>
    <w:basedOn w:val="Carpredefinitoparagrafo"/>
    <w:rsid w:val="00383873"/>
    <w:rPr>
      <w:color w:val="0000FF"/>
      <w:u w:val="single"/>
    </w:rPr>
  </w:style>
  <w:style w:type="paragraph" w:styleId="cIndirizzo" w:customStyle="1">
    <w:name w:val="cIndirizzo"/>
    <w:basedOn w:val="Normale"/>
    <w:next w:val="Normale"/>
    <w:rsid w:val="00893C53"/>
    <w:pPr>
      <w:ind w:left="6804"/>
    </w:pPr>
  </w:style>
  <w:style w:type="paragraph" w:styleId="cCorteseAttenzione" w:customStyle="1">
    <w:name w:val="cCorteseAttenzione"/>
    <w:basedOn w:val="Normale"/>
    <w:next w:val="cIndirizzo"/>
    <w:rsid w:val="00893C53"/>
    <w:pPr>
      <w:ind w:left="6804"/>
    </w:pPr>
    <w:rPr>
      <w:i/>
    </w:rPr>
  </w:style>
  <w:style w:type="paragraph" w:styleId="cRagioneSociale" w:customStyle="1">
    <w:name w:val="cRagioneSociale"/>
    <w:basedOn w:val="Normale"/>
    <w:next w:val="cCorteseAttenzione"/>
    <w:rsid w:val="00E14603"/>
    <w:pPr>
      <w:spacing w:before="480"/>
      <w:ind w:left="6804"/>
    </w:pPr>
    <w:rPr>
      <w:b/>
    </w:rPr>
  </w:style>
  <w:style w:type="paragraph" w:styleId="cOggetto" w:customStyle="1">
    <w:name w:val="cOggetto"/>
    <w:basedOn w:val="Normale"/>
    <w:next w:val="Normale"/>
    <w:rsid w:val="00893C53"/>
    <w:pPr>
      <w:spacing w:before="480" w:after="360"/>
    </w:pPr>
  </w:style>
  <w:style w:type="paragraph" w:styleId="cElencoPuntato" w:customStyle="1">
    <w:name w:val="cElencoPuntato"/>
    <w:basedOn w:val="Normale"/>
    <w:rsid w:val="00893C53"/>
    <w:pPr>
      <w:numPr>
        <w:numId w:val="1"/>
      </w:numPr>
      <w:tabs>
        <w:tab w:val="clear" w:pos="720"/>
        <w:tab w:val="num" w:pos="360"/>
      </w:tabs>
      <w:ind w:left="360" w:hanging="180"/>
    </w:pPr>
  </w:style>
  <w:style w:type="paragraph" w:styleId="cElencoNumerato" w:customStyle="1">
    <w:name w:val="cElencoNumerato"/>
    <w:basedOn w:val="Normale"/>
    <w:rsid w:val="00893C53"/>
    <w:pPr>
      <w:numPr>
        <w:ilvl w:val="1"/>
        <w:numId w:val="1"/>
      </w:numPr>
      <w:tabs>
        <w:tab w:val="clear" w:pos="1440"/>
        <w:tab w:val="num" w:pos="360"/>
      </w:tabs>
      <w:ind w:left="360" w:hanging="180"/>
    </w:pPr>
  </w:style>
  <w:style w:type="paragraph" w:styleId="cSaluto" w:customStyle="1">
    <w:name w:val="cSaluto"/>
    <w:basedOn w:val="Normale"/>
    <w:next w:val="Normale"/>
    <w:rsid w:val="00DE103F"/>
    <w:pPr>
      <w:spacing w:after="120"/>
    </w:pPr>
    <w:rPr>
      <w:i/>
    </w:rPr>
  </w:style>
  <w:style w:type="paragraph" w:styleId="cFunzioneFirmatario" w:customStyle="1">
    <w:name w:val="cFunzioneFirmatario"/>
    <w:basedOn w:val="Normale"/>
    <w:next w:val="Normale"/>
    <w:rsid w:val="00D00B54"/>
    <w:pPr>
      <w:ind w:left="6804"/>
    </w:pPr>
    <w:rPr>
      <w:i/>
    </w:rPr>
  </w:style>
  <w:style w:type="paragraph" w:styleId="cFirmatario" w:customStyle="1">
    <w:name w:val="cFirmatario"/>
    <w:basedOn w:val="Normale"/>
    <w:next w:val="cFunzioneFirmatario"/>
    <w:rsid w:val="00D00B54"/>
    <w:pPr>
      <w:spacing w:before="480"/>
      <w:ind w:left="6804"/>
    </w:pPr>
  </w:style>
  <w:style w:type="table" w:styleId="Grigliatabella">
    <w:name w:val="Table Grid"/>
    <w:basedOn w:val="Tabellanormale"/>
    <w:rsid w:val="00B751D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umeropagina">
    <w:name w:val="page number"/>
    <w:basedOn w:val="Carpredefinitoparagrafo"/>
    <w:rsid w:val="00B751DC"/>
  </w:style>
  <w:style w:type="paragraph" w:styleId="Paragrafoelenco">
    <w:name w:val="List Paragraph"/>
    <w:basedOn w:val="Normale"/>
    <w:uiPriority w:val="34"/>
    <w:qFormat/>
    <w:rsid w:val="00CA6DE6"/>
    <w:pPr>
      <w:ind w:left="720"/>
      <w:contextualSpacing/>
    </w:pPr>
  </w:style>
  <w:style w:type="character" w:styleId="PidipaginaCarattere" w:customStyle="1">
    <w:name w:val="Piè di pagina Carattere"/>
    <w:basedOn w:val="Carpredefinitoparagrafo"/>
    <w:link w:val="Pidipagina"/>
    <w:uiPriority w:val="99"/>
    <w:rsid w:val="00370626"/>
    <w:rPr>
      <w:rFonts w:ascii="Arial Narrow" w:hAnsi="Arial Narrow"/>
      <w:sz w:val="22"/>
      <w:szCs w:val="22"/>
    </w:rPr>
  </w:style>
  <w:style w:type="character" w:styleId="Collegamentovisitato">
    <w:name w:val="FollowedHyperlink"/>
    <w:basedOn w:val="Carpredefinitoparagrafo"/>
    <w:rsid w:val="00F560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ceramichegresmalt.sharepoint.com/sites/progettistartvolt/Documenti%20condivisi/S4.Attivit&#224;%20di%20R&amp;S%20-%20OR/1.Piano%20di%20Sviluppo%20Finale/START_Piano_di_Sviluppo_all4_integrato.pdf?CT=1689066917148&amp;OR=ItemsView" TargetMode="External" Id="rId11" /><Relationship Type="http://schemas.openxmlformats.org/officeDocument/2006/relationships/numbering" Target="numbering.xml" Id="rId5" /><Relationship Type="http://schemas.openxmlformats.org/officeDocument/2006/relationships/footer" Target="footer2.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COMMERCIALE%20FIORANO\Tesi\2010\Alessandro%20Vitto\Autorizzazione%20Alessandro.dot" TargetMode="External"/></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2.xml><?xml version="1.0" encoding="utf-8"?>
<ct:contentTypeSchema xmlns:ct="http://schemas.microsoft.com/office/2006/metadata/contentType" xmlns:ma="http://schemas.microsoft.com/office/2006/metadata/properties/metaAttributes" ct:_="" ma:_="" ma:contentTypeName="Documento" ma:contentTypeID="0x0101000CC961CE0EB86C4BAF5FBA22B52F24DB" ma:contentTypeVersion="17" ma:contentTypeDescription="Creare un nuovo documento." ma:contentTypeScope="" ma:versionID="0a5f7229cbb106ba2abe7c95b092b442">
  <xsd:schema xmlns:xsd="http://www.w3.org/2001/XMLSchema" xmlns:xs="http://www.w3.org/2001/XMLSchema" xmlns:p="http://schemas.microsoft.com/office/2006/metadata/properties" xmlns:ns2="56f694ce-0d8d-4140-af7b-51105567e791" xmlns:ns3="ad955218-927d-446f-bd94-718ac5e6255c" targetNamespace="http://schemas.microsoft.com/office/2006/metadata/properties" ma:root="true" ma:fieldsID="5e0b6d1355d1909234ea1c3671f66232" ns2:_="" ns3:_="">
    <xsd:import namespace="56f694ce-0d8d-4140-af7b-51105567e791"/>
    <xsd:import namespace="ad955218-927d-446f-bd94-718ac5e6255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f694ce-0d8d-4140-af7b-51105567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Tag immagine" ma:readOnly="false" ma:fieldId="{5cf76f15-5ced-4ddc-b409-7134ff3c332f}" ma:taxonomyMulti="true" ma:sspId="a3126849-ed39-4324-a057-c3f9becfe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955218-927d-446f-bd94-718ac5e6255c"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TaxCatchAll" ma:index="22" nillable="true" ma:displayName="Taxonomy Catch All Column" ma:hidden="true" ma:list="{2aca5ff2-35fa-4634-855e-35521b5f5a05}" ma:internalName="TaxCatchAll" ma:showField="CatchAllData" ma:web="ad955218-927d-446f-bd94-718ac5e6255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6f694ce-0d8d-4140-af7b-51105567e791">
      <Terms xmlns="http://schemas.microsoft.com/office/infopath/2007/PartnerControls"/>
    </lcf76f155ced4ddcb4097134ff3c332f>
    <TaxCatchAll xmlns="ad955218-927d-446f-bd94-718ac5e6255c" xsi:nil="true"/>
  </documentManagement>
</p:properties>
</file>

<file path=customXml/itemProps1.xml><?xml version="1.0" encoding="utf-8"?>
<ds:datastoreItem xmlns:ds="http://schemas.openxmlformats.org/officeDocument/2006/customXml" ds:itemID="{BB0AA0DE-F95E-48A6-A386-1FF17D0AB3F2}">
  <ds:schemaRefs>
    <ds:schemaRef ds:uri="http://schemas.openxmlformats.org/officeDocument/2006/bibliography"/>
  </ds:schemaRefs>
</ds:datastoreItem>
</file>

<file path=customXml/itemProps2.xml><?xml version="1.0" encoding="utf-8"?>
<ds:datastoreItem xmlns:ds="http://schemas.openxmlformats.org/officeDocument/2006/customXml" ds:itemID="{F5A8B1E8-67FC-48F3-80DE-6E09F3797C2A}"/>
</file>

<file path=customXml/itemProps3.xml><?xml version="1.0" encoding="utf-8"?>
<ds:datastoreItem xmlns:ds="http://schemas.openxmlformats.org/officeDocument/2006/customXml" ds:itemID="{CC107ABC-960D-44AD-BFCA-9ECF2E83289D}">
  <ds:schemaRefs>
    <ds:schemaRef ds:uri="http://schemas.microsoft.com/sharepoint/v3/contenttype/forms"/>
  </ds:schemaRefs>
</ds:datastoreItem>
</file>

<file path=customXml/itemProps4.xml><?xml version="1.0" encoding="utf-8"?>
<ds:datastoreItem xmlns:ds="http://schemas.openxmlformats.org/officeDocument/2006/customXml" ds:itemID="{673B02D6-3A44-4F96-A66F-28D9C110DA91}">
  <ds:schemaRefs>
    <ds:schemaRef ds:uri="http://schemas.openxmlformats.org/package/2006/metadata/core-properties"/>
    <ds:schemaRef ds:uri="http://purl.org/dc/dcmitype/"/>
    <ds:schemaRef ds:uri="http://schemas.microsoft.com/office/2006/metadata/properties"/>
    <ds:schemaRef ds:uri="http://schemas.microsoft.com/office/2006/documentManagement/types"/>
    <ds:schemaRef ds:uri="http://schemas.microsoft.com/office/infopath/2007/PartnerControls"/>
    <ds:schemaRef ds:uri="ad955218-927d-446f-bd94-718ac5e6255c"/>
    <ds:schemaRef ds:uri="56f694ce-0d8d-4140-af7b-51105567e791"/>
    <ds:schemaRef ds:uri="http://www.w3.org/XML/1998/namespace"/>
    <ds:schemaRef ds:uri="http://purl.org/dc/terms/"/>
    <ds:schemaRef ds:uri="http://purl.org/dc/elements/1.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Autorizzazione Alessandro</ap:Template>
  <ap:Application>Microsoft Word for the web</ap:Application>
  <ap:DocSecurity>0</ap:DocSecurity>
  <ap:ScaleCrop>false</ap:ScaleCrop>
  <ap:Company>Proelia Sistemi Srl</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Ragione Sociale</dc:title>
  <dc:subject/>
  <dc:creator>Settembre Davide</dc:creator>
  <cp:keywords/>
  <dc:description/>
  <cp:lastModifiedBy>Luca Iattici</cp:lastModifiedBy>
  <cp:revision>81</cp:revision>
  <cp:lastPrinted>2018-04-19T13:54:00Z</cp:lastPrinted>
  <dcterms:created xsi:type="dcterms:W3CDTF">2018-04-19T13:56:00Z</dcterms:created>
  <dcterms:modified xsi:type="dcterms:W3CDTF">2025-09-25T14:00:07Z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0x0101000CC961CE0EB86C4BAF5FBA22B52F24DB</vt:lpwstr>
  </property>
  <property fmtid="{D5CDD505-2E9C-101B-9397-08002B2CF9AE}" pid="3" name="MediaServiceImageTags">
    <vt:lpwstr/>
  </property>
  <property fmtid="{D5CDD505-2E9C-101B-9397-08002B2CF9AE}" pid="5" name="docLang">
    <vt:lpwstr>it</vt:lpwstr>
  </property>
</Properties>
</file>