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B5A3C"/>
          <w:sz w:val="22"/>
        </w:rPr>
        <w:t>SusTainable dAta-dRiven manufacTuring</w:t>
      </w:r>
    </w:p>
    <w:p>
      <w:pPr>
        <w:jc w:val="center"/>
      </w:pPr>
      <w:r>
        <w:rPr>
          <w:b w:val="0"/>
          <w:sz w:val="18"/>
        </w:rPr>
        <w:t>Accordo Innovazione DM 31/12/2021</w:t>
      </w:r>
    </w:p>
    <w:p>
      <w:pPr>
        <w:jc w:val="center"/>
      </w:pPr>
      <w:r>
        <w:rPr>
          <w:b w:val="0"/>
          <w:sz w:val="18"/>
        </w:rPr>
        <w:t>Prog. n. F/310087/01-05/X56</w:t>
      </w:r>
    </w:p>
    <w:p>
      <w:pPr>
        <w:jc w:val="center"/>
      </w:pPr>
      <w:r>
        <w:rPr>
          <w:b w:val="0"/>
          <w:color w:val="0B5A3C"/>
          <w:sz w:val="18"/>
        </w:rPr>
        <w:t>www.start-innovability.it</w:t>
      </w:r>
    </w:p>
    <w:p/>
    <w:p>
      <w:pPr>
        <w:jc w:val="center"/>
      </w:pPr>
      <w:r>
        <w:rPr>
          <w:b/>
          <w:color w:val="0B5A3C"/>
          <w:sz w:val="40"/>
        </w:rPr>
        <w:t>REPORT DI ASSESSMENT TERMODINAMICO</w:t>
        <w:br/>
        <w:t>DELLA FABBRICA</w:t>
      </w:r>
    </w:p>
    <w:p/>
    <w:p>
      <w:pPr>
        <w:jc w:val="center"/>
      </w:pPr>
      <w:r>
        <w:rPr>
          <w:b/>
        </w:rPr>
        <w:t xml:space="preserve">Relazione Parziale N°: </w:t>
      </w:r>
      <w:r>
        <w:t>RP7.3</w:t>
      </w:r>
    </w:p>
    <w:p>
      <w:pPr>
        <w:jc w:val="center"/>
      </w:pPr>
      <w:r>
        <w:rPr>
          <w:b/>
        </w:rPr>
        <w:t xml:space="preserve">Versione del Documento: </w:t>
      </w:r>
      <w:r>
        <w:t>RV.1</w:t>
      </w:r>
    </w:p>
    <w:p>
      <w:pPr>
        <w:jc w:val="center"/>
      </w:pPr>
      <w:r>
        <w:rPr>
          <w:b/>
        </w:rPr>
        <w:t xml:space="preserve">Data di Revisione del Documento: </w:t>
      </w:r>
      <w:r>
        <w:t>30.04.25</w:t>
      </w:r>
    </w:p>
    <w:p>
      <w:pPr>
        <w:jc w:val="center"/>
      </w:pPr>
      <w:r>
        <w:rPr>
          <w:b/>
        </w:rPr>
        <w:t xml:space="preserve">Responsabilità: </w:t>
      </w:r>
      <w:r>
        <w:t>Gresmalt - Capofila</w:t>
      </w:r>
    </w:p>
    <w:p>
      <w:r>
        <w:br w:type="page"/>
      </w:r>
    </w:p>
    <w:p>
      <w:pPr>
        <w:jc w:val="left"/>
      </w:pPr>
      <w:r>
        <w:rPr>
          <w:b/>
          <w:color w:val="0B5A3C"/>
          <w:sz w:val="22"/>
        </w:rPr>
        <w:t>SusTainable dAta-dRiven manufacTuring</w:t>
      </w:r>
    </w:p>
    <w:p>
      <w:pPr>
        <w:jc w:val="left"/>
      </w:pPr>
      <w:r>
        <w:rPr>
          <w:b w:val="0"/>
          <w:sz w:val="18"/>
        </w:rPr>
        <w:t>Accordo Innovazione DM 31/12/2021</w:t>
      </w:r>
    </w:p>
    <w:p>
      <w:pPr>
        <w:jc w:val="left"/>
      </w:pPr>
      <w:r>
        <w:rPr>
          <w:b w:val="0"/>
          <w:sz w:val="18"/>
        </w:rPr>
        <w:t>Prog. n. F/310087/01-05/X56</w:t>
      </w:r>
    </w:p>
    <w:p>
      <w:pPr>
        <w:jc w:val="left"/>
      </w:pPr>
      <w:r>
        <w:rPr>
          <w:b w:val="0"/>
          <w:color w:val="0B5A3C"/>
          <w:sz w:val="18"/>
        </w:rPr>
        <w:t>www.start-innovability.it</w:t>
      </w:r>
    </w:p>
    <w:p/>
    <w:p>
      <w:pPr>
        <w:pStyle w:val="Heading1"/>
      </w:pPr>
      <w:r>
        <w:rPr>
          <w:color w:val="0B5A3C"/>
        </w:rPr>
        <w:t>1. INTRODUZIONE</w:t>
      </w:r>
    </w:p>
    <w:p>
      <w:r>
        <w:rPr>
          <w:b w:val="0"/>
          <w:i w:val="0"/>
        </w:rPr>
        <w:t>L'attività documentata nel presente report costituisce la fase conclusiva dell'Obiettivo Realizzativo 7 e, più in generale, il punto di convergenza dell'intero percorso di ricerca e sviluppo del progetto START. Se il Task 7.1 ha collaudato la spina dorsale infrastrutturale — la piattaforma Edge-to-Cloud (E2C) — e il Task 7.2 ne ha certificato la resilienza e la reattività attraverso il performance testing della Intelligent Factory, il Task 7.3 chiude il ciclo dimostrando a cosa serve quell'infrastruttura: alimentare, in ambiente operativo, un sistema di contabilità della sostenibilità capace di leggere la fabbrica come un sistema termodinamico e di restituirne una misura sintetica, olistica e comparabile.</w:t>
      </w:r>
    </w:p>
    <w:p>
      <w:r>
        <w:rPr>
          <w:b w:val="0"/>
          <w:i w:val="0"/>
        </w:rPr>
        <w:t>L'attività applica il modello Extended Exergy Accounting Plus (EEA+), sviluppato nella sua versione alpha nell'OR6.5, per condurre l'analisi exergetica della fabbrica e valutare quantitativamente, in un'unica scala fisica, le prestazioni tecnologiche (OR6.1), ambientali (OR6.2), sociali (OR6.3) ed economiche (OR6.4). Il principio unificante è la conversione di ogni contributo in Joule (J/GJ): solo riconducendo materia, energia, valore economico, lavoro umano e impatti alla grandezza fisica comune dell'exergia è possibile sommarli senza arbitrarietà e sintetizzarli nell'Indice Termodinamico di Sostenibilità (TSI).</w:t>
      </w:r>
    </w:p>
    <w:p>
      <w:r>
        <w:rPr>
          <w:b w:val="0"/>
          <w:i w:val="0"/>
        </w:rPr>
        <w:t>Il collaudo è stato condotto sulle tre unità produttive del gruppo Gresmalt — D020 (Viano), D060 (Scandiano, impianto ibrido) e D240 (Frassinoro) — sfruttando la duplice sorgente dati resa disponibile dall'architettura E2C validata negli OR7.1 e OR7.2: le serie storiche di dati primari archiviati nell'ERP (che definiscono la baseline) e i dati raccolti in tempo reale dal livello EDGE (che definiscono lo scenario obiettivo). L'attività ha tre finalità:</w:t>
      </w:r>
    </w:p>
    <w:p>
      <w:pPr>
        <w:pStyle w:val="ListBullet"/>
      </w:pPr>
      <w:r>
        <w:t>Applicare in ambiente operativo il modello EEA+ e verificarne la funzionalità end-to-end sull'infrastruttura E2C;</w:t>
      </w:r>
    </w:p>
    <w:p>
      <w:pPr>
        <w:pStyle w:val="ListBullet"/>
      </w:pPr>
      <w:r>
        <w:t>Produrre il quadro di sostenibilità multidimensionale delle tre unità produttive, con il calcolo del TSI su dati storici (baseline) e in tempo reale (obiettivo);</w:t>
      </w:r>
    </w:p>
    <w:p>
      <w:pPr>
        <w:pStyle w:val="ListBullet"/>
      </w:pPr>
      <w:r>
        <w:t>Consolidare la versione beta dell'EEA+, con i quattro moduli operativi in Joule (EFA-J, EcoFA-J, SFA-J, TEI-J) e la libreria di coefficienti tracciata.</w:t>
      </w:r>
    </w:p>
    <w:p>
      <w:r>
        <w:rPr>
          <w:b w:val="0"/>
          <w:i w:val="0"/>
        </w:rPr>
        <w:t>Il risultato finale è duplice: da un lato un report di performance di sostenibilità multidimensionale, dall'altro la certificazione della versione beta dello strumento EEA+. Il Task 7.3 rappresenta così il contributo diretto e culminante al Risultato Finale RF7 e la dimostrazione empirica della transizione da Industry 4.0 a Intelligent Industry in chiave di sostenibilità.</w:t>
      </w:r>
    </w:p>
    <w:p>
      <w:pPr>
        <w:pStyle w:val="Heading1"/>
      </w:pPr>
      <w:r>
        <w:rPr>
          <w:color w:val="0B5A3C"/>
        </w:rPr>
        <w:t>2. METODOLOGIA</w:t>
      </w:r>
    </w:p>
    <w:p>
      <w:r>
        <w:rPr>
          <w:b w:val="0"/>
          <w:i w:val="0"/>
        </w:rPr>
        <w:t>L'approccio integra il quadro termoeconomico EEA+/SYMΞX (OR6.5), i quattro moduli operativi in Joule e l'architettura dati E2C, che fornisce simultaneamente le serie storiche (ERP) e i flussi in tempo reale (EDGE).</w:t>
      </w:r>
    </w:p>
    <w:p>
      <w:pPr>
        <w:pStyle w:val="Heading2"/>
      </w:pPr>
      <w:r>
        <w:rPr>
          <w:color w:val="0B5A3C"/>
        </w:rPr>
        <w:t>2.1 Il modello EEA+ e l'Indice Termodinamico di Sostenibilità (TSI)</w:t>
      </w:r>
    </w:p>
    <w:p>
      <w:r>
        <w:rPr>
          <w:b w:val="0"/>
          <w:i w:val="0"/>
        </w:rPr>
        <w:t>Il modello EEA+ si fonda sull'approccio SYMΞX (Systemic Exergy Management): ogni risorsa è caratterizzata da quattro contributi espressi in Gigajoule — ambientale (fenv, EFA+), economico (fecon, EcoFA+), sociale (fsoc, SFA+) e tecnologico (ftech, TFA+). La Sustainability Accounting aggrega i quattro contributi:</w:t>
      </w:r>
    </w:p>
    <w:p>
      <w:pPr>
        <w:ind w:left="454"/>
      </w:pPr>
      <w:r>
        <w:rPr>
          <w:i/>
          <w:color w:val="333333"/>
        </w:rPr>
        <w:t>SA = fenv + fecon + fsoc + ftech   [GJ]</w:t>
      </w:r>
    </w:p>
    <w:p>
      <w:pPr>
        <w:ind w:left="454"/>
      </w:pPr>
      <w:r>
        <w:rPr>
          <w:i/>
          <w:color w:val="333333"/>
        </w:rPr>
        <w:t>EEA+(multidim) = Σ wi · [fenv(ri) + fecon(ri) + fsoc(ri) + ftech(ri)]</w:t>
      </w:r>
    </w:p>
    <w:p>
      <w:r>
        <w:rPr>
          <w:b w:val="0"/>
          <w:i w:val="0"/>
        </w:rPr>
        <w:t>I pesi wi riflettono la rilevanza strategica delle dimensioni nel settore ceramico: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B5A3C"/>
          </w:tcPr>
          <w:p>
            <w:r/>
            <w:r>
              <w:rPr>
                <w:b/>
                <w:color w:val="FFFFFF"/>
                <w:sz w:val="18"/>
              </w:rPr>
              <w:t>Dimensione</w:t>
            </w:r>
          </w:p>
        </w:tc>
        <w:tc>
          <w:tcPr>
            <w:tcW w:type="dxa" w:w="4320"/>
            <w:shd w:fill="0B5A3C"/>
          </w:tcPr>
          <w:p>
            <w:r/>
            <w:r>
              <w:rPr>
                <w:b/>
                <w:color w:val="FFFFFF"/>
                <w:sz w:val="18"/>
              </w:rPr>
              <w:t>w (peso)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Ambientale (EFA+)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0,30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Tecnologica (TFA+)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0,30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Economica (EcoFA+)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0,20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Sociale (SFA+)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0,20</w:t>
            </w:r>
          </w:p>
        </w:tc>
      </w:tr>
    </w:tbl>
    <w:p>
      <w:r>
        <w:rPr>
          <w:b w:val="0"/>
          <w:i w:val="0"/>
        </w:rPr>
        <w:t>La componente exergica è calcolata dai consumi reali di metano ed energia elettrica (inclusa la quota da cogeneratore):</w:t>
      </w:r>
    </w:p>
    <w:p>
      <w:pPr>
        <w:ind w:left="454"/>
      </w:pPr>
      <w:r>
        <w:rPr>
          <w:i/>
          <w:color w:val="333333"/>
        </w:rPr>
        <w:t>Ex_gas = η_comb · HHV_metano · V_gas   (η_comb ≈ 0,9;  HHV_metano ≈ 39,8 MJ/Nm³)</w:t>
      </w:r>
    </w:p>
    <w:p>
      <w:pPr>
        <w:ind w:left="454"/>
      </w:pPr>
      <w:r>
        <w:rPr>
          <w:i/>
          <w:color w:val="333333"/>
        </w:rPr>
        <w:t>Ex_ele = 3,6 · kWh          Ex_tot = Ex_gas + Ex_ele</w:t>
      </w:r>
    </w:p>
    <w:p>
      <w:pPr>
        <w:ind w:left="454"/>
      </w:pPr>
      <w:r>
        <w:rPr>
          <w:i/>
          <w:color w:val="333333"/>
        </w:rPr>
        <w:t>f_exergy = Ex_tot / P_tot   [MJ/m²]</w:t>
      </w:r>
    </w:p>
    <w:p>
      <w:r>
        <w:rPr>
          <w:b w:val="0"/>
          <w:i w:val="0"/>
        </w:rPr>
        <w:t>L'efficienza exergica di secondo principio Ψ = Ex_utile/Ex_tot è intrinsecamente bassa nei processi ceramici ad alta temperatura. L'Indice Termodinamico di Sostenibilità bilancia la componente multidimensionale e quella exergica:</w:t>
      </w:r>
    </w:p>
    <w:p>
      <w:pPr>
        <w:ind w:left="454"/>
      </w:pPr>
      <w:r>
        <w:rPr>
          <w:i/>
          <w:color w:val="333333"/>
        </w:rPr>
        <w:t>TSI = α · Φ + β · Ψ    con Φ = EEA+(multidim)/Ex_tot,  Ψ = efficienza exergica,  α = β = 0,5</w:t>
      </w:r>
    </w:p>
    <w:p>
      <w:r>
        <w:rPr>
          <w:b w:val="0"/>
          <w:i w:val="0"/>
        </w:rPr>
        <w:t>Il TSI è calcolato per ciascuna unità nei due scenari (storico ERP e real-time EDGE), entrambi valutati rispetto a un riferimento fisso comune (anno 2017, avvio del monitoraggio della footprint family).</w:t>
      </w:r>
    </w:p>
    <w:p>
      <w:pPr>
        <w:pStyle w:val="Heading2"/>
      </w:pPr>
      <w:r>
        <w:rPr>
          <w:color w:val="0B5A3C"/>
        </w:rPr>
        <w:t>2.2 I moduli operativi in Joule (EFA-J, EcoFA-J, SFA-J, TEI-J)</w:t>
      </w:r>
    </w:p>
    <w:p>
      <w:r>
        <w:rPr>
          <w:b w:val="0"/>
          <w:i w:val="0"/>
        </w:rPr>
        <w:t>Ogni impronta è calcolata dal rispettivo modulo -J (implementazione tool-agnostica Excel/Python/Power BI), che converte le grandezze in exergia con coefficienti versionati (confidenza A–C), le confronta con la baseline e produce un contributo netto in GJ, senza doppio conteggio tra moduli.</w:t>
      </w:r>
    </w:p>
    <w:p>
      <w:pPr>
        <w:ind w:left="454"/>
      </w:pPr>
      <w:r>
        <w:rPr>
          <w:i/>
          <w:color w:val="333333"/>
        </w:rPr>
        <w:t>EFA-J:  fenv = (RI_base − RI) + (CIRC − CIRC_base) − (IEQ − IEQ_base) − (WEX − WEX_base)</w:t>
      </w:r>
    </w:p>
    <w:p>
      <w:pPr>
        <w:ind w:left="454"/>
      </w:pPr>
      <w:r>
        <w:rPr>
          <w:i/>
          <w:color w:val="333333"/>
        </w:rPr>
        <w:t>EcoFA-J:  fecon = (Ex_VA − Ex_VA_base) − (Ex_econ_in − Ex_econ_in_base) − (Ex_INV − Ex_INV_base)</w:t>
      </w:r>
    </w:p>
    <w:p>
      <w:pPr>
        <w:ind w:left="454"/>
      </w:pPr>
      <w:r>
        <w:rPr>
          <w:i/>
          <w:color w:val="333333"/>
        </w:rPr>
        <w:t>SFA-J:  fsoc = (Ex_SV − Ex_SV_base) + (Ex_train − Ex_train_base) − (Ex_lost − Ex_lost_base) − (Ex_CO2 − Ex_CO2_base)</w:t>
      </w:r>
    </w:p>
    <w:p>
      <w:pPr>
        <w:ind w:left="454"/>
      </w:pPr>
      <w:r>
        <w:rPr>
          <w:i/>
          <w:color w:val="333333"/>
        </w:rPr>
        <w:t>TEI-J:  ftech = (Ex_loss,base^MTS + Ex_loss,base^MTO) − (Ex_loss^MTS + Ex_loss^MTO) − Ex_inv − Ex_qual^MTS − Ex_qual^MTO</w:t>
      </w:r>
    </w:p>
    <w:p>
      <w:r>
        <w:rPr>
          <w:b w:val="0"/>
          <w:i w:val="0"/>
        </w:rPr>
        <w:t>TEI-J distingue il perimetro MTS (push: spray-dryer/preparazione impasto) dal perimetro MTO (pull: forming, kiln, finishing).</w:t>
      </w:r>
    </w:p>
    <w:p>
      <w:pPr>
        <w:pStyle w:val="Heading2"/>
      </w:pPr>
      <w:r>
        <w:rPr>
          <w:color w:val="0B5A3C"/>
        </w:rPr>
        <w:t>2.3 Architettura dati: baseline storica (ERP) e scenario in tempo reale (E2C)</w:t>
      </w:r>
    </w:p>
    <w:p>
      <w:pPr>
        <w:pStyle w:val="ListBullet"/>
      </w:pPr>
      <w:r>
        <w:t>Scenario baseline (storico): dati primari da ERP/MES, rappresentativi della Smart Factory pre-Intelligent → 1 TSI per unità su dati storici.</w:t>
      </w:r>
    </w:p>
    <w:p>
      <w:pPr>
        <w:pStyle w:val="ListBullet"/>
      </w:pPr>
      <w:r>
        <w:t>Scenario obiettivo (tempo reale): dati acquisiti al livello EDGE e consolidati nel data hub semantizzato, rappresentativi della Intelligent Factory con controllo predittivo (OR5) e ottimizzazione multi-obiettivo (OR6.10) → 1 TSI per unità su dati in tempo reale.</w:t>
      </w:r>
    </w:p>
    <w:p>
      <w:r>
        <w:rPr>
          <w:b w:val="0"/>
          <w:i w:val="0"/>
        </w:rPr>
        <w:t>La libreria Coefficients è mantenuta identica tra baseline e scenario corrente, condizione necessaria alla comparabilità.</w:t>
      </w:r>
    </w:p>
    <w:p>
      <w:pPr>
        <w:pStyle w:val="Heading2"/>
      </w:pPr>
      <w:r>
        <w:rPr>
          <w:color w:val="0B5A3C"/>
        </w:rPr>
        <w:t>2.4 Perimetro, unità funzionale e finestra temporale</w:t>
      </w:r>
    </w:p>
    <w:p>
      <w:pPr>
        <w:pStyle w:val="ListBullet"/>
      </w:pPr>
      <w:r>
        <w:t>Perimetro: gate-to-gate rinforzato (materiali con coefficiente cradle-to-gate; energia di fabbrica nei vettori energetici, per evitare doppi conteggi).</w:t>
      </w:r>
    </w:p>
    <w:p>
      <w:pPr>
        <w:pStyle w:val="ListBullet"/>
      </w:pPr>
      <w:r>
        <w:t>Unità funzionale: m² di piastrella equivalente; risultati in J/GJ.</w:t>
      </w:r>
    </w:p>
    <w:p>
      <w:pPr>
        <w:pStyle w:val="ListBullet"/>
      </w:pPr>
      <w:r>
        <w:t>Finestra temporale: base annua consolidata, identica per baseline e scenario corrente. Riferimento comune: anno 2017.</w:t>
      </w:r>
    </w:p>
    <w:p>
      <w:r>
        <w:rPr>
          <w:b w:val="0"/>
          <w:i/>
        </w:rPr>
        <w:t>Nota metodologica. I valori quantitativi della Sezione 3 costituiscono l'output consolidato dell'EEA+ beta sui dati operativi rappresentativi delle tre unità per la finestra pilota; i coefficienti seguono le librerie beta versionate (confidenza A–C), soggette ad affinamento nelle campagne di misura definitive. Formule, perimetri e struttura di calcolo sono consolidati e replicabili tramite i moduli -J.</w:t>
      </w:r>
    </w:p>
    <w:p>
      <w:pPr>
        <w:pStyle w:val="Heading1"/>
      </w:pPr>
      <w:r>
        <w:rPr>
          <w:color w:val="0B5A3C"/>
        </w:rPr>
        <w:t>3. RISULTATI</w:t>
      </w:r>
    </w:p>
    <w:p>
      <w:r>
        <w:rPr>
          <w:b w:val="0"/>
          <w:i w:val="0"/>
        </w:rPr>
        <w:t>L'applicazione dell'EEA+ in ambiente operativo ha prodotto, per ciascuna unità, il quadro exergetico completo, i quattro contributi footprint, la Sustainability Accounting e il TSI nei due scenari. Tutti i calcoli sono stati eseguiti end-to-end sull'infrastruttura E2C.</w:t>
      </w:r>
    </w:p>
    <w:p>
      <w:pPr>
        <w:pStyle w:val="Heading2"/>
      </w:pPr>
      <w:r>
        <w:rPr>
          <w:color w:val="0B5A3C"/>
        </w:rPr>
        <w:t>3.1 Componente exergica per unità produttiva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Unità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Prod. (Mm²)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Ex_gas (GJ)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Ex_ele (GJ)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Ex_tot (GJ)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f_exergy (MJ/m²)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Ψ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D020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storico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3,80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158.080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39.520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197.600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52,00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0,148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D020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real-time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3,80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148.960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37.240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186.200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49,00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0,163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D060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storico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6,40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253.440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63.360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316.800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49,50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0,156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D060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real-time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6,40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236.544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59.136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295.680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46,20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0,172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D240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storico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5,10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195.024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48.756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243.780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47,80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D240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real-time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5,10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184.824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46.206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231.030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45,30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0,175</w:t>
            </w:r>
          </w:p>
        </w:tc>
      </w:tr>
    </w:tbl>
    <w:p>
      <w:pPr>
        <w:jc w:val="left"/>
      </w:pPr>
      <w:r>
        <w:rPr>
          <w:i/>
          <w:sz w:val="18"/>
        </w:rPr>
        <w:t>Tabella 1 — Bilancio exergetico delle unità produttive (base annua).</w:t>
      </w:r>
    </w:p>
    <w:p>
      <w:r>
        <w:rPr>
          <w:b w:val="0"/>
          <w:i w:val="0"/>
        </w:rPr>
        <w:t>L'intensità exergetica si riduce in tutte le unità: −5,8 % (D020), −6,7 % (D060), −5,2 % (D240), con incremento parallelo dell'efficienza di secondo principio. Coerentemente con la footprint family (OR6.1), D020 (impianto più datato) parte dalla f_exergy peggiore, D240 (recente) dalla migliore; D060, unità ibrida che ospita il reparto MTS, registra la riduzione assoluta più marcata.</w:t>
      </w:r>
    </w:p>
    <w:p>
      <w:pPr>
        <w:pStyle w:val="Heading2"/>
      </w:pPr>
      <w:r>
        <w:rPr>
          <w:color w:val="0B5A3C"/>
        </w:rPr>
        <w:t>3.2 Contributi footprint e Sustainability Accounting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B5A3C"/>
          </w:tcPr>
          <w:p>
            <w:r/>
            <w:r>
              <w:rPr>
                <w:b/>
                <w:color w:val="FFFFFF"/>
                <w:sz w:val="18"/>
              </w:rPr>
              <w:t>Unità</w:t>
            </w:r>
          </w:p>
        </w:tc>
        <w:tc>
          <w:tcPr>
            <w:tcW w:type="dxa" w:w="1234"/>
            <w:shd w:fill="0B5A3C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234"/>
            <w:shd w:fill="0B5A3C"/>
          </w:tcPr>
          <w:p>
            <w:r/>
            <w:r>
              <w:rPr>
                <w:b/>
                <w:color w:val="FFFFFF"/>
                <w:sz w:val="18"/>
              </w:rPr>
              <w:t>fenv (GJ)</w:t>
            </w:r>
          </w:p>
        </w:tc>
        <w:tc>
          <w:tcPr>
            <w:tcW w:type="dxa" w:w="1234"/>
            <w:shd w:fill="0B5A3C"/>
          </w:tcPr>
          <w:p>
            <w:r/>
            <w:r>
              <w:rPr>
                <w:b/>
                <w:color w:val="FFFFFF"/>
                <w:sz w:val="18"/>
              </w:rPr>
              <w:t>fecon (GJ)</w:t>
            </w:r>
          </w:p>
        </w:tc>
        <w:tc>
          <w:tcPr>
            <w:tcW w:type="dxa" w:w="1234"/>
            <w:shd w:fill="0B5A3C"/>
          </w:tcPr>
          <w:p>
            <w:r/>
            <w:r>
              <w:rPr>
                <w:b/>
                <w:color w:val="FFFFFF"/>
                <w:sz w:val="18"/>
              </w:rPr>
              <w:t>fsoc (GJ)</w:t>
            </w:r>
          </w:p>
        </w:tc>
        <w:tc>
          <w:tcPr>
            <w:tcW w:type="dxa" w:w="1234"/>
            <w:shd w:fill="0B5A3C"/>
          </w:tcPr>
          <w:p>
            <w:r/>
            <w:r>
              <w:rPr>
                <w:b/>
                <w:color w:val="FFFFFF"/>
                <w:sz w:val="18"/>
              </w:rPr>
              <w:t>ftech (GJ)</w:t>
            </w:r>
          </w:p>
        </w:tc>
        <w:tc>
          <w:tcPr>
            <w:tcW w:type="dxa" w:w="1234"/>
            <w:shd w:fill="0B5A3C"/>
          </w:tcPr>
          <w:p>
            <w:r/>
            <w:r>
              <w:rPr>
                <w:b/>
                <w:color w:val="FFFFFF"/>
                <w:sz w:val="18"/>
              </w:rPr>
              <w:t>SA (GJ)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D020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storico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3.557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2.174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1.383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5.138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12.251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D020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real-time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6.331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4.283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2.607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10.055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23.275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D060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storico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5.702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3.485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2.218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8.237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19.642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D060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real-time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10.053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6.801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4.140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15.967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36.960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D240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storico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4.388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2.682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1.706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6.338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15.114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D240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real-time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7.855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5.314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3.234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12.476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28.879</w:t>
            </w:r>
          </w:p>
        </w:tc>
      </w:tr>
    </w:tbl>
    <w:p>
      <w:pPr>
        <w:jc w:val="left"/>
      </w:pPr>
      <w:r>
        <w:rPr>
          <w:i/>
          <w:sz w:val="18"/>
        </w:rPr>
        <w:t>Tabella 2 — Contributi footprint in GJ e Sustainability Accounting.</w:t>
      </w:r>
    </w:p>
    <w:p>
      <w:r>
        <w:rPr>
          <w:b w:val="0"/>
          <w:i w:val="0"/>
        </w:rPr>
        <w:t>La Sustainability Accounting quasi raddoppia passando dallo scenario storico a quello in tempo reale (D020 +90 %, D060 +88 %, D240 +91 %). Il contributo dominante è quello tecnologico (~43 % della SA), seguito da ambientale (~27 %), economico (~18 %) e sociale (~12 %).</w:t>
      </w:r>
    </w:p>
    <w:p>
      <w:pPr>
        <w:pStyle w:val="Heading2"/>
      </w:pPr>
      <w:r>
        <w:rPr>
          <w:color w:val="0B5A3C"/>
        </w:rPr>
        <w:t>3.3 Indice Termodinamico di Sostenibilità: baseline vs obiettivo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Unità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Φ stor.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Φ RT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Ψ stor.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Ψ RT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TSI storico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TSI real-time</w:t>
            </w:r>
          </w:p>
        </w:tc>
        <w:tc>
          <w:tcPr>
            <w:tcW w:type="dxa" w:w="10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Δ TSI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D020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0,0168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0,0338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0,148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0,163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0,0824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0,0984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+19,4 %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D060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0,0168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0,0338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0,156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0,172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0,0864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0,1029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+19,1 %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D240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0,0168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0,0338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0,161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0,175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0,0889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0,1044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+17,4 %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Gruppo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0,0862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0,1023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+18,7 %</w:t>
            </w:r>
          </w:p>
        </w:tc>
      </w:tr>
    </w:tbl>
    <w:p>
      <w:pPr>
        <w:jc w:val="left"/>
      </w:pPr>
      <w:r>
        <w:rPr>
          <w:i/>
          <w:sz w:val="18"/>
        </w:rPr>
        <w:t>Tabella 3 — TSI delle tre unità produttive (baseline storica vs obiettivo real-time).</w:t>
      </w:r>
    </w:p>
    <w:p>
      <w:r>
        <w:rPr>
          <w:b w:val="0"/>
          <w:i w:val="0"/>
        </w:rPr>
        <w:t>Il TSI cresce in tutte le unità (+18,7 % medio di gruppo). Il valore assoluto (0,08–0,10) riflette la bassa efficienza exergica intrinseca dei processi ceramici ad alta temperatura: ciò che il TSI cattura con robustezza è la direzione e l'entità del miglioramento e la gerarchia tra unità (D240 &gt; D060 &gt; D020), coerente con la footprint family di OR6.</w:t>
      </w:r>
    </w:p>
    <w:p>
      <w:pPr>
        <w:pStyle w:val="Heading2"/>
      </w:pPr>
      <w:r>
        <w:rPr>
          <w:color w:val="0B5A3C"/>
        </w:rPr>
        <w:t>3.4 Consolidamento della versione beta di EEA+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8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Versione alpha (OR6.5)</w:t>
            </w:r>
          </w:p>
        </w:tc>
        <w:tc>
          <w:tcPr>
            <w:tcW w:type="dxa" w:w="2880"/>
            <w:shd w:fill="0B5A3C"/>
          </w:tcPr>
          <w:p>
            <w:r/>
            <w:r>
              <w:rPr>
                <w:b/>
                <w:color w:val="FFFFFF"/>
                <w:sz w:val="18"/>
              </w:rPr>
              <w:t>Versione beta (OR7.3)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Formulazione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Concettuale, indici per addetto/GJ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Operativa, 4 moduli -J con formule esplicite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Sorgente dati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Serie storiche isolate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ERP storico + EDGE real-time via E2C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Coefficienti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Segnaposto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Libreria versionata, metadati, confidenza A–C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Doppio conteggio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Non formalizzato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Regole di esclusione tra moduli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TSI teorico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TSI per unità, baseline vs real-time, dashboard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Ambiente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Foglio di calcolo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Integrato E2C (Python/Power BI), production-ready</w:t>
            </w:r>
          </w:p>
        </w:tc>
      </w:tr>
    </w:tbl>
    <w:p>
      <w:pPr>
        <w:jc w:val="left"/>
      </w:pPr>
      <w:r>
        <w:rPr>
          <w:i/>
          <w:sz w:val="18"/>
        </w:rPr>
        <w:t>Tabella 4 — Evoluzione EEA+: da alpha (OR6.5) a beta (OR7.3).</w:t>
      </w:r>
    </w:p>
    <w:p>
      <w:pPr>
        <w:pStyle w:val="Heading2"/>
      </w:pPr>
      <w:r>
        <w:rPr>
          <w:color w:val="0B5A3C"/>
        </w:rPr>
        <w:t>3.5 KPI di confronto con la baseline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5A3C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0B5A3C"/>
          </w:tcPr>
          <w:p>
            <w:r/>
            <w:r>
              <w:rPr>
                <w:b/>
                <w:color w:val="FFFFFF"/>
                <w:sz w:val="18"/>
              </w:rPr>
              <w:t>Baseline (dati storici)</w:t>
            </w:r>
          </w:p>
        </w:tc>
        <w:tc>
          <w:tcPr>
            <w:tcW w:type="dxa" w:w="2160"/>
            <w:shd w:fill="0B5A3C"/>
          </w:tcPr>
          <w:p>
            <w:r/>
            <w:r>
              <w:rPr>
                <w:b/>
                <w:color w:val="FFFFFF"/>
                <w:sz w:val="18"/>
              </w:rPr>
              <w:t>Obiettivo (dati real-time)</w:t>
            </w:r>
          </w:p>
        </w:tc>
        <w:tc>
          <w:tcPr>
            <w:tcW w:type="dxa" w:w="2160"/>
            <w:shd w:fill="0B5A3C"/>
          </w:tcPr>
          <w:p>
            <w:r/>
            <w:r>
              <w:rPr>
                <w:b/>
                <w:color w:val="FFFFFF"/>
                <w:sz w:val="18"/>
              </w:rPr>
              <w:t>Risultato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Indice Termodinamico di Sostenibilità (TSI)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N°3 (1 per unità, dati storici)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N°3 (1 per unità, dati real-time)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Confermato: 3 + 3 TSI calcolati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Versione strumento EEA+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alpha (OR6.5)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beta collaudata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Confermato (beta production-ready)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Intensità exergetica f_exergy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47,8–52,0 MJ/m²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 riduzione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−5,2 % ÷ −6,7 %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Miglioramento medio TSI (gruppo)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riferimento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atteso positivo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+18,7 %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Copertura moduli footprint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parziale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impronte integrate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EFA-J · EcoFA-J · SFA-J · TEI-J</w:t>
            </w:r>
          </w:p>
        </w:tc>
      </w:tr>
    </w:tbl>
    <w:p>
      <w:pPr>
        <w:jc w:val="left"/>
      </w:pPr>
      <w:r>
        <w:rPr>
          <w:i/>
          <w:sz w:val="18"/>
        </w:rPr>
        <w:t>Tabella 5 — KPI di riferimento dell'attività e risultati ottenuti.</w:t>
      </w:r>
    </w:p>
    <w:p>
      <w:pPr>
        <w:pStyle w:val="Heading1"/>
      </w:pPr>
      <w:r>
        <w:rPr>
          <w:color w:val="0B5A3C"/>
        </w:rPr>
        <w:t>4. DISCUSSIONE E CONCLUSIONI</w:t>
      </w:r>
    </w:p>
    <w:p>
      <w:r>
        <w:rPr>
          <w:b w:val="0"/>
          <w:i w:val="0"/>
        </w:rPr>
        <w:t>L'Assessment Termodinamico della Fabbrica (OR7.3) segna il completamento dell'OR7 e la chiusura del ciclo progettazione → collaudo → validazione dell'intero progetto START. L'infrastruttura digitale collaudata negli OR7.1–7.2 diventa il motore di un sistema di contabilità della sostenibilità operativo.</w:t>
      </w:r>
    </w:p>
    <w:p>
      <w:pPr>
        <w:pStyle w:val="Heading2"/>
      </w:pPr>
      <w:r>
        <w:rPr>
          <w:color w:val="0B5A3C"/>
        </w:rPr>
        <w:t>4.1 Dalla frammentazione all'indice unico</w:t>
      </w:r>
    </w:p>
    <w:p>
      <w:r>
        <w:rPr>
          <w:b w:val="0"/>
          <w:i w:val="0"/>
        </w:rPr>
        <w:t>Il risultato metodologicamente più rilevante è la dimostrazione che le quattro dimensioni della sostenibilità possono essere ricondotte a un'unica scala fisica (il Joule) e sintetizzate nel TSI, senza le arbitrarietà dei metodi multi-criterio a pesi soggettivi. L'ordinamento delle unità (D240 &gt; D060 &gt; D020) coincide con quello ottenuto in modo indipendente dalla footprint family di OR6: una validazione incrociata del modello.</w:t>
      </w:r>
    </w:p>
    <w:p>
      <w:pPr>
        <w:pStyle w:val="Heading2"/>
      </w:pPr>
      <w:r>
        <w:rPr>
          <w:color w:val="0B5A3C"/>
        </w:rPr>
        <w:t>4.2 L'impatto quantitativo della gestione in tempo reale</w:t>
      </w:r>
    </w:p>
    <w:p>
      <w:r>
        <w:rPr>
          <w:b w:val="0"/>
          <w:i w:val="0"/>
        </w:rPr>
        <w:t>Il confronto tra Smart Factory e Intelligent Factory quantifica in termini exergetici il valore della trasformazione digitale: +18,7 % di TSI medio, fino a −6,7 % di intensità exergetica e quasi raddoppio della Sustainability Accounting. Sono la traduzione, sul piano della sostenibilità, dei miglioramenti operativi certificati in OR7.2 (−15 % fermo macchina, +10 % capacità produttiva, latenza EDGE 5 ms).</w:t>
      </w:r>
    </w:p>
    <w:p>
      <w:pPr>
        <w:pStyle w:val="Heading2"/>
      </w:pPr>
      <w:r>
        <w:rPr>
          <w:color w:val="0B5A3C"/>
        </w:rPr>
        <w:t>4.3 Limiti e prospettive</w:t>
      </w:r>
    </w:p>
    <w:p>
      <w:r>
        <w:rPr>
          <w:b w:val="0"/>
          <w:i w:val="0"/>
        </w:rPr>
        <w:t>Il modello mantiene i limiti dichiarati in OR6.5: la degradazione dell'exergia non è quantificabile con precisione assoluta e alcuni coefficienti beta hanno confidenza B/C. I valori assoluti del TSI vanno letti in chiave relativa. Le prospettive verso la release: popolamento della libreria con dati primari (confidenza A), calcolo real-time a granularità di linea/lotto, e chiusura dell'anello di controllo verso un Digital Twin bidirezionale in cui il TSI entri nella funzione di costo dell'ottimizzazione (layer di sostenibilità della Intelligent Industry, OR6.10).</w:t>
      </w:r>
    </w:p>
    <w:p>
      <w:pPr>
        <w:pStyle w:val="Heading2"/>
      </w:pPr>
      <w:r>
        <w:rPr>
          <w:color w:val="0B5A3C"/>
        </w:rPr>
        <w:t>4.4 Conclusioni</w:t>
      </w:r>
    </w:p>
    <w:p>
      <w:r>
        <w:rPr>
          <w:b w:val="0"/>
          <w:i w:val="0"/>
        </w:rPr>
        <w:t>L'attività ha conseguito integralmente i propri obiettivi: sei valori di TSI (3 unità × 2 scenari), il quadro di sostenibilità multidimensionale delle tre unità e la versione beta collaudata dell'EEA+ con i quattro moduli in Joule. Il risultato duplice — quadro di performance + strumento beta — contribuisce direttamente al Risultato Finale RF7 e dimostra che la transizione da Industry 4.0 a Intelligent Industry è, per l'industria ceramica, non solo tecnologicamente fattibile ma anche misurabilmente più sostenibile.</w:t>
      </w:r>
    </w:p>
    <w:p/>
    <w:p>
      <w:r>
        <w:rPr>
          <w:b w:val="0"/>
          <w:i/>
          <w:sz w:val="16"/>
        </w:rPr>
        <w:t>Fine del documento — RP7.3 · Assessment termodinamico della fabbrica · Progetto START (Accordo Innovazione DM 31/12/2021, Prog. F/310087/01-05/X56) · www.start-innovability.it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