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roduzione"/>
    <w:p>
      <w:pPr>
        <w:spacing w:after="200"/>
        <w:jc w:val="center"/>
      </w:pPr>
      <w:r>
        <w:rPr>
          <w:rFonts w:ascii="Arial Narrow" w:hAnsi="Arial Narrow"/>
          <w:b/>
          <w:sz w:val="48"/>
        </w:rPr>
        <w:t>Sviluppo di un modello di business basato sull'Intelligenza Artificiale (AI-BM)</w:t>
      </w:r>
    </w:p>
    <w:p>
      <w:pPr>
        <w:spacing w:after="60"/>
        <w:jc w:val="center"/>
      </w:pPr>
      <w:r>
        <w:rPr>
          <w:rFonts w:ascii="Calibri" w:hAnsi="Calibri"/>
          <w:b/>
          <w:sz w:val="30"/>
        </w:rPr>
        <w:t>Progetto START — SusTainable dAta-dRiven manufacTuring</w:t>
      </w:r>
    </w:p>
    <w:p>
      <w:pPr>
        <w:spacing w:after="60"/>
        <w:jc w:val="center"/>
      </w:pPr>
      <w:r>
        <w:rPr>
          <w:rFonts w:ascii="Calibri" w:hAnsi="Calibri"/>
          <w:b/>
          <w:sz w:val="30"/>
        </w:rPr>
        <w:t>OR 7 — Validazione in ambiente operativo della Intelligent Industry · Attività 7.10</w:t>
      </w:r>
    </w:p>
    <w:p>
      <w:pPr>
        <w:spacing w:after="60"/>
        <w:jc w:val="center"/>
      </w:pPr>
      <w:r>
        <w:rPr>
          <w:rFonts w:ascii="Calibri" w:hAnsi="Calibri"/>
          <w:b/>
          <w:sz w:val="30"/>
        </w:rPr>
        <w:t>Relazione Parziale N°: RP 7.10</w:t>
      </w:r>
    </w:p>
    <w:p>
      <w:pPr>
        <w:spacing w:after="60"/>
        <w:jc w:val="center"/>
      </w:pPr>
      <w:r>
        <w:rPr>
          <w:rFonts w:ascii="Calibri" w:hAnsi="Calibri"/>
          <w:b/>
          <w:sz w:val="30"/>
        </w:rPr>
        <w:t>Versione del Documento: R1.0 — Data di Revisione del Documento: 07.08.2026</w:t>
      </w:r>
    </w:p>
    <w:p>
      <w:pPr>
        <w:spacing w:after="60"/>
        <w:jc w:val="center"/>
      </w:pPr>
      <w:r>
        <w:rPr>
          <w:rFonts w:ascii="Calibri" w:hAnsi="Calibri"/>
          <w:b/>
          <w:sz w:val="30"/>
        </w:rPr>
        <w:t>Responsabilità: Gresmalt S.p.A. — Capofila</w:t>
      </w:r>
    </w:p>
    <w:p>
      <w:pPr>
        <w:pBdr>
          <w:bottom w:val="single" w:sz="6" w:space="1" w:color="000000"/>
        </w:pBdr>
        <w:spacing w:after="200"/>
      </w:pPr>
    </w:p>
    <w:p>
      <w:pPr>
        <w:pStyle w:val="Heading1"/>
      </w:pPr>
      <w:r>
        <w:t xml:space="preserve">1. Introduzione</w:t>
      </w:r>
    </w:p>
    <w:bookmarkStart w:id="20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I modelli di business si sono sempre evoluti seguendo l’innovazione tecnologica. Oggi la diffusione dell’Intelligenza Artificiale (AI) sta trasformando il significato stesso di innovazione: se l’accesso alla tecnologia e alle informazioni è divenuto relativamente facile, non lo è altrettanto la</w:t>
      </w:r>
      <w:r>
        <w:t xml:space="preserve"> </w:t>
      </w:r>
      <w:r>
        <w:rPr>
          <w:bCs/>
          <w:b/>
        </w:rPr>
        <w:t xml:space="preserve">modalità con cui le imprese trasformano i dati in informazioni e le informazioni in valore</w:t>
      </w:r>
      <w:r>
        <w:t xml:space="preserve">. Si rende perciò necessario lo sviluppo e l’implementazione di un nuovo</w:t>
      </w:r>
      <w:r>
        <w:t xml:space="preserve"> </w:t>
      </w:r>
      <w:r>
        <w:rPr>
          <w:bCs/>
          <w:b/>
        </w:rPr>
        <w:t xml:space="preserve">modello di business guidato dalla AI (AI-BM)</w:t>
      </w:r>
      <w:r>
        <w:t xml:space="preserve"> </w:t>
      </w:r>
      <w:r>
        <w:t xml:space="preserve">che colga le potenzialità della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 </w:t>
      </w:r>
      <w:r>
        <w:t xml:space="preserve">per creare e catturare valore.</w:t>
      </w:r>
    </w:p>
    <w:p>
      <w:pPr>
        <w:pStyle w:val="BodyText"/>
      </w:pPr>
      <w:r>
        <w:t xml:space="preserve">RP 7.10 è l’</w:t>
      </w:r>
      <w:r>
        <w:rPr>
          <w:bCs/>
          <w:b/>
        </w:rPr>
        <w:t xml:space="preserve">attività conclusiva dell’OR 7</w:t>
      </w:r>
      <w:r>
        <w:t xml:space="preserve">: traduce i risultati validati nei collaudi in ambiente operativo — piattaforma edge-to-cloud (RP 7.1),</w:t>
      </w:r>
      <w:r>
        <w:t xml:space="preserve"> </w:t>
      </w:r>
      <w:r>
        <w:rPr>
          <w:iCs/>
          <w:i/>
        </w:rPr>
        <w:t xml:space="preserve">performance testing</w:t>
      </w:r>
      <w:r>
        <w:t xml:space="preserve"> </w:t>
      </w:r>
      <w:r>
        <w:t xml:space="preserve">della</w:t>
      </w:r>
      <w:r>
        <w:t xml:space="preserve"> </w:t>
      </w:r>
      <w:r>
        <w:rPr>
          <w:iCs/>
          <w:i/>
        </w:rPr>
        <w:t xml:space="preserve">Intelligent Factory</w:t>
      </w:r>
      <w:r>
        <w:t xml:space="preserve"> </w:t>
      </w:r>
      <w:r>
        <w:t xml:space="preserve">(RP 7.2), assessment termodinamico della fabbrica (RP 7.3),</w:t>
      </w:r>
      <w:r>
        <w:t xml:space="preserve"> </w:t>
      </w:r>
      <w:r>
        <w:rPr>
          <w:iCs/>
          <w:i/>
        </w:rPr>
        <w:t xml:space="preserve">Product Technological Sustainability Assessment</w:t>
      </w:r>
      <w:r>
        <w:t xml:space="preserve"> </w:t>
      </w:r>
      <w:r>
        <w:t xml:space="preserve">(RP 7.4),</w:t>
      </w:r>
      <w:r>
        <w:t xml:space="preserve"> </w:t>
      </w:r>
      <w:r>
        <w:rPr>
          <w:iCs/>
          <w:i/>
        </w:rPr>
        <w:t xml:space="preserve">Data-Driven Quality Management</w:t>
      </w:r>
      <w:r>
        <w:t xml:space="preserve"> </w:t>
      </w:r>
      <w:r>
        <w:t xml:space="preserve">(RP 7.5), ingegnerizzazione della</w:t>
      </w:r>
      <w:r>
        <w:t xml:space="preserve"> </w:t>
      </w:r>
      <w:r>
        <w:rPr>
          <w:iCs/>
          <w:i/>
        </w:rPr>
        <w:t xml:space="preserve">Intelligent Factory</w:t>
      </w:r>
      <w:r>
        <w:t xml:space="preserve"> </w:t>
      </w:r>
      <w:r>
        <w:t xml:space="preserve">(RP 7.6),</w:t>
      </w:r>
      <w:r>
        <w:t xml:space="preserve"> </w:t>
      </w:r>
      <w:r>
        <w:rPr>
          <w:iCs/>
          <w:i/>
        </w:rPr>
        <w:t xml:space="preserve">data-driven design</w:t>
      </w:r>
      <w:r>
        <w:t xml:space="preserve"> </w:t>
      </w:r>
      <w:r>
        <w:t xml:space="preserve">delle collezioni (RP 7.7), collaudo della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 </w:t>
      </w:r>
      <w:r>
        <w:t xml:space="preserve">(RP 7.8) e test preindustriale delle collezioni (RP 7.9) — in un</w:t>
      </w:r>
      <w:r>
        <w:t xml:space="preserve"> </w:t>
      </w:r>
      <w:r>
        <w:rPr>
          <w:bCs/>
          <w:b/>
        </w:rPr>
        <w:t xml:space="preserve">modello di business</w:t>
      </w:r>
      <w:r>
        <w:t xml:space="preserve"> </w:t>
      </w:r>
      <w:r>
        <w:t xml:space="preserve">implementabile che valorizzi la transizione verso 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.</w:t>
      </w:r>
    </w:p>
    <w:bookmarkEnd w:id="20"/>
    <w:bookmarkStart w:id="21" w:name="Xa5b2ad20cc57e1d2111a580dd09802b180148e1"/>
    <w:p>
      <w:pPr>
        <w:pStyle w:val="Heading2"/>
      </w:pPr>
      <w:r>
        <w:t xml:space="preserve">1.2 Il modello di business guidato dalla AI e la sua costruzione</w:t>
      </w:r>
    </w:p>
    <w:p>
      <w:pPr>
        <w:pStyle w:val="FirstParagraph"/>
      </w:pPr>
      <w:r>
        <w:t xml:space="preserve">La transizione all’</w:t>
      </w:r>
      <w:r>
        <w:rPr>
          <w:iCs/>
          <w:i/>
        </w:rPr>
        <w:t xml:space="preserve">Intelligent Industry</w:t>
      </w:r>
      <w:r>
        <w:t xml:space="preserve"> </w:t>
      </w:r>
      <w:r>
        <w:t xml:space="preserve">non è solo una questione tecnologica ma di</w:t>
      </w:r>
      <w:r>
        <w:t xml:space="preserve"> </w:t>
      </w:r>
      <w:r>
        <w:rPr>
          <w:bCs/>
          <w:b/>
        </w:rPr>
        <w:t xml:space="preserve">modello di business</w:t>
      </w:r>
      <w:r>
        <w:t xml:space="preserve">: richiede di ridefinire come l’impresa crea, distribuisce e cattura il valore lungo l’intero ciclo di vita del prodotto (Osterwalder &amp; Pigneur, 2010; Teece, 2010). Il quadro di riferimento è quello dell’</w:t>
      </w:r>
      <w:r>
        <w:rPr>
          <w:bCs/>
          <w:b/>
        </w:rPr>
        <w:t xml:space="preserve">embodied AI</w:t>
      </w:r>
      <w:r>
        <w:t xml:space="preserve"> </w:t>
      </w:r>
      <w:r>
        <w:t xml:space="preserve">proposto da Bouncken &amp; Cesinger (2026): quando l’intelligenza è</w:t>
      </w:r>
      <w:r>
        <w:t xml:space="preserve"> </w:t>
      </w:r>
      <w:r>
        <w:rPr>
          <w:bCs/>
          <w:b/>
        </w:rPr>
        <w:t xml:space="preserve">incorporata nei sistemi fisici</w:t>
      </w:r>
      <w:r>
        <w:t xml:space="preserve"> </w:t>
      </w:r>
      <w:r>
        <w:t xml:space="preserve">— impianti, sensori di linea, involucro edilizio ceramico</w:t>
      </w:r>
      <w:r>
        <w:t xml:space="preserve"> </w:t>
      </w:r>
      <w:r>
        <w:rPr>
          <w:iCs/>
          <w:i/>
        </w:rPr>
        <w:t xml:space="preserve">smart</w:t>
      </w:r>
      <w:r>
        <w:t xml:space="preserve"> </w:t>
      </w:r>
      <w:r>
        <w:t xml:space="preserve">— la AI smette di essere semplice supporto decisionale e diventa</w:t>
      </w:r>
      <w:r>
        <w:t xml:space="preserve"> </w:t>
      </w:r>
      <w:r>
        <w:rPr>
          <w:bCs/>
          <w:b/>
        </w:rPr>
        <w:t xml:space="preserve">elemento costitutivo del valore</w:t>
      </w:r>
      <w:r>
        <w:t xml:space="preserve">, attraverso cicli continui di</w:t>
      </w:r>
      <w:r>
        <w:t xml:space="preserve"> </w:t>
      </w:r>
      <w:r>
        <w:rPr>
          <w:iCs/>
          <w:i/>
        </w:rPr>
        <w:t xml:space="preserve">sensing → decision → actuation → learning</w:t>
      </w:r>
      <w:r>
        <w:t xml:space="preserve">. Nell’industria ceramica ciò implica il passaggio da logiche</w:t>
      </w:r>
      <w:r>
        <w:t xml:space="preserve"> </w:t>
      </w:r>
      <w:r>
        <w:rPr>
          <w:bCs/>
          <w:b/>
        </w:rPr>
        <w:t xml:space="preserve">asset-based ed episodiche</w:t>
      </w:r>
      <w:r>
        <w:t xml:space="preserve"> </w:t>
      </w:r>
      <w:r>
        <w:t xml:space="preserve">(vendita una tantum del prodotto) a</w:t>
      </w:r>
      <w:r>
        <w:t xml:space="preserve"> </w:t>
      </w:r>
      <w:r>
        <w:rPr>
          <w:bCs/>
          <w:b/>
        </w:rPr>
        <w:t xml:space="preserve">sistemi adattivi e data-driven</w:t>
      </w:r>
      <w:r>
        <w:t xml:space="preserve"> </w:t>
      </w:r>
      <w:r>
        <w:t xml:space="preserve">(ottimizzazione continua del</w:t>
      </w:r>
      <w:r>
        <w:t xml:space="preserve"> </w:t>
      </w:r>
      <w:r>
        <w:rPr>
          <w:iCs/>
          <w:i/>
        </w:rPr>
        <w:t xml:space="preserve">workflow</w:t>
      </w:r>
      <w:r>
        <w:t xml:space="preserve">, orchestrazione lifecycle, monetizzazione ricorrente basata sulla fiducia).</w:t>
      </w:r>
    </w:p>
    <w:p>
      <w:pPr>
        <w:pStyle w:val="BodyText"/>
      </w:pPr>
      <w:r>
        <w:t xml:space="preserve">Il</w:t>
      </w:r>
      <w:r>
        <w:t xml:space="preserve"> </w:t>
      </w:r>
      <w:r>
        <w:rPr>
          <w:bCs/>
          <w:b/>
        </w:rPr>
        <w:t xml:space="preserve">KPI qualitativo</w:t>
      </w:r>
      <w:r>
        <w:t xml:space="preserve"> </w:t>
      </w:r>
      <w:r>
        <w:t xml:space="preserve">dell’attività è il</w:t>
      </w:r>
      <w:r>
        <w:t xml:space="preserve"> </w:t>
      </w:r>
      <w:r>
        <w:rPr>
          <w:bCs/>
          <w:b/>
        </w:rPr>
        <w:t xml:space="preserve">Business Model Canvas (BMC)</w:t>
      </w:r>
      <w:r>
        <w:t xml:space="preserve">: la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è il Modello di Business tradizionale (</w:t>
      </w:r>
      <w:r>
        <w:rPr>
          <w:iCs/>
          <w:i/>
        </w:rPr>
        <w:t xml:space="preserve">as-is</w:t>
      </w:r>
      <w:r>
        <w:t xml:space="preserve">), l’</w:t>
      </w:r>
      <w:r>
        <w:rPr>
          <w:bCs/>
          <w:b/>
        </w:rPr>
        <w:t xml:space="preserve">obiettivo</w:t>
      </w:r>
      <w:r>
        <w:t xml:space="preserve"> </w:t>
      </w:r>
      <w:r>
        <w:t xml:space="preserve">è l’AI-BM (</w:t>
      </w:r>
      <w:r>
        <w:rPr>
          <w:iCs/>
          <w:i/>
        </w:rPr>
        <w:t xml:space="preserve">to-be</w:t>
      </w:r>
      <w:r>
        <w:t xml:space="preserve">). Il canvas viene sviluppato in doppia versione — as-is/to-be — e la sua costruzione costituisce il</w:t>
      </w:r>
      <w:r>
        <w:t xml:space="preserve"> </w:t>
      </w:r>
      <w:r>
        <w:rPr>
          <w:bCs/>
          <w:b/>
        </w:rPr>
        <w:t xml:space="preserve">risultato di analisi strategica</w:t>
      </w:r>
      <w:r>
        <w:t xml:space="preserve"> </w:t>
      </w:r>
      <w:r>
        <w:t xml:space="preserve">richiesto dalla scheda.</w:t>
      </w:r>
    </w:p>
    <w:bookmarkEnd w:id="21"/>
    <w:bookmarkStart w:id="22" w:name="baseline"/>
    <w:p>
      <w:pPr>
        <w:pStyle w:val="Heading2"/>
      </w:pPr>
      <w:r>
        <w:t xml:space="preserve">1.3 Baseline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è il</w:t>
      </w:r>
      <w:r>
        <w:t xml:space="preserve"> </w:t>
      </w:r>
      <w:r>
        <w:rPr>
          <w:bCs/>
          <w:b/>
        </w:rPr>
        <w:t xml:space="preserve">Modello di Business tradizionale</w:t>
      </w:r>
      <w:r>
        <w:t xml:space="preserve"> </w:t>
      </w:r>
      <w:r>
        <w:t xml:space="preserve">dell’impresa ceramica: proposta di valore centrata sul prodotto (qualità, estetica, conformità tecnica, prezzo), ricavi transazionali una tantum, canali statici (rete commerciale, showroom, cataloghi), risorse e attività centrate su impianti e controllo qualità statistico. L’</w:t>
      </w:r>
      <w:r>
        <w:rPr>
          <w:bCs/>
          <w:b/>
        </w:rPr>
        <w:t xml:space="preserve">obiettivo</w:t>
      </w:r>
      <w:r>
        <w:t xml:space="preserve"> </w:t>
      </w:r>
      <w:r>
        <w:t xml:space="preserve">è l’</w:t>
      </w:r>
      <w:r>
        <w:rPr>
          <w:bCs/>
          <w:b/>
        </w:rPr>
        <w:t xml:space="preserve">AI-BM</w:t>
      </w:r>
      <w:r>
        <w:t xml:space="preserve">: il canvas riconfigurato in tutti e nove i blocchi secondo la logica data-driven della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.</w:t>
      </w:r>
    </w:p>
    <w:bookmarkEnd w:id="22"/>
    <w:bookmarkStart w:id="23" w:name="scopi-dellattività"/>
    <w:p>
      <w:pPr>
        <w:pStyle w:val="Heading2"/>
      </w:pPr>
      <w:r>
        <w:t xml:space="preserve">1.4 Scopi dell’attività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definire e proporre l’AI-BM</w:t>
      </w:r>
      <w:r>
        <w:t xml:space="preserve"> </w:t>
      </w:r>
      <w:r>
        <w:t xml:space="preserve">che aiuti l’impresa a valorizzare la transizione verso 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produrre il Business Model Canvas</w:t>
      </w:r>
      <w:r>
        <w:t xml:space="preserve"> </w:t>
      </w:r>
      <w:r>
        <w:t xml:space="preserve">(KPI) nella doppia versione as-is (tradizionale) → to-be (AI-BM);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condurre l’analisi strategica</w:t>
      </w:r>
      <w:r>
        <w:t xml:space="preserve"> </w:t>
      </w:r>
      <w:r>
        <w:t xml:space="preserve">a supporto (catena dato → informazione → valore, SWOT, transition model);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quantificare i vantaggi</w:t>
      </w:r>
      <w:r>
        <w:t xml:space="preserve"> </w:t>
      </w:r>
      <w:r>
        <w:t xml:space="preserve">dell’AI-BM con un modello economico (ROI e payback a livello di progetto, contributo al ROA a livello di gruppo);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chiudere l’OR 7</w:t>
      </w:r>
      <w:r>
        <w:t xml:space="preserve"> </w:t>
      </w:r>
      <w:r>
        <w:t xml:space="preserve">integrando i risultati dei collaudi precedenti (RP 7.1–7.9) come fonti di valore dell’AI-BM.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metodologia"/>
    <w:p>
      <w:pPr>
        <w:pStyle w:val="Heading1"/>
      </w:pPr>
      <w:r>
        <w:t xml:space="preserve">2. Metodologia</w:t>
      </w:r>
    </w:p>
    <w:bookmarkStart w:id="28" w:name="dallevidenza-dei-collaudi-allai-bm"/>
    <w:p>
      <w:pPr>
        <w:pStyle w:val="Heading2"/>
      </w:pPr>
      <w:r>
        <w:t xml:space="preserve">2.1 Dall’evidenza dei collaudi all’AI-BM</w:t>
      </w:r>
    </w:p>
    <w:p>
      <w:pPr>
        <w:pStyle w:val="FirstParagraph"/>
      </w:pPr>
      <w:r>
        <w:t xml:space="preserve">Il metodo dell’attività (Figura 1) parte dall’</w:t>
      </w:r>
      <w:r>
        <w:rPr>
          <w:bCs/>
          <w:b/>
        </w:rPr>
        <w:t xml:space="preserve">evidenza dei collaudi dell’OR 7</w:t>
      </w:r>
      <w:r>
        <w:t xml:space="preserve"> </w:t>
      </w:r>
      <w:r>
        <w:t xml:space="preserve">e la trasforma in modello di business attraverso quattro passaggi: (i) i collaudi RP 7.1–7.9 forniscono le capacità tecniche validate; (ii) 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 </w:t>
      </w:r>
      <w:r>
        <w:t xml:space="preserve">trasforma i</w:t>
      </w:r>
      <w:r>
        <w:t xml:space="preserve"> </w:t>
      </w:r>
      <w:r>
        <w:rPr>
          <w:bCs/>
          <w:b/>
        </w:rPr>
        <w:t xml:space="preserve">dati</w:t>
      </w:r>
      <w:r>
        <w:t xml:space="preserve"> </w:t>
      </w:r>
      <w:r>
        <w:t xml:space="preserve">multi-fonte in</w:t>
      </w:r>
      <w:r>
        <w:t xml:space="preserve"> </w:t>
      </w:r>
      <w:r>
        <w:rPr>
          <w:bCs/>
          <w:b/>
        </w:rPr>
        <w:t xml:space="preserve">informazioni</w:t>
      </w:r>
      <w:r>
        <w:t xml:space="preserve"> </w:t>
      </w:r>
      <w:r>
        <w:t xml:space="preserve">(algoritmi AI) e in</w:t>
      </w:r>
      <w:r>
        <w:t xml:space="preserve"> </w:t>
      </w:r>
      <w:r>
        <w:rPr>
          <w:bCs/>
          <w:b/>
        </w:rPr>
        <w:t xml:space="preserve">valore</w:t>
      </w:r>
      <w:r>
        <w:t xml:space="preserve">; (iii) il valore viene codificato nei nove blocchi del</w:t>
      </w:r>
      <w:r>
        <w:t xml:space="preserve"> </w:t>
      </w:r>
      <w:r>
        <w:rPr>
          <w:bCs/>
          <w:b/>
        </w:rPr>
        <w:t xml:space="preserve">Business Model Canvas</w:t>
      </w:r>
      <w:r>
        <w:t xml:space="preserve"> </w:t>
      </w:r>
      <w:r>
        <w:t xml:space="preserve">(KPI), riconfigurati da</w:t>
      </w:r>
      <w:r>
        <w:t xml:space="preserve"> </w:t>
      </w:r>
      <w:r>
        <w:rPr>
          <w:iCs/>
          <w:i/>
        </w:rPr>
        <w:t xml:space="preserve">as-is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to-be</w:t>
      </w:r>
      <w:r>
        <w:t xml:space="preserve">; (iv) l’</w:t>
      </w:r>
      <w:r>
        <w:rPr>
          <w:bCs/>
          <w:b/>
        </w:rPr>
        <w:t xml:space="preserve">analisi strategica</w:t>
      </w:r>
      <w:r>
        <w:t xml:space="preserve"> </w:t>
      </w:r>
      <w:r>
        <w:t xml:space="preserve">(SWOT e transition model) ne valida il posizionamento competitivo e la coerenza con la trasformazione.</w:t>
      </w:r>
    </w:p>
    <w:p>
      <w:pPr>
        <w:pStyle w:val="CaptionedFigure"/>
      </w:pPr>
      <w:r>
        <w:drawing>
          <wp:inline>
            <wp:extent cx="6832600" cy="2810350"/>
            <wp:effectExtent b="0" l="0" r="0" t="0"/>
            <wp:docPr descr="Figura 1 — Metodo dell’attività 7.10." title="" id="26" name="Picture"/>
            <a:graphic>
              <a:graphicData uri="http://schemas.openxmlformats.org/drawingml/2006/picture">
                <pic:pic>
                  <pic:nvPicPr>
                    <pic:cNvPr descr="figures/fig_aibm1_metod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281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Metodo dell’attività 7.10.</w:t>
      </w:r>
    </w:p>
    <w:p>
      <w:pPr>
        <w:pStyle w:val="BodyText"/>
      </w:pPr>
      <w:r>
        <w:rPr>
          <w:iCs/>
          <w:i/>
        </w:rPr>
        <w:t xml:space="preserve">Figura 1. Dall’evidenza dei collaudi dell’OR 7 all’AI-BM: la catena dato → informazione → valore alimenta il Business Model Canvas (KPI) e l’analisi strategica (baseline: BM tradizionale → obiettivo: AI-BM).</w:t>
      </w:r>
    </w:p>
    <w:bookmarkEnd w:id="28"/>
    <w:bookmarkStart w:id="29" w:name="il-business-model-canvas-come-kpi"/>
    <w:p>
      <w:pPr>
        <w:pStyle w:val="Heading2"/>
      </w:pPr>
      <w:r>
        <w:t xml:space="preserve">2.2 Il Business Model Canvas come KPI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Cs/>
          <w:b/>
        </w:rPr>
        <w:t xml:space="preserve">Business Model Canvas</w:t>
      </w:r>
      <w:r>
        <w:t xml:space="preserve"> </w:t>
      </w:r>
      <w:r>
        <w:t xml:space="preserve">(Osterwalder &amp; Pigneur, 2010) è adottato come strumento di strutturazione del KPI qualitativo. I nove blocchi — segmenti di clientela, proposta di valore, canali, relazioni con i clienti, flussi di ricavi, risorse chiave, attività chiave, partnership chiave, struttura dei costi — sono compilati in</w:t>
      </w:r>
      <w:r>
        <w:t xml:space="preserve"> </w:t>
      </w:r>
      <w:r>
        <w:rPr>
          <w:bCs/>
          <w:b/>
        </w:rPr>
        <w:t xml:space="preserve">doppia colonna</w:t>
      </w:r>
      <w:r>
        <w:t xml:space="preserve"> </w:t>
      </w:r>
      <w:r>
        <w:rPr>
          <w:iCs/>
          <w:i/>
        </w:rPr>
        <w:t xml:space="preserve">as-is</w:t>
      </w:r>
      <w:r>
        <w:t xml:space="preserve"> </w:t>
      </w:r>
      <w:r>
        <w:t xml:space="preserve">(tradizionale) e</w:t>
      </w:r>
      <w:r>
        <w:t xml:space="preserve"> </w:t>
      </w:r>
      <w:r>
        <w:rPr>
          <w:iCs/>
          <w:i/>
        </w:rPr>
        <w:t xml:space="preserve">to-be</w:t>
      </w:r>
      <w:r>
        <w:t xml:space="preserve"> </w:t>
      </w:r>
      <w:r>
        <w:t xml:space="preserve">(AI-BM), rendendo esplicito, blocco per blocco, come 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 </w:t>
      </w:r>
      <w:r>
        <w:t xml:space="preserve">riconfigura la creazione e la cattura del valore.</w:t>
      </w:r>
    </w:p>
    <w:bookmarkEnd w:id="29"/>
    <w:bookmarkStart w:id="30" w:name="limpianto-di-analisi-strategica"/>
    <w:p>
      <w:pPr>
        <w:pStyle w:val="Heading2"/>
      </w:pPr>
      <w:r>
        <w:t xml:space="preserve">2.3 L’impianto di analisi strategica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Catena dato → informazione → valore</w:t>
      </w:r>
      <w:r>
        <w:t xml:space="preserve"> </w:t>
      </w:r>
      <w:r>
        <w:t xml:space="preserve">— è il</w:t>
      </w:r>
      <w:r>
        <w:t xml:space="preserve"> </w:t>
      </w:r>
      <w:r>
        <w:t xml:space="preserve">“</w:t>
      </w:r>
      <w:r>
        <w:t xml:space="preserve">motore</w:t>
      </w:r>
      <w:r>
        <w:t xml:space="preserve">”</w:t>
      </w:r>
      <w:r>
        <w:t xml:space="preserve"> </w:t>
      </w:r>
      <w:r>
        <w:t xml:space="preserve">dell’AI-BM e risponde direttamente allo scopo della scheda (trasformare i dati in informazioni e le informazioni in valore). I dati di processo e d’uso (RP 7.1, RP 7.2, RP 7.9) diventano informazione tramite gli algoritmi AI (qualità predittiva RP 7.5, P-TSA RP 7.4, assessment RP 7.3) e quindi valore per il cliente (personalizzazione, sostenibilità certificata, prodotto-servizio).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Analisi SWOT</w:t>
      </w:r>
      <w:r>
        <w:t xml:space="preserve"> </w:t>
      </w:r>
      <w:r>
        <w:t xml:space="preserve">— inquadra il</w:t>
      </w:r>
      <w:r>
        <w:t xml:space="preserve"> </w:t>
      </w:r>
      <w:r>
        <w:rPr>
          <w:bCs/>
          <w:b/>
        </w:rPr>
        <w:t xml:space="preserve">successo competitivo</w:t>
      </w:r>
      <w:r>
        <w:t xml:space="preserve"> </w:t>
      </w:r>
      <w:r>
        <w:t xml:space="preserve">dell’AI-BM classificando i fattori interni (forze/debolezze) ed esterni (opportunità/minacce) (Helms &amp; Nixon, 2010).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Transition model</w:t>
      </w:r>
      <w:r>
        <w:t xml:space="preserve"> </w:t>
      </w:r>
      <w:r>
        <w:t xml:space="preserve">— descrive il passaggio da logiche asset-based/episodiche a sistemi adattivi/data-driven lungo sei dimensioni (logica del valore, temporalità, ruolo della AI, orchestrazione, monetizzazione, apprendimento), con evidenza delle</w:t>
      </w:r>
      <w:r>
        <w:t xml:space="preserve"> </w:t>
      </w:r>
      <w:r>
        <w:rPr>
          <w:bCs/>
          <w:b/>
        </w:rPr>
        <w:t xml:space="preserve">quattro tensioni sistemiche</w:t>
      </w:r>
      <w:r>
        <w:t xml:space="preserve"> </w:t>
      </w:r>
      <w:r>
        <w:t xml:space="preserve">dell’embodied AI (Bouncken &amp; Cesinger, 2026).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ROI e ROA</w:t>
      </w:r>
      <w:r>
        <w:t xml:space="preserve"> </w:t>
      </w:r>
      <w:r>
        <w:t xml:space="preserve">— misurano la</w:t>
      </w:r>
      <w:r>
        <w:t xml:space="preserve"> </w:t>
      </w:r>
      <w:r>
        <w:rPr>
          <w:bCs/>
          <w:b/>
        </w:rPr>
        <w:t xml:space="preserve">redditualità</w:t>
      </w:r>
      <w:r>
        <w:t xml:space="preserve"> </w:t>
      </w:r>
      <w:r>
        <w:t xml:space="preserve">dell’AI-BM: il ROI rapporta il beneficio netto annuo all’investimento (con il relativo</w:t>
      </w:r>
      <w:r>
        <w:t xml:space="preserve"> </w:t>
      </w:r>
      <w:r>
        <w:rPr>
          <w:iCs/>
          <w:i/>
        </w:rPr>
        <w:t xml:space="preserve">payback</w:t>
      </w:r>
      <w:r>
        <w:t xml:space="preserve">); il contributo al ROA rapporta il beneficio netto al totale delle attività, collocando l’iniziativa nella scala del gruppo. Coerentemente con l’impostazione del</w:t>
      </w:r>
      <w:r>
        <w:t xml:space="preserve"> </w:t>
      </w:r>
      <w:r>
        <w:rPr>
          <w:iCs/>
          <w:i/>
        </w:rPr>
        <w:t xml:space="preserve">Circular Business Plan</w:t>
      </w:r>
      <w:r>
        <w:t xml:space="preserve"> </w:t>
      </w:r>
      <w:r>
        <w:t xml:space="preserve">di VOLT (RP 8.8), la validazione integra così l’asse</w:t>
      </w:r>
      <w:r>
        <w:t xml:space="preserve"> </w:t>
      </w:r>
      <w:r>
        <w:rPr>
          <w:bCs/>
          <w:b/>
        </w:rPr>
        <w:t xml:space="preserve">strategico</w:t>
      </w:r>
      <w:r>
        <w:t xml:space="preserve"> </w:t>
      </w:r>
      <w:r>
        <w:t xml:space="preserve">(BMC, SWOT, transition model) con quello</w:t>
      </w:r>
      <w:r>
        <w:t xml:space="preserve"> </w:t>
      </w:r>
      <w:r>
        <w:rPr>
          <w:bCs/>
          <w:b/>
        </w:rPr>
        <w:t xml:space="preserve">economico</w:t>
      </w:r>
      <w:r>
        <w:t xml:space="preserve"> </w:t>
      </w:r>
      <w:r>
        <w:t xml:space="preserve">(ROI/ROA).</w:t>
      </w:r>
    </w:p>
    <w:bookmarkEnd w:id="30"/>
    <w:bookmarkStart w:id="31" w:name="X8a59671842ed881cb06b8fdc4dadaebe202d056"/>
    <w:p>
      <w:pPr>
        <w:pStyle w:val="Heading2"/>
      </w:pPr>
      <w:r>
        <w:t xml:space="preserve">2.4 Trattamento del problema progettuale n. 10</w:t>
      </w:r>
    </w:p>
    <w:p>
      <w:pPr>
        <w:pStyle w:val="FirstParagraph"/>
      </w:pPr>
      <w:r>
        <w:t xml:space="preserve">Un modello di business guidato dalla AI è uno strumento strategico innovativo che richiede</w:t>
      </w:r>
      <w:r>
        <w:t xml:space="preserve"> </w:t>
      </w:r>
      <w:r>
        <w:rPr>
          <w:bCs/>
          <w:b/>
        </w:rPr>
        <w:t xml:space="preserve">competenze specialistiche non presenti nel Team di Progetto</w:t>
      </w:r>
      <w:r>
        <w:t xml:space="preserve"> </w:t>
      </w:r>
      <w:r>
        <w:t xml:space="preserve">(problema progettuale n. 10). L’attività si avvale pertanto di una</w:t>
      </w:r>
      <w:r>
        <w:t xml:space="preserve"> </w:t>
      </w:r>
      <w:r>
        <w:rPr>
          <w:bCs/>
          <w:b/>
        </w:rPr>
        <w:t xml:space="preserve">consulenza specializzata di esperti in BM design</w:t>
      </w:r>
      <w:r>
        <w:t xml:space="preserve">, che affianca il team nella costruzione e validazione del canvas. I dati quantitativi non omogenei, provenienti da fonti diverse, sono strutturati come informazione all’interno del canvas e dell’analisi strategica.</w:t>
      </w:r>
    </w:p>
    <w:bookmarkEnd w:id="31"/>
    <w:bookmarkStart w:id="32" w:name="riproducibilità"/>
    <w:p>
      <w:pPr>
        <w:pStyle w:val="Heading2"/>
      </w:pPr>
      <w:r>
        <w:t xml:space="preserve">2.5 Riproducibilità</w:t>
      </w:r>
    </w:p>
    <w:p>
      <w:pPr>
        <w:pStyle w:val="FirstParagraph"/>
      </w:pPr>
      <w:r>
        <w:t xml:space="preserve">Il modello (BMC as-is/to-be, catena del valore, SWOT, transition model) è codificato e riproducibile (</w:t>
      </w:r>
      <w:r>
        <w:rPr>
          <w:rStyle w:val="VerbatimChar"/>
        </w:rPr>
        <w:t xml:space="preserve">src/aibm.py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run_collaudo_aibm.py</w:t>
      </w:r>
      <w:r>
        <w:t xml:space="preserve">), con export</w:t>
      </w:r>
      <w:r>
        <w:t xml:space="preserve"> </w:t>
      </w:r>
      <w:r>
        <w:rPr>
          <w:rStyle w:val="VerbatimChar"/>
        </w:rPr>
        <w:t xml:space="preserve">output/collaudo_aibm_*.csv</w:t>
      </w:r>
      <w:r>
        <w:t xml:space="preserve"> </w:t>
      </w:r>
      <w:r>
        <w:t xml:space="preserve">per il cruscotto Power BI e figure rigenerabili (</w:t>
      </w:r>
      <w:r>
        <w:rPr>
          <w:rStyle w:val="VerbatimChar"/>
        </w:rPr>
        <w:t xml:space="preserve">scripts/gen_figures_aibm.py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2" w:name="risultati"/>
    <w:p>
      <w:pPr>
        <w:pStyle w:val="Heading1"/>
      </w:pPr>
      <w:r>
        <w:t xml:space="preserve">3. Risultati</w:t>
      </w:r>
    </w:p>
    <w:bookmarkStart w:id="37" w:name="il-business-model-canvas-dellai-bm-kpi"/>
    <w:p>
      <w:pPr>
        <w:pStyle w:val="Heading2"/>
      </w:pPr>
      <w:r>
        <w:t xml:space="preserve">3.1 Il Business Model Canvas dell’AI-BM (KPI)</w:t>
      </w:r>
    </w:p>
    <w:p>
      <w:pPr>
        <w:pStyle w:val="FirstParagraph"/>
      </w:pPr>
      <w:r>
        <w:t xml:space="preserve">La costruzione ha prodotto il</w:t>
      </w:r>
      <w:r>
        <w:t xml:space="preserve"> </w:t>
      </w:r>
      <w:r>
        <w:rPr>
          <w:bCs/>
          <w:b/>
        </w:rPr>
        <w:t xml:space="preserve">Business Model Canvas</w:t>
      </w:r>
      <w:r>
        <w:t xml:space="preserve"> </w:t>
      </w:r>
      <w:r>
        <w:t xml:space="preserve">nella doppia versione</w:t>
      </w:r>
      <w:r>
        <w:t xml:space="preserve"> </w:t>
      </w:r>
      <w:r>
        <w:rPr>
          <w:iCs/>
          <w:i/>
        </w:rPr>
        <w:t xml:space="preserve">as-is</w:t>
      </w:r>
      <w:r>
        <w:t xml:space="preserve"> </w:t>
      </w:r>
      <w:r>
        <w:t xml:space="preserve">(tradizionale) e</w:t>
      </w:r>
      <w:r>
        <w:t xml:space="preserve"> </w:t>
      </w:r>
      <w:r>
        <w:rPr>
          <w:iCs/>
          <w:i/>
        </w:rPr>
        <w:t xml:space="preserve">to-be</w:t>
      </w:r>
      <w:r>
        <w:t xml:space="preserve"> </w:t>
      </w:r>
      <w:r>
        <w:t xml:space="preserve">(AI-BM), portando il KPI dalla baseline (Modello di Business tradizionale) all’obiettivo (AI-BM), con tutti e nove i blocchi riconfigurati (Figura 2).</w:t>
      </w:r>
    </w:p>
    <w:p>
      <w:pPr>
        <w:pStyle w:val="CaptionedFigure"/>
      </w:pPr>
      <w:r>
        <w:drawing>
          <wp:inline>
            <wp:extent cx="6832600" cy="4407996"/>
            <wp:effectExtent b="0" l="0" r="0" t="0"/>
            <wp:docPr descr="Figura 2 — Business Model Canvas: da Modello tradizionale ad AI-BM." title="" id="35" name="Picture"/>
            <a:graphic>
              <a:graphicData uri="http://schemas.openxmlformats.org/drawingml/2006/picture">
                <pic:pic>
                  <pic:nvPicPr>
                    <pic:cNvPr descr="figures/fig_aibm2_bm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40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Business Model Canvas: da Modello tradizionale ad AI-BM.</w:t>
      </w:r>
    </w:p>
    <w:p>
      <w:pPr>
        <w:pStyle w:val="BodyText"/>
      </w:pPr>
      <w:r>
        <w:rPr>
          <w:iCs/>
          <w:i/>
        </w:rPr>
        <w:t xml:space="preserve">Figura 2. Il Business Model Canvas dell’AI-BM (KPI qualitativo). Per ogni blocco: configurazione tradizionale (as-is, in grigio) e configurazione AI-BM (to-be, evidenziata in verde).</w:t>
      </w:r>
    </w:p>
    <w:p>
      <w:pPr>
        <w:pStyle w:val="BodyText"/>
      </w:pPr>
      <w:r>
        <w:rPr>
          <w:bCs/>
          <w:b/>
        </w:rPr>
        <w:t xml:space="preserve">Tabella 1 — Business Model Canvas: as-is (tradizionale) → to-be (AI-BM).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 (tradizionale)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 (AI-BM)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AI / collaudo OR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Segmenti di clientela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Distributori, rivenditori, imprese edili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Progettisti e clienti finali; segmenti guidati dai dati d’uso e servizi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7.9, RP 7.7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di valore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Qualità, estetica, conformità tecnica, prezzo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Prodotto-servizio con performance monitorate, personalizzazione agile, sostenibilità certificata, qualità predittiva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7.4, RP 7.5, OR6/RP 7.3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 commerciale, showroom, cataloghi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Piattaforma edge-to-cloud (E2C), configuratori AI, canali attivati dai dati d’uso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7.1, RP 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Relazioni con i clienti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Transazionale ordine-consegna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Continuative con feedback loop, co-design, monitoraggio ricorrente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Flussi di ricavi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Vendita una tantum (logica episodica)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Ricavi ricorrenti basati sulla fiducia, servizi a valore aggiunto, premium per personalizzazione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Risorse chiave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Impianti, know-how, materie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multi-fonte, algoritmi AI, Intelligent Factory, E2C, gemello digitale, competenze, involucro sensorizzato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7.1, RP 7.2, RP 7.8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 chiave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Produzione, QC statistico, 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dati in tempo reale, qualità predittiva, data-driven design, assessment di sostenibilità, orchestrazione del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7.5, RP 7.7, RP 7.3/7.4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chiave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Fornitori di materie prime, distributori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Ecosistema esteso: fornitori tecnologici, software house, orchestratori di piattaforma, partner OR, clienti co-produttori di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OR1–OR5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Struttura dei costi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Produzione, materie prime, energia (scala)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Piattaforma e IT, data governance, competenze specialistiche (economie di apprendimento e scopo)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7.1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Tabella 2 — Verifica del KPI.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397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Obiettivo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Blocchi riconfigurati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Model Canvas (AI-BM)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di Business tradizionale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/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prodotto</w:t>
            </w:r>
          </w:p>
        </w:tc>
      </w:tr>
    </w:tbl>
    <w:bookmarkEnd w:id="37"/>
    <w:bookmarkStart w:id="38" w:name="la-catena-dato-informazione-valore"/>
    <w:p>
      <w:pPr>
        <w:pStyle w:val="Heading2"/>
      </w:pPr>
      <w:r>
        <w:t xml:space="preserve">3.2 La catena dato → informazione → valore</w:t>
      </w:r>
    </w:p>
    <w:p>
      <w:pPr>
        <w:pStyle w:val="FirstParagraph"/>
      </w:pPr>
      <w:r>
        <w:t xml:space="preserve">Il</w:t>
      </w:r>
      <w:r>
        <w:t xml:space="preserve"> </w:t>
      </w:r>
      <w:r>
        <w:t xml:space="preserve">“</w:t>
      </w:r>
      <w:r>
        <w:t xml:space="preserve">motore</w:t>
      </w:r>
      <w:r>
        <w:t xml:space="preserve">”</w:t>
      </w:r>
      <w:r>
        <w:t xml:space="preserve"> </w:t>
      </w:r>
      <w:r>
        <w:t xml:space="preserve">dell’AI-BM è la catena che trasforma i</w:t>
      </w:r>
      <w:r>
        <w:t xml:space="preserve"> </w:t>
      </w:r>
      <w:r>
        <w:rPr>
          <w:bCs/>
          <w:b/>
        </w:rPr>
        <w:t xml:space="preserve">dati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informazioni</w:t>
      </w:r>
      <w:r>
        <w:t xml:space="preserve"> </w:t>
      </w:r>
      <w:r>
        <w:t xml:space="preserve">e le informazioni in</w:t>
      </w:r>
      <w:r>
        <w:t xml:space="preserve"> </w:t>
      </w:r>
      <w:r>
        <w:rPr>
          <w:bCs/>
          <w:b/>
        </w:rPr>
        <w:t xml:space="preserve">valore</w:t>
      </w:r>
      <w:r>
        <w:t xml:space="preserve"> </w:t>
      </w:r>
      <w:r>
        <w:t xml:space="preserve">(Figura 4, banda inferiore): i dati storici multi-fonte delle linee (E2C, RP 7.1;</w:t>
      </w:r>
      <w:r>
        <w:t xml:space="preserve"> </w:t>
      </w:r>
      <w:r>
        <w:rPr>
          <w:iCs/>
          <w:i/>
        </w:rPr>
        <w:t xml:space="preserve">Intelligent Factory</w:t>
      </w:r>
      <w:r>
        <w:t xml:space="preserve">, RP 7.2) e i dati dei sensori dell’involucro edilizio (RP 7.9) sono elaborati dagli algoritmi AI (affidabilità &gt; 75%) per produrre qualità predittiva (DDQM, RP 7.5), indicatori di sostenibilità (footprint OR 6) e</w:t>
      </w:r>
      <w:r>
        <w:t xml:space="preserve"> </w:t>
      </w:r>
      <w:r>
        <w:rPr>
          <w:iCs/>
          <w:i/>
        </w:rPr>
        <w:t xml:space="preserve">Product Technological Sustainability Assessment</w:t>
      </w:r>
      <w:r>
        <w:t xml:space="preserve"> </w:t>
      </w:r>
      <w:r>
        <w:t xml:space="preserve">(RP 7.4); da qui discendono le proposte di valore dell’AI-BM (personalizzazione, sostenibilità certificata, prodotto-servizio, ricavi ricorrenti).</w:t>
      </w:r>
    </w:p>
    <w:bookmarkEnd w:id="38"/>
    <w:bookmarkStart w:id="42" w:name="analisi-swot-dellai-bm"/>
    <w:p>
      <w:pPr>
        <w:pStyle w:val="Heading2"/>
      </w:pPr>
      <w:r>
        <w:t xml:space="preserve">3.3 Analisi SWOT dell’AI-BM</w:t>
      </w:r>
    </w:p>
    <w:p>
      <w:pPr>
        <w:pStyle w:val="FirstParagraph"/>
      </w:pPr>
      <w:r>
        <w:t xml:space="preserve">L’analisi SWOT (Figura 3) evidenzia una posizione competitiva solida: le</w:t>
      </w:r>
      <w:r>
        <w:t xml:space="preserve"> </w:t>
      </w:r>
      <w:r>
        <w:rPr>
          <w:bCs/>
          <w:b/>
        </w:rPr>
        <w:t xml:space="preserve">forze</w:t>
      </w:r>
      <w:r>
        <w:t xml:space="preserve"> </w:t>
      </w:r>
      <w:r>
        <w:t xml:space="preserve">derivano dalle capacità validate nei collaudi (</w:t>
      </w:r>
      <w:r>
        <w:rPr>
          <w:iCs/>
          <w:i/>
        </w:rPr>
        <w:t xml:space="preserve">Intelligent Factory</w:t>
      </w:r>
      <w:r>
        <w:t xml:space="preserve"> </w:t>
      </w:r>
      <w:r>
        <w:t xml:space="preserve">ed E2C operativi, qualità predittiva DDQM, sostenibilità certificata data-driven, personalizzazione agile con</w:t>
      </w:r>
      <w:r>
        <w:t xml:space="preserve"> </w:t>
      </w:r>
      <w:r>
        <w:rPr>
          <w:iCs/>
          <w:i/>
        </w:rPr>
        <w:t xml:space="preserve">smart materials</w:t>
      </w:r>
      <w:r>
        <w:t xml:space="preserve"> </w:t>
      </w:r>
      <w:r>
        <w:t xml:space="preserve">sensorizzati); le</w:t>
      </w:r>
      <w:r>
        <w:t xml:space="preserve"> </w:t>
      </w:r>
      <w:r>
        <w:rPr>
          <w:bCs/>
          <w:b/>
        </w:rPr>
        <w:t xml:space="preserve">debolezze</w:t>
      </w:r>
      <w:r>
        <w:t xml:space="preserve"> </w:t>
      </w:r>
      <w:r>
        <w:t xml:space="preserve">e le</w:t>
      </w:r>
      <w:r>
        <w:t xml:space="preserve"> </w:t>
      </w:r>
      <w:r>
        <w:rPr>
          <w:bCs/>
          <w:b/>
        </w:rPr>
        <w:t xml:space="preserve">minacce</w:t>
      </w:r>
      <w:r>
        <w:t xml:space="preserve"> </w:t>
      </w:r>
      <w:r>
        <w:t xml:space="preserve">individuano le aree di presidio (competenze BM/data science da acquisire — problema n. 10 —, dati non omogenei, cambiamento organizzativo, cybersecurity, dipendenza dai fornitori tecnologici); le</w:t>
      </w:r>
      <w:r>
        <w:t xml:space="preserve"> </w:t>
      </w:r>
      <w:r>
        <w:rPr>
          <w:bCs/>
          <w:b/>
        </w:rPr>
        <w:t xml:space="preserve">opportunità</w:t>
      </w:r>
      <w:r>
        <w:t xml:space="preserve"> </w:t>
      </w:r>
      <w:r>
        <w:t xml:space="preserve">confermano la coerenza con la domanda green e personalizzata, la servitizzazione, gli Accordi per l’Innovazione (MIMIT) e i requisiti ESG/CBAM, oltre alla replicabilità al distretto ceramico.</w:t>
      </w:r>
    </w:p>
    <w:p>
      <w:pPr>
        <w:pStyle w:val="CaptionedFigure"/>
      </w:pPr>
      <w:r>
        <w:drawing>
          <wp:inline>
            <wp:extent cx="6832600" cy="4131946"/>
            <wp:effectExtent b="0" l="0" r="0" t="0"/>
            <wp:docPr descr="Figura 3 — Analisi SWOT dell’AI-BM." title="" id="40" name="Picture"/>
            <a:graphic>
              <a:graphicData uri="http://schemas.openxmlformats.org/drawingml/2006/picture">
                <pic:pic>
                  <pic:nvPicPr>
                    <pic:cNvPr descr="figures/fig_aibm3_swo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13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Analisi SWOT dell’AI-BM.</w:t>
      </w:r>
    </w:p>
    <w:p>
      <w:pPr>
        <w:pStyle w:val="BodyText"/>
      </w:pPr>
      <w:r>
        <w:rPr>
          <w:iCs/>
          <w:i/>
        </w:rPr>
        <w:t xml:space="preserve">Figura 3. Matrice SWOT: fattori interni (forze/debolezze) ed esterni (opportunità/minacce) dell’AI-BM.</w:t>
      </w:r>
    </w:p>
    <w:bookmarkEnd w:id="42"/>
    <w:bookmarkStart w:id="46" w:name="Xaabcf5fa73b2790af27c63e484473f75223c06b"/>
    <w:p>
      <w:pPr>
        <w:pStyle w:val="Heading2"/>
      </w:pPr>
      <w:r>
        <w:t xml:space="preserve">3.4 Il transition model e le tensioni sistemiche</w:t>
      </w:r>
    </w:p>
    <w:p>
      <w:pPr>
        <w:pStyle w:val="FirstParagraph"/>
      </w:pPr>
      <w:r>
        <w:t xml:space="preserve">Il transition model (Figura 4) sintetizza il passaggio dell’impresa lungo sei dimensioni: la</w:t>
      </w:r>
      <w:r>
        <w:t xml:space="preserve"> </w:t>
      </w:r>
      <w:r>
        <w:rPr>
          <w:bCs/>
          <w:b/>
        </w:rPr>
        <w:t xml:space="preserve">logica del valore</w:t>
      </w:r>
      <w:r>
        <w:t xml:space="preserve"> </w:t>
      </w:r>
      <w:r>
        <w:t xml:space="preserve">da asset-based a data-driven; la</w:t>
      </w:r>
      <w:r>
        <w:t xml:space="preserve"> </w:t>
      </w:r>
      <w:r>
        <w:rPr>
          <w:bCs/>
          <w:b/>
        </w:rPr>
        <w:t xml:space="preserve">temporalità</w:t>
      </w:r>
      <w:r>
        <w:t xml:space="preserve"> </w:t>
      </w:r>
      <w:r>
        <w:t xml:space="preserve">da episodica a continua; il</w:t>
      </w:r>
      <w:r>
        <w:t xml:space="preserve"> </w:t>
      </w:r>
      <w:r>
        <w:rPr>
          <w:bCs/>
          <w:b/>
        </w:rPr>
        <w:t xml:space="preserve">ruolo della AI</w:t>
      </w:r>
      <w:r>
        <w:t xml:space="preserve"> </w:t>
      </w:r>
      <w:r>
        <w:t xml:space="preserve">da supporto decisionale a elemento costitutivo del valore; l’</w:t>
      </w:r>
      <w:r>
        <w:rPr>
          <w:bCs/>
          <w:b/>
        </w:rPr>
        <w:t xml:space="preserve">orchestrazione</w:t>
      </w:r>
      <w:r>
        <w:t xml:space="preserve"> </w:t>
      </w:r>
      <w:r>
        <w:t xml:space="preserve">dal prodotto al lifecycle/ecosistema; la</w:t>
      </w:r>
      <w:r>
        <w:t xml:space="preserve"> </w:t>
      </w:r>
      <w:r>
        <w:rPr>
          <w:bCs/>
          <w:b/>
        </w:rPr>
        <w:t xml:space="preserve">monetizzazione</w:t>
      </w:r>
      <w:r>
        <w:t xml:space="preserve"> </w:t>
      </w:r>
      <w:r>
        <w:t xml:space="preserve">da transazionale a ricorrente basata sulla fiducia; l’</w:t>
      </w:r>
      <w:r>
        <w:rPr>
          <w:bCs/>
          <w:b/>
        </w:rPr>
        <w:t xml:space="preserve">apprendimento</w:t>
      </w:r>
      <w:r>
        <w:t xml:space="preserve"> </w:t>
      </w:r>
      <w:r>
        <w:t xml:space="preserve">verso un doppio loop (interno all’impresa ed esteso all’ecosistema). Il modello rende esplicite le</w:t>
      </w:r>
      <w:r>
        <w:t xml:space="preserve"> </w:t>
      </w:r>
      <w:r>
        <w:rPr>
          <w:bCs/>
          <w:b/>
        </w:rPr>
        <w:t xml:space="preserve">quattro tensioni sistemiche</w:t>
      </w:r>
      <w:r>
        <w:t xml:space="preserve"> </w:t>
      </w:r>
      <w:r>
        <w:t xml:space="preserve">da governare: apertura vs controllo dei dati, scala vs adattamento locale, ambizione di automazione vs vincoli di affidabilità, monetizzazione vs fiducia.</w:t>
      </w:r>
    </w:p>
    <w:p>
      <w:pPr>
        <w:pStyle w:val="CaptionedFigure"/>
      </w:pPr>
      <w:r>
        <w:drawing>
          <wp:inline>
            <wp:extent cx="6832600" cy="4574245"/>
            <wp:effectExtent b="0" l="0" r="0" t="0"/>
            <wp:docPr descr="Figura 4 — Transition model, catena del valore e tensioni sistemiche." title="" id="44" name="Picture"/>
            <a:graphic>
              <a:graphicData uri="http://schemas.openxmlformats.org/drawingml/2006/picture">
                <pic:pic>
                  <pic:nvPicPr>
                    <pic:cNvPr descr="figures/fig_aibm4_transi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5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— Transition model, catena del valore e tensioni sistemiche.</w:t>
      </w:r>
    </w:p>
    <w:p>
      <w:pPr>
        <w:pStyle w:val="BodyText"/>
      </w:pPr>
      <w:r>
        <w:rPr>
          <w:iCs/>
          <w:i/>
        </w:rPr>
        <w:t xml:space="preserve">Figura 4. Transition model (as-is → to-be) su sei dimensioni; catena dato → informazione → valore; tensioni sistemiche dell’embodied AI-BM.</w:t>
      </w:r>
    </w:p>
    <w:bookmarkEnd w:id="46"/>
    <w:bookmarkStart w:id="50" w:name="quantificazione-economica-roiroa"/>
    <w:p>
      <w:pPr>
        <w:pStyle w:val="Heading2"/>
      </w:pPr>
      <w:r>
        <w:t xml:space="preserve">3.5 Quantificazione economica (ROI/ROA)</w:t>
      </w:r>
    </w:p>
    <w:p>
      <w:pPr>
        <w:pStyle w:val="FirstParagraph"/>
      </w:pPr>
      <w:r>
        <w:t xml:space="preserve">La validazione economica (Figura 5) è condotta con</w:t>
      </w:r>
      <w:r>
        <w:t xml:space="preserve"> </w:t>
      </w:r>
      <w:r>
        <w:rPr>
          <w:bCs/>
          <w:b/>
        </w:rPr>
        <w:t xml:space="preserve">valori rappresentativi</w:t>
      </w:r>
      <w:r>
        <w:t xml:space="preserve">: quelli di contesto di gruppo sono calibrati sull’</w:t>
      </w:r>
      <w:r>
        <w:rPr>
          <w:bCs/>
          <w:b/>
        </w:rPr>
        <w:t xml:space="preserve">ordine di grandezza</w:t>
      </w:r>
      <w:r>
        <w:t xml:space="preserve"> </w:t>
      </w:r>
      <w:r>
        <w:t xml:space="preserve">dei bilanci di gruppo Gresmalt (ricavi ~180 M€, ROA ~20%), senza riportarne le cifre riservate puntuali. A</w:t>
      </w:r>
      <w:r>
        <w:t xml:space="preserve"> </w:t>
      </w:r>
      <w:r>
        <w:rPr>
          <w:bCs/>
          <w:b/>
        </w:rPr>
        <w:t xml:space="preserve">livello di progetto</w:t>
      </w:r>
      <w:r>
        <w:t xml:space="preserve"> </w:t>
      </w:r>
      <w:r>
        <w:t xml:space="preserve">l’AI-BM presenta un</w:t>
      </w:r>
      <w:r>
        <w:t xml:space="preserve"> </w:t>
      </w:r>
      <w:r>
        <w:rPr>
          <w:bCs/>
          <w:b/>
        </w:rPr>
        <w:t xml:space="preserve">ROI annuo del ~43%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payback di ~2,3 anni</w:t>
      </w:r>
      <w:r>
        <w:t xml:space="preserve">. A</w:t>
      </w:r>
      <w:r>
        <w:t xml:space="preserve"> </w:t>
      </w:r>
      <w:r>
        <w:rPr>
          <w:bCs/>
          <w:b/>
        </w:rPr>
        <w:t xml:space="preserve">livello di gruppo</w:t>
      </w:r>
      <w:r>
        <w:t xml:space="preserve"> </w:t>
      </w:r>
      <w:r>
        <w:t xml:space="preserve">il contributo al ROA è</w:t>
      </w:r>
      <w:r>
        <w:t xml:space="preserve"> </w:t>
      </w:r>
      <w:r>
        <w:rPr>
          <w:bCs/>
          <w:b/>
        </w:rPr>
        <w:t xml:space="preserve">marginale (+~0,14 punti percentuali)</w:t>
      </w:r>
      <w:r>
        <w:t xml:space="preserve">: coerentemente con la natura incrementale dell’iniziativa (il beneficio netto annuo è pari a meno dell’1% dell’EBITDA di gruppo), il valore dell’AI-BM si esprime soprattutto a</w:t>
      </w:r>
      <w:r>
        <w:t xml:space="preserve"> </w:t>
      </w:r>
      <w:r>
        <w:rPr>
          <w:bCs/>
          <w:b/>
        </w:rPr>
        <w:t xml:space="preserve">livello di progetto</w:t>
      </w:r>
      <w:r>
        <w:t xml:space="preserve"> </w:t>
      </w:r>
      <w:r>
        <w:t xml:space="preserve">e sul piano</w:t>
      </w:r>
      <w:r>
        <w:t xml:space="preserve"> </w:t>
      </w:r>
      <w:r>
        <w:rPr>
          <w:bCs/>
          <w:b/>
        </w:rPr>
        <w:t xml:space="preserve">strategico</w:t>
      </w:r>
      <w:r>
        <w:t xml:space="preserve">, non come variazione dei</w:t>
      </w:r>
      <w:r>
        <w:t xml:space="preserve"> </w:t>
      </w:r>
      <w:r>
        <w:rPr>
          <w:iCs/>
          <w:i/>
        </w:rPr>
        <w:t xml:space="preserve">ratios</w:t>
      </w:r>
      <w:r>
        <w:t xml:space="preserve"> </w:t>
      </w:r>
      <w:r>
        <w:t xml:space="preserve">aziendali. I benefici annui derivano dalle capacità validate nei collaudi dell’OR 7: premium da personalizzazione e</w:t>
      </w:r>
      <w:r>
        <w:t xml:space="preserve"> </w:t>
      </w:r>
      <w:r>
        <w:rPr>
          <w:iCs/>
          <w:i/>
        </w:rPr>
        <w:t xml:space="preserve">smart materials</w:t>
      </w:r>
      <w:r>
        <w:t xml:space="preserve"> </w:t>
      </w:r>
      <w:r>
        <w:t xml:space="preserve">(RP 7.7, RP 7.9), ricavi ricorrenti da servizi (monitoraggio, sostenibilità certificata), minor costo della non-qualità (qualità predittiva DDQM, RP 7.5) ed efficienza operativa ed energetica (</w:t>
      </w:r>
      <w:r>
        <w:rPr>
          <w:iCs/>
          <w:i/>
        </w:rPr>
        <w:t xml:space="preserve">Intelligent Factory</w:t>
      </w:r>
      <w:r>
        <w:t xml:space="preserve">, RP 7.2–7.3).</w:t>
      </w:r>
    </w:p>
    <w:p>
      <w:pPr>
        <w:pStyle w:val="CaptionedFigure"/>
      </w:pPr>
      <w:r>
        <w:drawing>
          <wp:inline>
            <wp:extent cx="6832600" cy="2403930"/>
            <wp:effectExtent b="0" l="0" r="0" t="0"/>
            <wp:docPr descr="Figura 5 — Validazione economica dell’AI-BM (ROI, payback, ROA)." title="" id="48" name="Picture"/>
            <a:graphic>
              <a:graphicData uri="http://schemas.openxmlformats.org/drawingml/2006/picture">
                <pic:pic>
                  <pic:nvPicPr>
                    <pic:cNvPr descr="figures/fig_aibm5_finanz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2403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— Validazione economica dell’AI-BM (ROI, payback, ROA).</w:t>
      </w:r>
    </w:p>
    <w:p>
      <w:pPr>
        <w:pStyle w:val="BodyText"/>
      </w:pPr>
      <w:r>
        <w:rPr>
          <w:iCs/>
          <w:i/>
        </w:rPr>
        <w:t xml:space="preserve">Figura 5. Benefici netti annui, ROI/payback (livello di progetto) e ROA di gruppo di contesto con il contributo marginale dell’AI-BM (valori rappresentativi).</w:t>
      </w:r>
    </w:p>
    <w:p>
      <w:pPr>
        <w:pStyle w:val="BodyText"/>
      </w:pPr>
      <w:r>
        <w:rPr>
          <w:bCs/>
          <w:b/>
        </w:rPr>
        <w:t xml:space="preserve">Tabella 3 — Sintesi della validazione economica (valori rappresentativi, k€).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una tantum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lordo annuo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incrementali annui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netto annuo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annuo (progetto)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Payback (progetto)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~2,3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 di gruppo (contesto)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 marginale al 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+~0,14 pp</w:t>
            </w:r>
          </w:p>
        </w:tc>
      </w:tr>
    </w:tbl>
    <w:bookmarkEnd w:id="50"/>
    <w:bookmarkStart w:id="51" w:name="esito"/>
    <w:p>
      <w:pPr>
        <w:pStyle w:val="Heading2"/>
      </w:pPr>
      <w:r>
        <w:t xml:space="preserve">3.6 Esito</w:t>
      </w:r>
    </w:p>
    <w:p>
      <w:pPr>
        <w:pStyle w:val="FirstParagraph"/>
      </w:pPr>
      <w:r>
        <w:t xml:space="preserve">L’AI-BM risulta</w:t>
      </w:r>
      <w:r>
        <w:t xml:space="preserve"> </w:t>
      </w:r>
      <w:r>
        <w:rPr>
          <w:bCs/>
          <w:b/>
        </w:rPr>
        <w:t xml:space="preserve">validato su entrambi gli assi</w:t>
      </w:r>
      <w:r>
        <w:t xml:space="preserve">: successo competitivo (Business Model Canvas prodotto con 9/9 blocchi riconfigurati — baseline: BM tradizionale → obiettivo: AI-BM — profilo SWOT favorevole e transition model coerente) e redditualità a livello di progetto (ROI ~43%, payback ~2,3 anni), con un contributo marginale ma positivo ai</w:t>
      </w:r>
      <w:r>
        <w:t xml:space="preserve"> </w:t>
      </w:r>
      <w:r>
        <w:rPr>
          <w:iCs/>
          <w:i/>
        </w:rPr>
        <w:t xml:space="preserve">ratios</w:t>
      </w:r>
      <w:r>
        <w:t xml:space="preserve"> </w:t>
      </w:r>
      <w:r>
        <w:t xml:space="preserve">di gruppo.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discussione-e-conclusioni"/>
    <w:p>
      <w:pPr>
        <w:pStyle w:val="Heading1"/>
      </w:pPr>
      <w:r>
        <w:t xml:space="preserve">4. Discussione e conclusioni</w:t>
      </w:r>
    </w:p>
    <w:bookmarkStart w:id="53" w:name="discussione-critica"/>
    <w:p>
      <w:pPr>
        <w:pStyle w:val="Heading2"/>
      </w:pPr>
      <w:r>
        <w:t xml:space="preserve">4.1 Discussione critica</w:t>
      </w:r>
    </w:p>
    <w:p>
      <w:pPr>
        <w:pStyle w:val="FirstParagraph"/>
      </w:pPr>
      <w:r>
        <w:t xml:space="preserve">RP 7.10 dimostra che i risultati tecnici dell’OR 7 sono</w:t>
      </w:r>
      <w:r>
        <w:t xml:space="preserve"> </w:t>
      </w:r>
      <w:r>
        <w:rPr>
          <w:bCs/>
          <w:b/>
        </w:rPr>
        <w:t xml:space="preserve">traducibili in un modello di business</w:t>
      </w:r>
      <w:r>
        <w:t xml:space="preserve"> </w:t>
      </w:r>
      <w:r>
        <w:t xml:space="preserve">implementabile e misurabile. L’impianto integrato è essenziale: il solo Business Model Canvas fotograferebbe la configurazione senza spiegarne la dinamica, la sola analisi strategica non ancorerebbe il valore alle capacità realmente validate nei collaudi, e la sola analisi economica non coglierebbe il valore strategico della transizione. L’integrazione degli assi</w:t>
      </w:r>
      <w:r>
        <w:t xml:space="preserve"> </w:t>
      </w:r>
      <w:r>
        <w:rPr>
          <w:bCs/>
          <w:b/>
        </w:rPr>
        <w:t xml:space="preserve">strategico</w:t>
      </w:r>
      <w:r>
        <w:t xml:space="preserve"> </w:t>
      </w:r>
      <w:r>
        <w:t xml:space="preserve">(BMC, SWOT, transition model) ed</w:t>
      </w:r>
      <w:r>
        <w:t xml:space="preserve"> </w:t>
      </w:r>
      <w:r>
        <w:rPr>
          <w:bCs/>
          <w:b/>
        </w:rPr>
        <w:t xml:space="preserve">economico</w:t>
      </w:r>
      <w:r>
        <w:t xml:space="preserve"> </w:t>
      </w:r>
      <w:r>
        <w:t xml:space="preserve">(ROI/ROA) permette di validare l’AI-BM in modo completo. La lettura dell’AI-BM come caso di</w:t>
      </w:r>
      <w:r>
        <w:t xml:space="preserve"> </w:t>
      </w:r>
      <w:r>
        <w:rPr>
          <w:bCs/>
          <w:b/>
        </w:rPr>
        <w:t xml:space="preserve">embodied AI</w:t>
      </w:r>
      <w:r>
        <w:t xml:space="preserve"> </w:t>
      </w:r>
      <w:r>
        <w:t xml:space="preserve">(Bouncken &amp; Cesinger, 2026) coglie la specificità dell’industria ceramica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: l’intelligenza è incorporata negli impianti, nei sensori di linea e nell’involucro edilizio, e sposta il focus</w:t>
      </w:r>
      <w:r>
        <w:t xml:space="preserve"> </w:t>
      </w:r>
      <w:r>
        <w:rPr>
          <w:bCs/>
          <w:b/>
        </w:rPr>
        <w:t xml:space="preserve">dall’efficienza all’efficacia</w:t>
      </w:r>
      <w:r>
        <w:t xml:space="preserve">, dal prodotto al ciclo di vita, dalla vendita una tantum alla relazione ricorrente basata sulla fiducia.</w:t>
      </w:r>
    </w:p>
    <w:bookmarkEnd w:id="53"/>
    <w:bookmarkStart w:id="54" w:name="X4a558afea6c9bb5f5308c7d4bb42ee93283a2dc"/>
    <w:p>
      <w:pPr>
        <w:pStyle w:val="Heading2"/>
      </w:pPr>
      <w:r>
        <w:t xml:space="preserve">4.2 Interdipendenze con altri OR e chiusura dell’OR 7</w:t>
      </w:r>
    </w:p>
    <w:p>
      <w:pPr>
        <w:pStyle w:val="FirstParagraph"/>
      </w:pPr>
      <w:r>
        <w:t xml:space="preserve">RP 7.10 è il</w:t>
      </w:r>
      <w:r>
        <w:t xml:space="preserve"> </w:t>
      </w:r>
      <w:r>
        <w:rPr>
          <w:bCs/>
          <w:b/>
        </w:rPr>
        <w:t xml:space="preserve">punto di convergenza</w:t>
      </w:r>
      <w:r>
        <w:t xml:space="preserve"> </w:t>
      </w:r>
      <w:r>
        <w:t xml:space="preserve">dell’OR 7 e integra: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RP 7.1 / 7.2</w:t>
      </w:r>
      <w:r>
        <w:t xml:space="preserve"> </w:t>
      </w:r>
      <w:r>
        <w:t xml:space="preserve">— piattaforma E2C e</w:t>
      </w:r>
      <w:r>
        <w:t xml:space="preserve"> </w:t>
      </w:r>
      <w:r>
        <w:rPr>
          <w:iCs/>
          <w:i/>
        </w:rPr>
        <w:t xml:space="preserve">Intelligent Factory</w:t>
      </w:r>
      <w:r>
        <w:t xml:space="preserve">: canali e risorse dell’AI-BM;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RP 7.3 / 7.4</w:t>
      </w:r>
      <w:r>
        <w:t xml:space="preserve"> </w:t>
      </w:r>
      <w:r>
        <w:t xml:space="preserve">— assessment termodinamico e P-TSA: proposta di valore di sostenibilità certificata;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RP 7.5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Data-Driven Quality Management</w:t>
      </w:r>
      <w:r>
        <w:t xml:space="preserve">: qualità predittiva come attività e proposta di valore;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RP 7.7 / 7.9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data-driven design</w:t>
      </w:r>
      <w:r>
        <w:t xml:space="preserve"> </w:t>
      </w:r>
      <w:r>
        <w:t xml:space="preserve">e involucro sensorizzato: personalizzazione e segmenti guidati dai dati;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RP 7.8</w:t>
      </w:r>
      <w:r>
        <w:t xml:space="preserve"> </w:t>
      </w:r>
      <w:r>
        <w:t xml:space="preserve">— collaudo della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: relazioni continuative e doppio loop di apprendimento;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 6</w:t>
      </w:r>
      <w:r>
        <w:t xml:space="preserve"> </w:t>
      </w:r>
      <w:r>
        <w:t xml:space="preserve">— strumenti di footprint: informazione di sostenibilità che alimenta il valore.</w:t>
      </w:r>
    </w:p>
    <w:p>
      <w:pPr>
        <w:pStyle w:val="FirstParagraph"/>
      </w:pPr>
      <w:r>
        <w:t xml:space="preserve">Con RP 7.10 l’OR 7 è completo: le attività di collaudo (7.1–7.9) convergono nel</w:t>
      </w:r>
      <w:r>
        <w:t xml:space="preserve"> </w:t>
      </w:r>
      <w:r>
        <w:rPr>
          <w:bCs/>
          <w:b/>
        </w:rPr>
        <w:t xml:space="preserve">Documento finale di collaudo della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Intelligent Industry</w:t>
      </w:r>
      <w:r>
        <w:rPr>
          <w:bCs/>
          <w:b/>
        </w:rPr>
        <w:t xml:space="preserve"> </w:t>
      </w:r>
      <w:r>
        <w:rPr>
          <w:bCs/>
          <w:b/>
        </w:rPr>
        <w:t xml:space="preserve">(RF 7)</w:t>
      </w:r>
      <w:r>
        <w:t xml:space="preserve">, di cui questa relazione costituisce la sintesi strategica.</w:t>
      </w:r>
    </w:p>
    <w:bookmarkEnd w:id="54"/>
    <w:bookmarkStart w:id="55" w:name="X76edcf1af8cd26072153b698b980e8b0ef68e1a"/>
    <w:p>
      <w:pPr>
        <w:pStyle w:val="Heading2"/>
      </w:pPr>
      <w:r>
        <w:t xml:space="preserve">4.3 Implicazioni operative rispetto alle Finalità del progetto</w:t>
      </w:r>
    </w:p>
    <w:p>
      <w:pPr>
        <w:pStyle w:val="FirstParagraph"/>
      </w:pPr>
      <w:r>
        <w:t xml:space="preserve">L’AI-BM rende operativa la Finalità di START di</w:t>
      </w:r>
      <w:r>
        <w:t xml:space="preserve"> </w:t>
      </w:r>
      <w:r>
        <w:rPr>
          <w:bCs/>
          <w:b/>
        </w:rPr>
        <w:t xml:space="preserve">impiegare l’AI per creare e catturare valore</w:t>
      </w:r>
      <w:r>
        <w:t xml:space="preserve"> </w:t>
      </w:r>
      <w:r>
        <w:t xml:space="preserve">lungo l’intera organizzazione, dalla fabbrica all’applicazione costruttiva. L’analisi SWOT e il transition model forniscono alla Direzione gli elementi per l’adozione e per il dialogo con gli stakeholder, inclusi i requisiti di rendicontazione ESG e degli Accordi per l’Innovazione.</w:t>
      </w:r>
    </w:p>
    <w:bookmarkEnd w:id="55"/>
    <w:bookmarkStart w:id="56" w:name="limiti-e-sviluppi"/>
    <w:p>
      <w:pPr>
        <w:pStyle w:val="Heading2"/>
      </w:pPr>
      <w:r>
        <w:t xml:space="preserve">4.4 Limiti e sviluppi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Dati economici.</w:t>
      </w:r>
      <w:r>
        <w:t xml:space="preserve"> </w:t>
      </w:r>
      <w:r>
        <w:t xml:space="preserve">I valori di ROI/ROA sono rappresentativi e calibrati sull’ordine di grandezza dei bilanci di gruppo; verranno consolidati con la contabilità industriale e i consuntivi delle iniziative (in particolare i ricavi ricorrenti da servizi).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Competenze e consulenza.</w:t>
      </w:r>
      <w:r>
        <w:t xml:space="preserve"> </w:t>
      </w:r>
      <w:r>
        <w:t xml:space="preserve">L’esito dipende dall’apporto della consulenza specialistica di BM design (problema n. 10) e dall’acquisizione interna di competenze di data science.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Governo delle tensioni.</w:t>
      </w:r>
      <w:r>
        <w:t xml:space="preserve"> </w:t>
      </w:r>
      <w:r>
        <w:t xml:space="preserve">L’apertura dei dati d’uso, la scalabilità della piattaforma e l’affidabilità dell’automazione richiedono presidi espliciti (data governance, cybersecurity, contratti di ecosistema).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Estensione.</w:t>
      </w:r>
      <w:r>
        <w:t xml:space="preserve"> </w:t>
      </w:r>
      <w:r>
        <w:t xml:space="preserve">Il modello potrà incorporare indicatori ESG/LCA come termini espliciti della proposta di valore e replicarsi ad altri attori del distretto ceramico.</w:t>
      </w:r>
    </w:p>
    <w:bookmarkEnd w:id="56"/>
    <w:bookmarkStart w:id="57" w:name="conclusioni"/>
    <w:p>
      <w:pPr>
        <w:pStyle w:val="Heading2"/>
      </w:pPr>
      <w:r>
        <w:t xml:space="preserve">4.5 Conclusioni</w:t>
      </w:r>
    </w:p>
    <w:p>
      <w:pPr>
        <w:pStyle w:val="FirstParagraph"/>
      </w:pPr>
      <w:r>
        <w:t xml:space="preserve">L’attività OR 7.10 ha definito e proposto un</w:t>
      </w:r>
      <w:r>
        <w:t xml:space="preserve"> </w:t>
      </w:r>
      <w:r>
        <w:rPr>
          <w:bCs/>
          <w:b/>
        </w:rPr>
        <w:t xml:space="preserve">modello di business basato sull’Intelligenza Artificiale (AI-BM)</w:t>
      </w:r>
      <w:r>
        <w:t xml:space="preserve">, producendo il Business Model Canvas previsto (KPI: baseline Modello di Business tradizionale → obiettivo AI-BM, 9/9 blocchi riconfigurati) e dimostrando, con l’impianto integrato strategico-economico (catena dato → informazione → valore, SWOT, transition model, ROI/ROA), la validità dell’AI-BM in termini di successo competitivo e di redditualità a livello di progetto (ROI ~43%, payback ~2,3 anni; contributo marginale ma positivo al ROA di gruppo). Con questa relazione si</w:t>
      </w:r>
      <w:r>
        <w:t xml:space="preserve"> </w:t>
      </w:r>
      <w:r>
        <w:rPr>
          <w:bCs/>
          <w:b/>
        </w:rPr>
        <w:t xml:space="preserve">chiude l’OR 7</w:t>
      </w:r>
      <w:r>
        <w:t xml:space="preserve">: i collaudi tecnici della</w:t>
      </w:r>
      <w:r>
        <w:t xml:space="preserve"> </w:t>
      </w:r>
      <w:r>
        <w:rPr>
          <w:iCs/>
          <w:i/>
        </w:rPr>
        <w:t xml:space="preserve">Intelligent Industry</w:t>
      </w:r>
      <w:r>
        <w:t xml:space="preserve"> </w:t>
      </w:r>
      <w:r>
        <w:t xml:space="preserve">trovano compimento in un modello di business implementabile e replicabile, pronto a sostenere le decisioni di adozione e le successive fasi di lancio sul mercato dei prodotti ceramici.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ppendice-a-riproducibilità"/>
    <w:p>
      <w:pPr>
        <w:pStyle w:val="Heading1"/>
      </w:pPr>
      <w:r>
        <w:t xml:space="preserve">Appendice A — Riproducibilità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run_collaudo_aibm.py         </w:t>
      </w:r>
      <w:r>
        <w:rPr>
          <w:rStyle w:val="CommentTok"/>
        </w:rPr>
        <w:t xml:space="preserve"># BMC as-is/to-be, KPI, catena del valore, SWOT, transition, ROI/ROA + output/collaudo_aibm_*.csv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scripts/gen_figures_aibm.py  </w:t>
      </w:r>
      <w:r>
        <w:rPr>
          <w:rStyle w:val="CommentTok"/>
        </w:rPr>
        <w:t xml:space="preserve"># rigenera le figure della relazione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scripts/build_docx.py        </w:t>
      </w:r>
      <w:r>
        <w:rPr>
          <w:rStyle w:val="CommentTok"/>
        </w:rPr>
        <w:t xml:space="preserve"># genera il .docx finale con la formattazione del template ufficiale</w:t>
      </w:r>
    </w:p>
    <w:p>
      <w:pPr>
        <w:pStyle w:val="FirstParagraph"/>
      </w:pPr>
      <w:r>
        <w:t xml:space="preserve">Modello (BMC, catena del valore, SWOT, transition, ROI/ROA):</w:t>
      </w:r>
      <w:r>
        <w:t xml:space="preserve"> </w:t>
      </w:r>
      <w:r>
        <w:rPr>
          <w:rStyle w:val="VerbatimChar"/>
        </w:rPr>
        <w:t xml:space="preserve">src/aibm.py</w:t>
      </w:r>
      <w:r>
        <w:t xml:space="preserve">. Runner:</w:t>
      </w:r>
      <w:r>
        <w:t xml:space="preserve"> </w:t>
      </w:r>
      <w:r>
        <w:rPr>
          <w:rStyle w:val="VerbatimChar"/>
        </w:rPr>
        <w:t xml:space="preserve">run_collaudo_aibm.py</w:t>
      </w:r>
      <w:r>
        <w:t xml:space="preserve">. Figure:</w:t>
      </w:r>
      <w:r>
        <w:t xml:space="preserve"> </w:t>
      </w:r>
      <w:r>
        <w:rPr>
          <w:rStyle w:val="VerbatimChar"/>
        </w:rPr>
        <w:t xml:space="preserve">docs/figures/fig_aibm*.png</w:t>
      </w:r>
      <w:r>
        <w:t xml:space="preserve">. Documento finale:</w:t>
      </w:r>
      <w:r>
        <w:t xml:space="preserve"> </w:t>
      </w:r>
      <w:r>
        <w:rPr>
          <w:rStyle w:val="VerbatimChar"/>
        </w:rPr>
        <w:t xml:space="preserve">scripts/build_docx.py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RPX.Y Titolo_Relazione_Parziale_data.docx</w:t>
      </w:r>
      <w:r>
        <w:t xml:space="preserve"> </w:t>
      </w:r>
      <w:r>
        <w:t xml:space="preserve">come riferimento di formato).</w:t>
      </w:r>
    </w:p>
    <w:bookmarkEnd w:id="59"/>
    <w:bookmarkStart w:id="60" w:name="appendice-b-riferimenti"/>
    <w:p>
      <w:pPr>
        <w:pStyle w:val="Heading1"/>
      </w:pPr>
      <w:r>
        <w:t xml:space="preserve">Appendice B — Riferimenti</w:t>
      </w:r>
    </w:p>
    <w:p>
      <w:pPr>
        <w:pStyle w:val="FirstParagraph"/>
      </w:pPr>
      <w:r>
        <w:rPr>
          <w:bCs/>
          <w:b/>
        </w:rPr>
        <w:t xml:space="preserve">Documenti di progetto.</w:t>
      </w:r>
      <w:r>
        <w:t xml:space="preserve"> </w:t>
      </w:r>
      <w:r>
        <w:t xml:space="preserve">Piano di Sviluppo START (Allegato 4 integrato, attività 7.10); RP 7.1 (collaudo piattaforma E2C); RP 7.2 (performance testing Intelligent Factory); RP 7.3 (assessment termodinamico della fabbrica); RP 7.4 (Product Technological Sustainability Assessment); RP 7.5 (Data-Driven Quality Management); RP 7.6 (ingegnerizzazione Intelligent Factory); RP 7.7 (data-driven design delle collezioni); RP 7.8 (collaudo Intelligent Industry); RP 7.9 (test preindustriale); OR 6 (strumenti di footprint TFA+/EFA+/SFA+/EcoFA+/EEA+).</w:t>
      </w:r>
    </w:p>
    <w:p>
      <w:pPr>
        <w:pStyle w:val="BodyText"/>
      </w:pPr>
      <w:r>
        <w:rPr>
          <w:bCs/>
          <w:b/>
        </w:rPr>
        <w:t xml:space="preserve">Letteratura.</w:t>
      </w:r>
      <w:r>
        <w:t xml:space="preserve"> </w:t>
      </w:r>
      <w:r>
        <w:t xml:space="preserve">- Bouncken, R. B., &amp; Cesinger, B. (2026).</w:t>
      </w:r>
      <w:r>
        <w:t xml:space="preserve"> </w:t>
      </w:r>
      <w:r>
        <w:rPr>
          <w:iCs/>
          <w:i/>
        </w:rPr>
        <w:t xml:space="preserve">Embodied Artificial Intelligence (AI) business model dynamics: concept, framework, and the agriculture template.</w:t>
      </w:r>
      <w:r>
        <w:t xml:space="preserve"> </w:t>
      </w:r>
      <w:r>
        <w:t xml:space="preserve">Review of Managerial Science.</w:t>
      </w:r>
      <w:r>
        <w:t xml:space="preserve"> </w:t>
      </w:r>
      <w:r>
        <w:t xml:space="preserve">- Osterwalder, A., &amp; Pigneur, Y. (2010).</w:t>
      </w:r>
      <w:r>
        <w:t xml:space="preserve"> </w:t>
      </w:r>
      <w:r>
        <w:rPr>
          <w:iCs/>
          <w:i/>
        </w:rPr>
        <w:t xml:space="preserve">Business Model Generation.</w:t>
      </w:r>
      <w:r>
        <w:t xml:space="preserve"> </w:t>
      </w:r>
      <w:r>
        <w:t xml:space="preserve">John Wiley &amp; Sons.</w:t>
      </w:r>
      <w:r>
        <w:t xml:space="preserve"> </w:t>
      </w:r>
      <w:r>
        <w:t xml:space="preserve">- Teece, D. J. (2010).</w:t>
      </w:r>
      <w:r>
        <w:t xml:space="preserve"> </w:t>
      </w:r>
      <w:r>
        <w:rPr>
          <w:iCs/>
          <w:i/>
        </w:rPr>
        <w:t xml:space="preserve">Business Models, Business Strategy and Innovation.</w:t>
      </w:r>
      <w:r>
        <w:t xml:space="preserve"> </w:t>
      </w:r>
      <w:r>
        <w:t xml:space="preserve">Long Range Planning, 43(2–3), 172–194.</w:t>
      </w:r>
      <w:r>
        <w:t xml:space="preserve"> </w:t>
      </w:r>
      <w:r>
        <w:t xml:space="preserve">- Helms, M. M., &amp; Nixon, J. (2010).</w:t>
      </w:r>
      <w:r>
        <w:t xml:space="preserve"> </w:t>
      </w:r>
      <w:r>
        <w:rPr>
          <w:iCs/>
          <w:i/>
        </w:rPr>
        <w:t xml:space="preserve">Exploring SWOT analysis – where are we now?</w:t>
      </w:r>
      <w:r>
        <w:t xml:space="preserve"> </w:t>
      </w:r>
      <w:r>
        <w:t xml:space="preserve">Journal of Strategy and Management, 3(3), 215–251.</w:t>
      </w:r>
      <w:r>
        <w:t xml:space="preserve"> </w:t>
      </w:r>
      <w:r>
        <w:t xml:space="preserve">- Geissdoerfer, M., Vladimirova, D., &amp; Evans, S. (2018).</w:t>
      </w:r>
      <w:r>
        <w:t xml:space="preserve"> </w:t>
      </w:r>
      <w:r>
        <w:rPr>
          <w:iCs/>
          <w:i/>
        </w:rPr>
        <w:t xml:space="preserve">Sustainable business model innovation: A review.</w:t>
      </w:r>
      <w:r>
        <w:t xml:space="preserve"> </w:t>
      </w:r>
      <w:r>
        <w:t xml:space="preserve">Journal of Cleaner Production, 198, 401–416.</w:t>
      </w:r>
    </w:p>
    <w:bookmarkEnd w:id="60"/>
    <w:sectPr>
      <w:pgSz w:h="16838" w:w="11906"/>
      <w:pgMar w:bottom="1701" w:left="567" w:right="567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  <w:jc w:val="both"/>
    </w:pPr>
    <w:rPr>
      <w:rFonts w:ascii="Arial Narrow" w:cs="Arial Narrow" w:hAnsi="Arial Narrow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 Narrow" w:asciiTheme="majorHAnsi" w:cs="Arial Narrow" w:cstheme="majorBidi" w:eastAsiaTheme="majorEastAsia" w:hAnsi="Arial Narrow" w:hAnsiTheme="majorHAnsi"/>
      <w:b/>
      <w:bCs/>
      <w:color w:val="00000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00"/>
      <w:outlineLvl w:val="0"/>
    </w:pPr>
    <w:rPr>
      <w:rFonts w:ascii="Arial Narrow" w:asciiTheme="majorHAnsi" w:cs="Arial Narrow" w:cstheme="majorBidi" w:eastAsiaTheme="majorEastAsia" w:hAnsi="Arial Narrow" w:hAnsiTheme="majorHAnsi"/>
      <w:b/>
      <w:bCs/>
      <w:color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Arial Narrow" w:asciiTheme="majorHAnsi" w:cs="Arial Narrow" w:cstheme="majorBidi" w:eastAsiaTheme="majorEastAsia" w:hAnsi="Arial Narrow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 Narrow" w:asciiTheme="majorHAnsi" w:cs="Arial Narrow" w:cstheme="majorBidi" w:eastAsiaTheme="majorEastAsia" w:hAnsi="Arial Narrow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4" Type="http://schemas.openxmlformats.org/officeDocument/2006/relationships/image" Target="media/rId34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2026-08-07T15:09:16Z</dcterms:created>
  <dcterms:modified xsi:type="dcterms:W3CDTF">2026-08-07T15:09:16Z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