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B7110" w:rsidR="00A265D6" w:rsidP="00A265D6" w:rsidRDefault="00A265D6" w14:paraId="1C580B53" w14:textId="77777777">
      <w:pPr>
        <w:spacing w:line="360" w:lineRule="auto"/>
        <w:jc w:val="center"/>
        <w:rPr>
          <w:rFonts w:asciiTheme="minorHAnsi" w:hAnsiTheme="minorHAnsi"/>
          <w:b/>
          <w:caps/>
          <w:sz w:val="44"/>
        </w:rPr>
      </w:pPr>
    </w:p>
    <w:p w:rsidRPr="008B7110" w:rsidR="00A265D6" w:rsidP="00A265D6" w:rsidRDefault="00A265D6" w14:paraId="295B76C0" w14:textId="1018BFC7">
      <w:pPr>
        <w:spacing w:line="360" w:lineRule="auto"/>
        <w:jc w:val="center"/>
        <w:rPr>
          <w:rFonts w:asciiTheme="minorHAnsi" w:hAnsiTheme="minorHAnsi"/>
          <w:b/>
          <w:caps/>
          <w:sz w:val="44"/>
        </w:rPr>
      </w:pPr>
    </w:p>
    <w:p w:rsidRPr="008B7110" w:rsidR="003C64CC" w:rsidP="00A265D6" w:rsidRDefault="003C64CC" w14:paraId="2081E780" w14:textId="77777777">
      <w:pPr>
        <w:spacing w:line="360" w:lineRule="auto"/>
        <w:jc w:val="center"/>
        <w:rPr>
          <w:rFonts w:asciiTheme="minorHAnsi" w:hAnsiTheme="minorHAnsi"/>
          <w:b/>
          <w:caps/>
          <w:sz w:val="44"/>
        </w:rPr>
      </w:pPr>
    </w:p>
    <w:p w:rsidRPr="008B7110" w:rsidR="00A265D6" w:rsidP="00A265D6" w:rsidRDefault="00A265D6" w14:paraId="2DA1F45C" w14:textId="77777777">
      <w:pPr>
        <w:spacing w:line="360" w:lineRule="auto"/>
        <w:jc w:val="center"/>
        <w:rPr>
          <w:rFonts w:asciiTheme="minorHAnsi" w:hAnsiTheme="minorHAnsi"/>
          <w:b/>
          <w:caps/>
          <w:sz w:val="44"/>
        </w:rPr>
      </w:pPr>
    </w:p>
    <w:p w:rsidRPr="008B7110" w:rsidR="003C64CC" w:rsidP="00A265D6" w:rsidRDefault="003C64CC" w14:paraId="30067E77" w14:textId="77777777">
      <w:pPr>
        <w:spacing w:line="360" w:lineRule="auto"/>
        <w:jc w:val="center"/>
        <w:rPr>
          <w:rFonts w:asciiTheme="minorHAnsi" w:hAnsiTheme="minorHAnsi"/>
          <w:b/>
          <w:caps/>
          <w:sz w:val="44"/>
        </w:rPr>
      </w:pPr>
    </w:p>
    <w:p w:rsidRPr="00F560E0" w:rsidR="00A265D6" w:rsidP="23A1DAF1" w:rsidRDefault="006C6D64" w14:paraId="7E02FF58" w14:textId="0CEBC6ED">
      <w:pPr>
        <w:spacing w:line="360" w:lineRule="auto"/>
        <w:jc w:val="center"/>
        <w:rPr>
          <w:rFonts w:asciiTheme="minorHAnsi" w:hAnsiTheme="minorHAnsi"/>
          <w:b/>
          <w:bCs/>
          <w:caps/>
          <w:color w:val="024C41"/>
          <w:sz w:val="72"/>
          <w:szCs w:val="56"/>
        </w:rPr>
      </w:pPr>
      <w:r>
        <w:rPr>
          <w:rFonts w:asciiTheme="minorHAnsi" w:hAnsiTheme="minorHAnsi"/>
          <w:b/>
          <w:bCs/>
          <w:caps/>
          <w:color w:val="024C41"/>
          <w:sz w:val="72"/>
          <w:szCs w:val="56"/>
        </w:rPr>
        <w:t>Report tecnico di adeguamento impianti</w:t>
      </w:r>
    </w:p>
    <w:p w:rsidRPr="00F560E0" w:rsidR="23A1DAF1" w:rsidP="23A1DAF1" w:rsidRDefault="00002427" w14:paraId="67411CDB" w14:textId="40AB4836">
      <w:pPr>
        <w:jc w:val="center"/>
        <w:rPr>
          <w:rFonts w:ascii="Calibri" w:hAnsi="Calibri" w:eastAsia="Calibri" w:cs="Calibri"/>
          <w:b/>
          <w:color w:val="00A98E"/>
          <w:sz w:val="40"/>
          <w:szCs w:val="40"/>
        </w:rPr>
      </w:pPr>
      <w:r>
        <w:rPr>
          <w:rFonts w:ascii="Calibri" w:hAnsi="Calibri" w:eastAsia="Calibri" w:cs="Calibri"/>
          <w:b/>
          <w:color w:val="00A98E"/>
          <w:sz w:val="40"/>
          <w:szCs w:val="40"/>
        </w:rPr>
        <w:t xml:space="preserve">Relazione Parziale N°: RP 7.6</w:t>
      </w:r>
    </w:p>
    <w:p w:rsidRPr="00F560E0" w:rsidR="23A1DAF1" w:rsidP="23A1DAF1" w:rsidRDefault="006C6D64" w14:paraId="09952A4B" w14:textId="3812BA94">
      <w:pPr>
        <w:jc w:val="center"/>
        <w:rPr>
          <w:rFonts w:ascii="Calibri" w:hAnsi="Calibri" w:eastAsia="Calibri" w:cs="Calibri"/>
          <w:b/>
          <w:color w:val="00A98E"/>
          <w:sz w:val="40"/>
          <w:szCs w:val="40"/>
        </w:rPr>
      </w:pPr>
      <w:r>
        <w:rPr>
          <w:rFonts w:ascii="Calibri" w:hAnsi="Calibri" w:eastAsia="Calibri" w:cs="Calibri"/>
          <w:b/>
          <w:color w:val="00A98E"/>
          <w:sz w:val="40"/>
          <w:szCs w:val="40"/>
        </w:rPr>
        <w:t>Versione del Documento: RV.1</w:t>
      </w:r>
    </w:p>
    <w:p w:rsidRPr="00F560E0" w:rsidR="23A1DAF1" w:rsidP="23A1DAF1" w:rsidRDefault="006C6D64" w14:paraId="0435DB43" w14:textId="24829324">
      <w:pPr>
        <w:jc w:val="center"/>
        <w:rPr>
          <w:rFonts w:ascii="Calibri" w:hAnsi="Calibri" w:eastAsia="Calibri" w:cs="Calibri"/>
          <w:b/>
          <w:color w:val="00A98E"/>
          <w:sz w:val="40"/>
          <w:szCs w:val="40"/>
        </w:rPr>
      </w:pPr>
      <w:r>
        <w:rPr>
          <w:rFonts w:ascii="Calibri" w:hAnsi="Calibri" w:eastAsia="Calibri" w:cs="Calibri"/>
          <w:b/>
          <w:color w:val="00A98E"/>
          <w:sz w:val="40"/>
          <w:szCs w:val="40"/>
        </w:rPr>
        <w:t xml:space="preserve">Data di Revisione del Documento: 31.10.26</w:t>
      </w:r>
    </w:p>
    <w:p w:rsidRPr="00F560E0" w:rsidR="23A1DAF1" w:rsidP="23A1DAF1" w:rsidRDefault="006C6D64" w14:paraId="603630B3" w14:textId="17A94853">
      <w:pPr>
        <w:spacing w:line="360" w:lineRule="auto"/>
        <w:jc w:val="center"/>
        <w:rPr>
          <w:rFonts w:ascii="Calibri" w:hAnsi="Calibri" w:eastAsia="Calibri" w:cs="Calibri"/>
          <w:b/>
          <w:color w:val="00A98E"/>
          <w:sz w:val="44"/>
          <w:szCs w:val="44"/>
        </w:rPr>
      </w:pPr>
      <w:r>
        <w:rPr>
          <w:rFonts w:ascii="Calibri" w:hAnsi="Calibri" w:eastAsia="Calibri" w:cs="Calibri"/>
          <w:b/>
          <w:color w:val="00A98E"/>
          <w:sz w:val="40"/>
          <w:szCs w:val="40"/>
        </w:rPr>
        <w:t xml:space="preserve">Responsabilità: Gresmalt - Capofila</w:t>
      </w:r>
    </w:p>
    <w:p w:rsidRPr="008B7110" w:rsidR="00562094" w:rsidP="003C64CC" w:rsidRDefault="00562094" w14:paraId="003B6F2C" w14:textId="2971AB67">
      <w:pPr>
        <w:spacing w:line="360" w:lineRule="auto"/>
        <w:jc w:val="center"/>
        <w:rPr>
          <w:rFonts w:asciiTheme="minorHAnsi" w:hAnsiTheme="minorHAnsi"/>
          <w:sz w:val="44"/>
        </w:rPr>
      </w:pPr>
    </w:p>
    <w:p w:rsidRPr="008B7110" w:rsidR="005020E1" w:rsidP="003C64CC" w:rsidRDefault="005020E1" w14:paraId="08C95DEC" w14:textId="3024CF7F">
      <w:pPr>
        <w:spacing w:line="360" w:lineRule="auto"/>
        <w:jc w:val="center"/>
        <w:rPr>
          <w:rFonts w:asciiTheme="minorHAnsi" w:hAnsiTheme="minorHAnsi"/>
          <w:sz w:val="44"/>
        </w:rPr>
      </w:pPr>
    </w:p>
    <w:p w:rsidRPr="008B7110" w:rsidR="005020E1" w:rsidP="003C64CC" w:rsidRDefault="005020E1" w14:paraId="0F390DC9" w14:textId="4144E5CE">
      <w:pPr>
        <w:spacing w:line="360" w:lineRule="auto"/>
        <w:jc w:val="center"/>
        <w:rPr>
          <w:rFonts w:asciiTheme="minorHAnsi" w:hAnsiTheme="minorHAnsi"/>
          <w:sz w:val="44"/>
        </w:rPr>
      </w:pPr>
    </w:p>
    <w:p w:rsidRPr="008B7110" w:rsidR="001554A8" w:rsidP="003C64CC" w:rsidRDefault="001554A8" w14:paraId="0B30E4E2" w14:textId="77777777">
      <w:pPr>
        <w:spacing w:line="360" w:lineRule="auto"/>
        <w:jc w:val="center"/>
        <w:rPr>
          <w:rFonts w:asciiTheme="minorHAnsi" w:hAnsiTheme="minorHAnsi"/>
          <w:sz w:val="44"/>
        </w:rPr>
      </w:pPr>
    </w:p>
    <w:p w:rsidRPr="008B7110" w:rsidR="001554A8" w:rsidP="23A1DAF1" w:rsidRDefault="001554A8" w14:paraId="4D4FE911" w14:textId="77777777">
      <w:pPr>
        <w:spacing w:line="360" w:lineRule="auto"/>
        <w:jc w:val="both"/>
        <w:rPr>
          <w:rFonts w:asciiTheme="minorHAnsi" w:hAnsiTheme="minorHAnsi"/>
          <w:b/>
          <w:bCs/>
          <w:color w:val="2F5496" w:themeColor="accent1" w:themeShade="BF"/>
          <w:sz w:val="36"/>
          <w:szCs w:val="36"/>
        </w:rPr>
      </w:pPr>
    </w:p>
    <w:p>
      <w:pPr>
        <w:keepNext/>
        <w:spacing w:before="240" w:after="120" w:line="360" w:lineRule="auto"/>
        <w:jc w:val="left"/>
      </w:pPr>
      <w:r>
        <w:rPr>
          <w:rFonts w:asciiTheme="minorHAnsi" w:hAnsiTheme="minorHAnsi"/>
          <w:b/>
          <w:bCs/>
          <w:color w:val="024C41"/>
          <w:sz w:val="36"/>
          <w:szCs w:val="36"/>
        </w:rPr>
        <w:t xml:space="preserve">1.INTRODUZIONE</w:t>
      </w:r>
    </w:p>
    <w:p>
      <w:pPr>
        <w:spacing w:before="0" w:after="120" w:line="360" w:lineRule="auto"/>
        <w:ind w:firstLine="284"/>
        <w:jc w:val="both"/>
      </w:pPr>
      <w:r>
        <w:rPr>
          <w:rFonts w:asciiTheme="minorHAnsi" w:hAnsiTheme="minorHAnsi"/>
          <w:sz w:val="22"/>
          <w:szCs w:val="22"/>
        </w:rPr>
        <w:t xml:space="preserve">La transizione dalla Smart Factory, fondata sulle tecnologie abilitanti dell’Industria 4.0, alla Intelligent Factory, nella quale la digitalizzazione dei processi si integra con gli algoritmi di intelligenza artificiale, non si esaurisce nella progettazione di architetture informative: essa richiede che gli impianti fisici siano messi nelle condizioni di generare, trasmettere e utilizzare dati affidabili lungo l’intero flusso produttivo</w:t>
      </w:r>
      <w:r>
        <w:rPr>
          <w:rFonts w:asciiTheme="minorHAnsi" w:hAnsiTheme="minorHAnsi"/>
          <w:sz w:val="22"/>
          <w:szCs w:val="22"/>
          <w:vertAlign w:val="superscript"/>
        </w:rPr>
        <w:footnoteReference w:id="2"/>
      </w:r>
      <w:r>
        <w:rPr>
          <w:rFonts w:asciiTheme="minorHAnsi" w:hAnsiTheme="minorHAnsi"/>
          <w:sz w:val="22"/>
          <w:szCs w:val="22"/>
        </w:rPr>
        <w:t xml:space="preserve">. Se infatti la progettazione e l’implementazione della Smart Factory possono oggi considerarsi arte nota, l’ingegnerizzazione di una fabbrica intelligente impone di collegare in modo coerente macchine, sensori, sistemi di controllo e piattaforme di analisi, così che le tecnologie dell’Industria 4.0 operino come un sistema unitario e non come una somma di soluzioni puntuali</w:t>
      </w:r>
      <w:r>
        <w:rPr>
          <w:rFonts w:asciiTheme="minorHAnsi" w:hAnsiTheme="minorHAnsi"/>
          <w:sz w:val="22"/>
          <w:szCs w:val="22"/>
          <w:vertAlign w:val="superscript"/>
        </w:rPr>
        <w:footnoteReference w:id="3"/>
      </w:r>
      <w:r>
        <w:rPr>
          <w:rFonts w:asciiTheme="minorHAnsi" w:hAnsiTheme="minorHAnsi"/>
          <w:sz w:val="22"/>
          <w:szCs w:val="22"/>
        </w:rPr>
        <w:t xml:space="preserve">.</w:t>
      </w:r>
    </w:p>
    <w:p>
      <w:pPr>
        <w:spacing w:before="0" w:after="120" w:line="360" w:lineRule="auto"/>
        <w:ind w:firstLine="284"/>
        <w:jc w:val="both"/>
      </w:pPr>
      <w:r>
        <w:rPr>
          <w:rFonts w:asciiTheme="minorHAnsi" w:hAnsiTheme="minorHAnsi"/>
          <w:sz w:val="22"/>
          <w:szCs w:val="22"/>
        </w:rPr>
        <w:t xml:space="preserve">Nel progetto START questo percorso è stato articolato in fasi successive. Nell’OR 6.7 è stato definito il Modello di implementazione della Intelligent Factory, fondato su una unità make-to-stock (M-2-S) dedicata alla produzione dell’impasto atomizzato e su unità make-to-order (M-2-O) per la fabbricazione delle piastrelle, integrate tramite l’architettura Edge-to-Cloud (E2C) con i sistemi MES, ERP e BI. La piattaforma E2C è stata collaudata in versione beta dagli utenti finali nell’OR 7.1, mentre nell’OR 7.2 il modello è stato sottoposto a performance testing in ambiente Digital (Grey) Shadow, che ne ha certificato la prontezza al rollout. Restava da compiere il passaggio dall’ambiente digitale all’ambiente fisico: adeguare le linee produttive esistenti alle nuove esigenze operative individuate con la mappatura dei flussi dell’OR 5.1, così da trasformare il modello in una configurazione impiantistica reale.</w:t>
      </w:r>
    </w:p>
    <w:p>
      <w:pPr>
        <w:spacing w:before="0" w:after="120" w:line="360" w:lineRule="auto"/>
        <w:ind w:firstLine="284"/>
        <w:jc w:val="both"/>
      </w:pPr>
      <w:r>
        <w:rPr>
          <w:rFonts w:asciiTheme="minorHAnsi" w:hAnsiTheme="minorHAnsi"/>
          <w:sz w:val="22"/>
          <w:szCs w:val="22"/>
        </w:rPr>
        <w:t xml:space="preserve">Questo è l’oggetto del Task OR 7.6 “Ingegnerizzazione della Intelligent Factory”, che il Piano di Sviluppo descrive come il nuovo attrezzaggio e/o l’aggiornamento delle linee produttive esistenti nei reparti di (1) pressatura ed essiccazione, (2) smaltatura e decorazione, (3) cottura e stoccaggio, (4) rifinitura, scelta e imballaggio e (5) logistica outbound, con una previsione di spesa per attrezzature e strumentazioni (OR 6-7) pari a 3.950.000 €. La baseline dell’attività è rappresentata dalla Smart Factory esistente, con un livello di avanzamento dei lavori di adeguamento pari allo 0,0 %; l’obiettivo è un livello di avanzamento compreso tra il 90 % e il 100 % per ciascuna delle quattro unità di monitoraggio previste (“Stabilimento n°1÷4”).</w:t>
      </w:r>
    </w:p>
    <w:p>
      <w:pPr>
        <w:spacing w:before="0" w:after="120" w:line="360" w:lineRule="auto"/>
        <w:ind w:firstLine="284"/>
        <w:jc w:val="both"/>
      </w:pPr>
      <w:r>
        <w:rPr>
          <w:rFonts w:asciiTheme="minorHAnsi" w:hAnsiTheme="minorHAnsi"/>
          <w:sz w:val="22"/>
          <w:szCs w:val="22"/>
        </w:rPr>
        <w:t xml:space="preserve">Rispetto all’impostazione del Piano di Sviluppo, il perimetro operativo dell’attività è stato rimodulato nel corso del progetto. Lo stabilimento D020 di Viano ha infatti cessato le attività per riconversione e gli investimenti di adeguamento sono stati concentrati sullo stabilimento D060 di Scandiano, sito a configurazione ibrida M-2-S/M-2-O che ospita il reparto di preparazione dell’impasto atomizzato e che rappresenta, di conseguenza, il nucleo produttivo naturale della Intelligent Factory delineata nell’OR 6.7. Al perimetro concorrono, per interventi specifici di logistica e di infrastruttura digitale, l’hub logistico D015 di Fiorano e l’headquarter D010 di Sassuolo.</w:t>
      </w:r>
    </w:p>
    <w:p>
      <w:pPr>
        <w:spacing w:before="0" w:after="120" w:line="360" w:lineRule="auto"/>
        <w:ind w:firstLine="284"/>
        <w:jc w:val="both"/>
      </w:pPr>
      <w:r>
        <w:rPr>
          <w:rFonts w:asciiTheme="minorHAnsi" w:hAnsiTheme="minorHAnsi"/>
          <w:sz w:val="22"/>
          <w:szCs w:val="22"/>
        </w:rPr>
        <w:t xml:space="preserve">Scopo del presente report è documentare gli interventi di adeguamento impiantistico realizzati, ricondurli alle unità funzionali del modello di Intelligent Factory, quantificare il livello di avanzamento dei lavori rispetto al KPI previsto e analizzare gli scostamenti rispetto alla pianificazione iniziale, evidenziando il contributo dell’attività al Risultato Finale RF7 “Documento finale di collaudo della Intelligent Industry”.</w:t>
      </w:r>
    </w:p>
    <w:p>
      <w:pPr>
        <w:keepNext/>
        <w:spacing w:before="240" w:after="120" w:line="360" w:lineRule="auto"/>
        <w:jc w:val="left"/>
      </w:pPr>
      <w:r>
        <w:rPr>
          <w:rFonts w:asciiTheme="minorHAnsi" w:hAnsiTheme="minorHAnsi"/>
          <w:b/>
          <w:bCs/>
          <w:color w:val="024C41"/>
          <w:sz w:val="36"/>
          <w:szCs w:val="36"/>
        </w:rPr>
        <w:t xml:space="preserve">2. METODOLOGIA</w:t>
      </w:r>
    </w:p>
    <w:p>
      <w:pPr>
        <w:spacing w:before="0" w:after="120" w:line="360" w:lineRule="auto"/>
        <w:ind w:firstLine="284"/>
        <w:jc w:val="both"/>
      </w:pPr>
      <w:r>
        <w:rPr>
          <w:rFonts w:asciiTheme="minorHAnsi" w:hAnsiTheme="minorHAnsi"/>
          <w:sz w:val="22"/>
          <w:szCs w:val="22"/>
        </w:rPr>
        <w:t xml:space="preserve">L’OR 7 prevede che la validazione in contesto operativo si basi sulla trade-off analysis, per il confronto tra alternative progettuali, e sulla compliance analysis, per la verifica delle performance rispetto agli standard previsti. Coerentemente, la metodologia adottata per l’OR 7.6 si è articolata in quattro passaggi: (i) ridefinizione delle unità di monitoraggio in funzione del perimetro rimodulato; (ii) costruzione della base dati degli interventi a partire dal registro degli investimenti di progetto; (iii) definizione e calcolo del KPI di avanzamento; (iv) analisi degli scostamenti tra investimento pianificato e realizzato.</w:t>
      </w:r>
    </w:p>
    <w:p>
      <w:pPr>
        <w:keepNext/>
        <w:spacing w:before="200" w:after="80" w:line="360" w:lineRule="auto"/>
        <w:jc w:val="left"/>
      </w:pPr>
      <w:r>
        <w:rPr>
          <w:rFonts w:asciiTheme="minorHAnsi" w:hAnsiTheme="minorHAnsi"/>
          <w:b/>
          <w:bCs/>
          <w:color w:val="024C41"/>
          <w:sz w:val="26"/>
          <w:szCs w:val="26"/>
        </w:rPr>
        <w:t xml:space="preserve">2.1 Unità funzionali di monitoraggio</w:t>
      </w:r>
    </w:p>
    <w:p>
      <w:pPr>
        <w:spacing w:before="0" w:after="120" w:line="360" w:lineRule="auto"/>
        <w:ind w:firstLine="284"/>
        <w:jc w:val="both"/>
      </w:pPr>
      <w:r>
        <w:rPr>
          <w:rFonts w:asciiTheme="minorHAnsi" w:hAnsiTheme="minorHAnsi"/>
          <w:sz w:val="22"/>
          <w:szCs w:val="22"/>
        </w:rPr>
        <w:t xml:space="preserve">Il Piano di Sviluppo associa il KPI “Livello di avanzamento lavori” a quattro stabilimenti. Con la concentrazione degli interventi sul sito D060, una misurazione per stabilimento avrebbe perso significato; si è quindi scelto di mantenere la struttura a quattro unità di monitoraggio, declinandole come unità funzionali (UF) del sito D060 coerenti con il Modello di implementazione dell’OR 6.7. Ogni UF aggrega i reparti del Piano che condividono la stessa funzione nel flusso M-2-S/M-2-O, come riportato in Tabella 1. Gli interventi sull’infrastruttura digitale (voci Hardware e Software) sono trasversali a tutte le UF e vengono rendicontati separatamente, senza concorrere al calcolo del KPI.</w:t>
      </w:r>
    </w:p>
    <w:p>
      <w:pPr>
        <w:keepNext/>
        <w:spacing w:before="120" w:after="60"/>
        <w:jc w:val="center"/>
      </w:pPr>
      <w:r>
        <w:rPr>
          <w:rFonts w:asciiTheme="minorHAnsi" w:hAnsiTheme="minorHAnsi"/>
          <w:i/>
          <w:iCs/>
          <w:sz w:val="18"/>
          <w:szCs w:val="18"/>
        </w:rPr>
        <w:t xml:space="preserve">Tabella 1: Corrispondenza tra unità di monitoraggio del Piano di Sviluppo, unità funzionali del sito D060 e voci di budget.</w:t>
      </w:r>
    </w:p>
    <w:tbl>
      <w:tblPr>
        <w:tblStyle w:val="Grigliatabella"/>
        <w:tblW w:w="10700" w:type="dxa"/>
        <w:jc w:val="center"/>
        <w:tblBorders>
          <w:top w:val="single" w:sz="4" w:space="0" w:color="9A9890"/>
          <w:left w:val="nil"/>
          <w:bottom w:val="single" w:sz="4" w:space="0" w:color="9A9890"/>
          <w:right w:val="nil"/>
          <w:insideH w:val="single" w:sz="4" w:space="0" w:color="D9D8D2"/>
          <w:insideV w:val="nil"/>
        </w:tblBorders>
        <w:tblLayout w:type="fixed"/>
        <w:tblCellMar>
          <w:left w:w="80" w:type="dxa"/>
          <w:right w:w="80" w:type="dxa"/>
        </w:tblCellMar>
        <w:tblLook w:val="04A0" w:firstRow="1" w:lastRow="0" w:firstColumn="1" w:lastColumn="0" w:noHBand="0" w:noVBand="1"/>
      </w:tblPr>
      <w:tblGrid>
        <w:gridCol w:w="1500"/>
        <w:gridCol w:w="2500"/>
        <w:gridCol w:w="3300"/>
        <w:gridCol w:w="3400"/>
      </w:tblGrid>
      <w:tr>
        <w:trPr>
          <w:tblHeader/>
          <w:cantSplit/>
        </w:trPr>
        <w:tc>
          <w:tcPr>
            <w:tcW w:w="1500" w:type="dxa"/>
            <w:shd w:val="clear" w:color="auto" w:fill="024C41"/>
            <w:vAlign w:val="center"/>
          </w:tcPr>
          <w:p>
            <w:pPr>
              <w:keepNext/>
              <w:spacing w:before="30" w:after="30"/>
              <w:jc w:val="center"/>
            </w:pPr>
            <w:r>
              <w:rPr>
                <w:rFonts w:asciiTheme="minorHAnsi" w:hAnsiTheme="minorHAnsi"/>
                <w:b/>
                <w:bCs/>
                <w:color w:val="FFFFFF"/>
                <w:sz w:val="17"/>
                <w:szCs w:val="17"/>
              </w:rPr>
              <w:t xml:space="preserve">KPI Piano</w:t>
            </w:r>
          </w:p>
        </w:tc>
        <w:tc>
          <w:tcPr>
            <w:tcW w:w="2500" w:type="dxa"/>
            <w:shd w:val="clear" w:color="auto" w:fill="024C41"/>
            <w:vAlign w:val="center"/>
          </w:tcPr>
          <w:p>
            <w:pPr>
              <w:keepNext/>
              <w:spacing w:before="30" w:after="30"/>
              <w:jc w:val="center"/>
            </w:pPr>
            <w:r>
              <w:rPr>
                <w:rFonts w:asciiTheme="minorHAnsi" w:hAnsiTheme="minorHAnsi"/>
                <w:b/>
                <w:bCs/>
                <w:color w:val="FFFFFF"/>
                <w:sz w:val="17"/>
                <w:szCs w:val="17"/>
              </w:rPr>
              <w:t xml:space="preserve">Unità funzionale (UF)</w:t>
            </w:r>
          </w:p>
        </w:tc>
        <w:tc>
          <w:tcPr>
            <w:tcW w:w="3300" w:type="dxa"/>
            <w:shd w:val="clear" w:color="auto" w:fill="024C41"/>
            <w:vAlign w:val="center"/>
          </w:tcPr>
          <w:p>
            <w:pPr>
              <w:keepNext/>
              <w:spacing w:before="30" w:after="30"/>
              <w:jc w:val="center"/>
            </w:pPr>
            <w:r>
              <w:rPr>
                <w:rFonts w:asciiTheme="minorHAnsi" w:hAnsiTheme="minorHAnsi"/>
                <w:b/>
                <w:bCs/>
                <w:color w:val="FFFFFF"/>
                <w:sz w:val="17"/>
                <w:szCs w:val="17"/>
              </w:rPr>
              <w:t xml:space="preserve">Reparti / voci di budget</w:t>
            </w:r>
          </w:p>
        </w:tc>
        <w:tc>
          <w:tcPr>
            <w:tcW w:w="3400" w:type="dxa"/>
            <w:shd w:val="clear" w:color="auto" w:fill="024C41"/>
            <w:vAlign w:val="center"/>
          </w:tcPr>
          <w:p>
            <w:pPr>
              <w:keepNext/>
              <w:spacing w:before="30" w:after="30"/>
              <w:jc w:val="center"/>
            </w:pPr>
            <w:r>
              <w:rPr>
                <w:rFonts w:asciiTheme="minorHAnsi" w:hAnsiTheme="minorHAnsi"/>
                <w:b/>
                <w:bCs/>
                <w:color w:val="FFFFFF"/>
                <w:sz w:val="17"/>
                <w:szCs w:val="17"/>
              </w:rPr>
              <w:t xml:space="preserve">Ruolo nel modello OR 6.7</w:t>
            </w:r>
          </w:p>
        </w:tc>
      </w:tr>
      <w:tr>
        <w:trPr>
          <w:cantSplit/>
        </w:trPr>
        <w:tc>
          <w:tcPr>
            <w:tcW w:w="1500" w:type="dxa"/>
            <w:vAlign w:val="center"/>
          </w:tcPr>
          <w:p>
            <w:pPr>
              <w:keepNext/>
              <w:spacing w:before="30" w:after="30"/>
              <w:jc w:val="left"/>
            </w:pPr>
            <w:r>
              <w:rPr>
                <w:rFonts w:asciiTheme="minorHAnsi" w:hAnsiTheme="minorHAnsi"/>
                <w:sz w:val="17"/>
                <w:szCs w:val="17"/>
              </w:rPr>
              <w:t xml:space="preserve">Stabilimento n°1</w:t>
            </w:r>
          </w:p>
        </w:tc>
        <w:tc>
          <w:tcPr>
            <w:tcW w:w="2500" w:type="dxa"/>
            <w:vAlign w:val="center"/>
          </w:tcPr>
          <w:p>
            <w:pPr>
              <w:keepNext/>
              <w:spacing w:before="30" w:after="30"/>
              <w:jc w:val="left"/>
            </w:pPr>
            <w:r>
              <w:rPr>
                <w:rFonts w:asciiTheme="minorHAnsi" w:hAnsiTheme="minorHAnsi"/>
                <w:sz w:val="17"/>
                <w:szCs w:val="17"/>
              </w:rPr>
              <w:t xml:space="preserve">UF1 Preparazione impasto</w:t>
            </w:r>
          </w:p>
        </w:tc>
        <w:tc>
          <w:tcPr>
            <w:tcW w:w="3300" w:type="dxa"/>
            <w:vAlign w:val="center"/>
          </w:tcPr>
          <w:p>
            <w:pPr>
              <w:keepNext/>
              <w:spacing w:before="30" w:after="30"/>
              <w:jc w:val="left"/>
            </w:pPr>
            <w:r>
              <w:rPr>
                <w:rFonts w:asciiTheme="minorHAnsi" w:hAnsiTheme="minorHAnsi"/>
                <w:sz w:val="17"/>
                <w:szCs w:val="17"/>
              </w:rPr>
              <w:t xml:space="preserve">Adeguamento impianto di preparazione impasto</w:t>
            </w:r>
          </w:p>
        </w:tc>
        <w:tc>
          <w:tcPr>
            <w:tcW w:w="3400" w:type="dxa"/>
            <w:vAlign w:val="center"/>
          </w:tcPr>
          <w:p>
            <w:pPr>
              <w:keepNext/>
              <w:spacing w:before="30" w:after="30"/>
              <w:jc w:val="left"/>
            </w:pPr>
            <w:r>
              <w:rPr>
                <w:rFonts w:asciiTheme="minorHAnsi" w:hAnsiTheme="minorHAnsi"/>
                <w:sz w:val="17"/>
                <w:szCs w:val="17"/>
              </w:rPr>
              <w:t xml:space="preserve">Unità M-2-S: impasto atomizzato per tutte le unità</w:t>
            </w:r>
          </w:p>
        </w:tc>
      </w:tr>
      <w:tr>
        <w:trPr>
          <w:cantSplit/>
        </w:trPr>
        <w:tc>
          <w:tcPr>
            <w:tcW w:w="1500" w:type="dxa"/>
            <w:vAlign w:val="center"/>
          </w:tcPr>
          <w:p>
            <w:pPr>
              <w:keepNext/>
              <w:spacing w:before="30" w:after="30"/>
              <w:jc w:val="left"/>
            </w:pPr>
            <w:r>
              <w:rPr>
                <w:rFonts w:asciiTheme="minorHAnsi" w:hAnsiTheme="minorHAnsi"/>
                <w:sz w:val="17"/>
                <w:szCs w:val="17"/>
              </w:rPr>
              <w:t xml:space="preserve">Stabilimento n°2</w:t>
            </w:r>
          </w:p>
        </w:tc>
        <w:tc>
          <w:tcPr>
            <w:tcW w:w="2500" w:type="dxa"/>
            <w:vAlign w:val="center"/>
          </w:tcPr>
          <w:p>
            <w:pPr>
              <w:keepNext/>
              <w:spacing w:before="30" w:after="30"/>
              <w:jc w:val="left"/>
            </w:pPr>
            <w:r>
              <w:rPr>
                <w:rFonts w:asciiTheme="minorHAnsi" w:hAnsiTheme="minorHAnsi"/>
                <w:sz w:val="17"/>
                <w:szCs w:val="17"/>
              </w:rPr>
              <w:t xml:space="preserve">UF2 Formatura e decorazione</w:t>
            </w:r>
          </w:p>
        </w:tc>
        <w:tc>
          <w:tcPr>
            <w:tcW w:w="3300" w:type="dxa"/>
            <w:vAlign w:val="center"/>
          </w:tcPr>
          <w:p>
            <w:pPr>
              <w:keepNext/>
              <w:spacing w:before="30" w:after="30"/>
              <w:jc w:val="left"/>
            </w:pPr>
            <w:r>
              <w:rPr>
                <w:rFonts w:asciiTheme="minorHAnsi" w:hAnsiTheme="minorHAnsi"/>
                <w:sz w:val="17"/>
                <w:szCs w:val="17"/>
              </w:rPr>
              <w:t xml:space="preserve">Pressatura ed essiccazione; Smaltatura e decorazione</w:t>
            </w:r>
          </w:p>
        </w:tc>
        <w:tc>
          <w:tcPr>
            <w:tcW w:w="3400" w:type="dxa"/>
            <w:vAlign w:val="center"/>
          </w:tcPr>
          <w:p>
            <w:pPr>
              <w:keepNext/>
              <w:spacing w:before="30" w:after="30"/>
              <w:jc w:val="left"/>
            </w:pPr>
            <w:r>
              <w:rPr>
                <w:rFonts w:asciiTheme="minorHAnsi" w:hAnsiTheme="minorHAnsi"/>
                <w:sz w:val="17"/>
                <w:szCs w:val="17"/>
              </w:rPr>
              <w:t xml:space="preserve">Unità M-2-O: formatura e personalizzazione estetica</w:t>
            </w:r>
          </w:p>
        </w:tc>
      </w:tr>
      <w:tr>
        <w:trPr>
          <w:cantSplit/>
        </w:trPr>
        <w:tc>
          <w:tcPr>
            <w:tcW w:w="1500" w:type="dxa"/>
            <w:vAlign w:val="center"/>
          </w:tcPr>
          <w:p>
            <w:pPr>
              <w:keepNext/>
              <w:spacing w:before="30" w:after="30"/>
              <w:jc w:val="left"/>
            </w:pPr>
            <w:r>
              <w:rPr>
                <w:rFonts w:asciiTheme="minorHAnsi" w:hAnsiTheme="minorHAnsi"/>
                <w:sz w:val="17"/>
                <w:szCs w:val="17"/>
              </w:rPr>
              <w:t xml:space="preserve">Stabilimento n°3</w:t>
            </w:r>
          </w:p>
        </w:tc>
        <w:tc>
          <w:tcPr>
            <w:tcW w:w="2500" w:type="dxa"/>
            <w:vAlign w:val="center"/>
          </w:tcPr>
          <w:p>
            <w:pPr>
              <w:keepNext/>
              <w:spacing w:before="30" w:after="30"/>
              <w:jc w:val="left"/>
            </w:pPr>
            <w:r>
              <w:rPr>
                <w:rFonts w:asciiTheme="minorHAnsi" w:hAnsiTheme="minorHAnsi"/>
                <w:sz w:val="17"/>
                <w:szCs w:val="17"/>
              </w:rPr>
              <w:t xml:space="preserve">UF3 Cottura e stoccaggio</w:t>
            </w:r>
          </w:p>
        </w:tc>
        <w:tc>
          <w:tcPr>
            <w:tcW w:w="3300" w:type="dxa"/>
            <w:vAlign w:val="center"/>
          </w:tcPr>
          <w:p>
            <w:pPr>
              <w:keepNext/>
              <w:spacing w:before="30" w:after="30"/>
              <w:jc w:val="left"/>
            </w:pPr>
            <w:r>
              <w:rPr>
                <w:rFonts w:asciiTheme="minorHAnsi" w:hAnsiTheme="minorHAnsi"/>
                <w:sz w:val="17"/>
                <w:szCs w:val="17"/>
              </w:rPr>
              <w:t xml:space="preserve">Cottura e stoccaggio</w:t>
            </w:r>
          </w:p>
        </w:tc>
        <w:tc>
          <w:tcPr>
            <w:tcW w:w="3400" w:type="dxa"/>
            <w:vAlign w:val="center"/>
          </w:tcPr>
          <w:p>
            <w:pPr>
              <w:keepNext/>
              <w:spacing w:before="30" w:after="30"/>
              <w:jc w:val="left"/>
            </w:pPr>
            <w:r>
              <w:rPr>
                <w:rFonts w:asciiTheme="minorHAnsi" w:hAnsiTheme="minorHAnsi"/>
                <w:sz w:val="17"/>
                <w:szCs w:val="17"/>
              </w:rPr>
              <w:t xml:space="preserve">Unità M-2-O: trasformazione termica</w:t>
            </w:r>
          </w:p>
        </w:tc>
      </w:tr>
      <w:tr>
        <w:trPr>
          <w:cantSplit/>
        </w:trPr>
        <w:tc>
          <w:tcPr>
            <w:tcW w:w="1500" w:type="dxa"/>
            <w:vAlign w:val="center"/>
          </w:tcPr>
          <w:p>
            <w:pPr>
              <w:keepNext/>
              <w:spacing w:before="30" w:after="30"/>
              <w:jc w:val="left"/>
            </w:pPr>
            <w:r>
              <w:rPr>
                <w:rFonts w:asciiTheme="minorHAnsi" w:hAnsiTheme="minorHAnsi"/>
                <w:sz w:val="17"/>
                <w:szCs w:val="17"/>
              </w:rPr>
              <w:t xml:space="preserve">Stabilimento n°4</w:t>
            </w:r>
          </w:p>
        </w:tc>
        <w:tc>
          <w:tcPr>
            <w:tcW w:w="2500" w:type="dxa"/>
            <w:vAlign w:val="center"/>
          </w:tcPr>
          <w:p>
            <w:pPr>
              <w:keepNext/>
              <w:spacing w:before="30" w:after="30"/>
              <w:jc w:val="left"/>
            </w:pPr>
            <w:r>
              <w:rPr>
                <w:rFonts w:asciiTheme="minorHAnsi" w:hAnsiTheme="minorHAnsi"/>
                <w:sz w:val="17"/>
                <w:szCs w:val="17"/>
              </w:rPr>
              <w:t xml:space="preserve">UF4 Rifinitura, scelta e logistica</w:t>
            </w:r>
          </w:p>
        </w:tc>
        <w:tc>
          <w:tcPr>
            <w:tcW w:w="3300" w:type="dxa"/>
            <w:vAlign w:val="center"/>
          </w:tcPr>
          <w:p>
            <w:pPr>
              <w:keepNext/>
              <w:spacing w:before="30" w:after="30"/>
              <w:jc w:val="left"/>
            </w:pPr>
            <w:r>
              <w:rPr>
                <w:rFonts w:asciiTheme="minorHAnsi" w:hAnsiTheme="minorHAnsi"/>
                <w:sz w:val="17"/>
                <w:szCs w:val="17"/>
              </w:rPr>
              <w:t xml:space="preserve">Rifinitura, scelta e imballaggio; Logistica outbound</w:t>
            </w:r>
          </w:p>
        </w:tc>
        <w:tc>
          <w:tcPr>
            <w:tcW w:w="3400" w:type="dxa"/>
            <w:vAlign w:val="center"/>
          </w:tcPr>
          <w:p>
            <w:pPr>
              <w:keepNext/>
              <w:spacing w:before="30" w:after="30"/>
              <w:jc w:val="left"/>
            </w:pPr>
            <w:r>
              <w:rPr>
                <w:rFonts w:asciiTheme="minorHAnsi" w:hAnsiTheme="minorHAnsi"/>
                <w:sz w:val="17"/>
                <w:szCs w:val="17"/>
              </w:rPr>
              <w:t xml:space="preserve">Unità M-2-O: qualità finale e consegna</w:t>
            </w:r>
          </w:p>
        </w:tc>
      </w:tr>
      <w:tr>
        <w:trPr>
          <w:cantSplit/>
        </w:trPr>
        <w:tc>
          <w:tcPr>
            <w:tcW w:w="1500" w:type="dxa"/>
            <w:vAlign w:val="center"/>
          </w:tcPr>
          <w:p>
            <w:pPr>
              <w:spacing w:before="30" w:after="30"/>
              <w:jc w:val="left"/>
            </w:pPr>
            <w:r>
              <w:rPr>
                <w:rFonts w:asciiTheme="minorHAnsi" w:hAnsiTheme="minorHAnsi"/>
                <w:sz w:val="17"/>
                <w:szCs w:val="17"/>
              </w:rPr>
              <w:t xml:space="preserve">—</w:t>
            </w:r>
          </w:p>
        </w:tc>
        <w:tc>
          <w:tcPr>
            <w:tcW w:w="2500" w:type="dxa"/>
            <w:vAlign w:val="center"/>
          </w:tcPr>
          <w:p>
            <w:pPr>
              <w:spacing w:before="30" w:after="30"/>
              <w:jc w:val="left"/>
            </w:pPr>
            <w:r>
              <w:rPr>
                <w:rFonts w:asciiTheme="minorHAnsi" w:hAnsiTheme="minorHAnsi"/>
                <w:sz w:val="17"/>
                <w:szCs w:val="17"/>
              </w:rPr>
              <w:t xml:space="preserve">Infrastruttura digitale (trasversale)</w:t>
            </w:r>
          </w:p>
        </w:tc>
        <w:tc>
          <w:tcPr>
            <w:tcW w:w="3300" w:type="dxa"/>
            <w:vAlign w:val="center"/>
          </w:tcPr>
          <w:p>
            <w:pPr>
              <w:spacing w:before="30" w:after="30"/>
              <w:jc w:val="left"/>
            </w:pPr>
            <w:r>
              <w:rPr>
                <w:rFonts w:asciiTheme="minorHAnsi" w:hAnsiTheme="minorHAnsi"/>
                <w:sz w:val="17"/>
                <w:szCs w:val="17"/>
              </w:rPr>
              <w:t xml:space="preserve">Hardware; Software</w:t>
            </w:r>
          </w:p>
        </w:tc>
        <w:tc>
          <w:tcPr>
            <w:tcW w:w="3400" w:type="dxa"/>
            <w:vAlign w:val="center"/>
          </w:tcPr>
          <w:p>
            <w:pPr>
              <w:spacing w:before="30" w:after="30"/>
              <w:jc w:val="left"/>
            </w:pPr>
            <w:r>
              <w:rPr>
                <w:rFonts w:asciiTheme="minorHAnsi" w:hAnsiTheme="minorHAnsi"/>
                <w:sz w:val="17"/>
                <w:szCs w:val="17"/>
              </w:rPr>
              <w:t xml:space="preserve">Livello EDGE e rete della piattaforma E2C</w:t>
            </w:r>
          </w:p>
        </w:tc>
      </w:tr>
    </w:tbl>
    <w:p>
      <w:pPr>
        <w:keepNext/>
        <w:spacing w:before="200" w:after="80" w:line="360" w:lineRule="auto"/>
        <w:jc w:val="left"/>
      </w:pPr>
      <w:r>
        <w:rPr>
          <w:rFonts w:asciiTheme="minorHAnsi" w:hAnsiTheme="minorHAnsi"/>
          <w:b/>
          <w:bCs/>
          <w:color w:val="024C41"/>
          <w:sz w:val="26"/>
          <w:szCs w:val="26"/>
        </w:rPr>
        <w:t xml:space="preserve">2.2 Base dati degli interventi</w:t>
      </w:r>
    </w:p>
    <w:p>
      <w:pPr>
        <w:spacing w:before="0" w:after="120" w:line="360" w:lineRule="auto"/>
        <w:ind w:firstLine="284"/>
        <w:jc w:val="both"/>
      </w:pPr>
      <w:r>
        <w:rPr>
          <w:rFonts w:asciiTheme="minorHAnsi" w:hAnsiTheme="minorHAnsi"/>
          <w:sz w:val="22"/>
          <w:szCs w:val="22"/>
        </w:rPr>
        <w:t xml:space="preserve">La fonte dei dati è il registro degli investimenti di progetto (foglio “Strumenti e attrezzature”), che riporta per ciascun bene la sede, la descrizione, il fornitore, gli estremi della fattura, la data di inizio utilizzo, il costo del bene, la voce di budget e lo stato di rendicontazione. Il registro contiene 121 registrazioni, sottoposte alle seguenti regole di trattamento:</w:t>
      </w:r>
    </w:p>
    <w:p>
      <w:pPr>
        <w:pStyle w:val="cElencoPuntato"/>
        <w:numPr>
          <w:ilvl w:val="0"/>
          <w:numId w:val="1"/>
        </w:numPr>
        <w:tabs>
          <w:tab w:val="clear" w:pos="720"/>
          <w:tab w:val="num" w:pos="644"/>
        </w:tabs>
        <w:spacing w:after="60" w:line="360" w:lineRule="auto"/>
        <w:ind w:left="644" w:hanging="284"/>
        <w:jc w:val="both"/>
      </w:pPr>
      <w:r>
        <w:rPr>
          <w:rFonts w:asciiTheme="minorHAnsi" w:hAnsiTheme="minorHAnsi"/>
          <w:sz w:val="22"/>
          <w:szCs w:val="22"/>
        </w:rPr>
        <w:t xml:space="preserve">sono state escluse le 24 registrazioni classificate come “Da non rendicontare” (opere civili e fondazioni, alimentazioni e varianti dell’impianto elettrico, attività di montaggio e assistenza, beni non pertinenti al perimetro), ottenendo una base di 97 interventi;</w:t>
      </w:r>
    </w:p>
    <w:p>
      <w:pPr>
        <w:pStyle w:val="cElencoPuntato"/>
        <w:numPr>
          <w:ilvl w:val="0"/>
          <w:numId w:val="1"/>
        </w:numPr>
        <w:tabs>
          <w:tab w:val="clear" w:pos="720"/>
          <w:tab w:val="num" w:pos="644"/>
        </w:tabs>
        <w:spacing w:after="60" w:line="360" w:lineRule="auto"/>
        <w:ind w:left="644" w:hanging="284"/>
        <w:jc w:val="both"/>
      </w:pPr>
      <w:r>
        <w:rPr>
          <w:rFonts w:asciiTheme="minorHAnsi" w:hAnsiTheme="minorHAnsi"/>
          <w:sz w:val="22"/>
          <w:szCs w:val="22"/>
        </w:rPr>
        <w:t xml:space="preserve">il codice sede D061, riportato per errore su una registrazione, è stato ricondotto al sito D060 di Scandiano;</w:t>
      </w:r>
    </w:p>
    <w:p>
      <w:pPr>
        <w:pStyle w:val="cElencoPuntato"/>
        <w:numPr>
          <w:ilvl w:val="0"/>
          <w:numId w:val="1"/>
        </w:numPr>
        <w:tabs>
          <w:tab w:val="clear" w:pos="720"/>
          <w:tab w:val="num" w:pos="644"/>
        </w:tabs>
        <w:spacing w:after="60" w:line="360" w:lineRule="auto"/>
        <w:ind w:left="644" w:hanging="284"/>
        <w:jc w:val="both"/>
      </w:pPr>
      <w:r>
        <w:rPr>
          <w:rFonts w:asciiTheme="minorHAnsi" w:hAnsiTheme="minorHAnsi"/>
          <w:sz w:val="22"/>
          <w:szCs w:val="22"/>
        </w:rPr>
        <w:t xml:space="preserve">gli importi considerati corrispondono al costo del bene e non alla quota di ammortamento ammissibile ai fini della rendicontazione; le note di accredito e gli anticipi sono stati compensati per intervento;</w:t>
      </w:r>
    </w:p>
    <w:p>
      <w:pPr>
        <w:pStyle w:val="cElencoPuntato"/>
        <w:numPr>
          <w:ilvl w:val="0"/>
          <w:numId w:val="1"/>
        </w:numPr>
        <w:tabs>
          <w:tab w:val="clear" w:pos="720"/>
          <w:tab w:val="num" w:pos="644"/>
        </w:tabs>
        <w:spacing w:after="60" w:line="360" w:lineRule="auto"/>
        <w:ind w:left="644" w:hanging="284"/>
        <w:jc w:val="both"/>
      </w:pPr>
      <w:r>
        <w:rPr>
          <w:rFonts w:asciiTheme="minorHAnsi" w:hAnsiTheme="minorHAnsi"/>
          <w:sz w:val="22"/>
          <w:szCs w:val="22"/>
        </w:rPr>
        <w:t xml:space="preserve">ogni intervento è stato attribuito a una unità funzionale sulla base della voce di budget, secondo la corrispondenza di Tabella 1.</w:t>
      </w:r>
    </w:p>
    <w:p>
      <w:pPr>
        <w:keepNext/>
        <w:spacing w:before="200" w:after="80" w:line="360" w:lineRule="auto"/>
        <w:jc w:val="left"/>
      </w:pPr>
      <w:r>
        <w:rPr>
          <w:rFonts w:asciiTheme="minorHAnsi" w:hAnsiTheme="minorHAnsi"/>
          <w:b/>
          <w:bCs/>
          <w:color w:val="024C41"/>
          <w:sz w:val="26"/>
          <w:szCs w:val="26"/>
        </w:rPr>
        <w:t xml:space="preserve">2.3 Definizione del KPI di avanzamento lavori</w:t>
      </w:r>
    </w:p>
    <w:p>
      <w:pPr>
        <w:spacing w:before="0" w:after="120" w:line="360" w:lineRule="auto"/>
        <w:ind w:firstLine="284"/>
        <w:jc w:val="both"/>
      </w:pPr>
      <w:r>
        <w:rPr>
          <w:rFonts w:asciiTheme="minorHAnsi" w:hAnsiTheme="minorHAnsi"/>
          <w:sz w:val="22"/>
          <w:szCs w:val="22"/>
        </w:rPr>
        <w:t xml:space="preserve">Il Piano di Sviluppo segnala come problema progettuale (n°6) la difficoltà di quantificare l’avanzamento a causa dei diversi tempi di consegna dei macchinari e prevede, quale soluzione, il coinvolgimento del Direttore Tecnico e dei Responsabili di Stabilimento nel monitoraggio. Per rendere la misura oggettiva e verificabile, il livello di avanzamento è stato definito come quota del valore degli interventi pianificati per ciascuna UF che risultano entrati in uso alla data di riferimento:</w:t>
      </w:r>
    </w:p>
    <w:p>
      <w:pPr>
        <w:spacing w:before="0" w:after="120" w:line="360" w:lineRule="auto"/>
        <w:jc w:val="center"/>
      </w:pPr>
      <w:r>
        <w:rPr>
          <w:rFonts w:asciiTheme="minorHAnsi" w:hAnsiTheme="minorHAnsi"/>
          <w:i/>
          <w:iCs/>
          <w:sz w:val="22"/>
          <w:szCs w:val="22"/>
        </w:rPr>
        <w:t xml:space="preserve">Avanzamento UF</w:t>
      </w:r>
      <w:r>
        <w:rPr>
          <w:rFonts w:asciiTheme="minorHAnsi" w:hAnsiTheme="minorHAnsi"/>
          <w:i/>
          <w:iCs/>
          <w:sz w:val="22"/>
          <w:szCs w:val="22"/>
        </w:rPr>
        <w:t xml:space="preserve"> = (Σ costo beni in uso alla data di riferimento / Σ costo beni pianificati per la UF) × 100</w:t>
      </w:r>
    </w:p>
    <w:p>
      <w:pPr>
        <w:spacing w:before="0" w:after="120" w:line="360" w:lineRule="auto"/>
        <w:ind w:firstLine="284"/>
        <w:jc w:val="both"/>
      </w:pPr>
      <w:r>
        <w:rPr>
          <w:rFonts w:asciiTheme="minorHAnsi" w:hAnsiTheme="minorHAnsi"/>
          <w:sz w:val="22"/>
          <w:szCs w:val="22"/>
        </w:rPr>
        <w:t xml:space="preserve">La ponderazione per valore riflette il diverso peso tecnico ed economico degli interventi (una linea di rettifica non è equiparabile a un componente di ricambio), mentre l’utilizzo della data di inizio utilizzo, anziché della data di fattura o di pagamento, ancora la misura al completamento fisico dell’adeguamento. I beni per i quali il registro non riporta una data di inizio utilizzo sono stati considerati non ancora completati. La data di riferimento coincide con la data di revisione del presente documento (31.10.2026), che corrisponde anche al termine del progetto; il KPI è stato inoltre ricostruito a ritroso su scadenze semestrali per descrivere la dinamica dei lavori.</w:t>
      </w:r>
    </w:p>
    <w:p>
      <w:pPr>
        <w:keepNext/>
        <w:spacing w:before="200" w:after="80" w:line="360" w:lineRule="auto"/>
        <w:jc w:val="left"/>
      </w:pPr>
      <w:r>
        <w:rPr>
          <w:rFonts w:asciiTheme="minorHAnsi" w:hAnsiTheme="minorHAnsi"/>
          <w:b/>
          <w:bCs/>
          <w:color w:val="024C41"/>
          <w:sz w:val="26"/>
          <w:szCs w:val="26"/>
        </w:rPr>
        <w:t xml:space="preserve">2.4 Analisi degli scostamenti</w:t>
      </w:r>
    </w:p>
    <w:p>
      <w:pPr>
        <w:spacing w:before="0" w:after="120" w:line="360" w:lineRule="auto"/>
        <w:ind w:firstLine="284"/>
        <w:jc w:val="both"/>
      </w:pPr>
      <w:r>
        <w:rPr>
          <w:rFonts w:asciiTheme="minorHAnsi" w:hAnsiTheme="minorHAnsi"/>
          <w:sz w:val="22"/>
          <w:szCs w:val="22"/>
        </w:rPr>
        <w:t xml:space="preserve">La trade-off analysis è stata condotta confrontando, per ciascuna voce di budget, l’investimento previsto dal Piano di Sviluppo con quello effettivamente realizzato. Gli scostamenti sono stati interpretati alla luce del Modello di implementazione dell’OR 6.7 e delle esigenze operative emerse nel corso del progetto, per verificare che le rimodulazioni fossero coerenti con le finalità della Intelligent Factory.</w:t>
      </w:r>
    </w:p>
    <w:p>
      <w:pPr>
        <w:keepNext/>
        <w:spacing w:before="240" w:after="120" w:line="360" w:lineRule="auto"/>
        <w:jc w:val="left"/>
      </w:pPr>
      <w:r>
        <w:rPr>
          <w:rFonts w:asciiTheme="minorHAnsi" w:hAnsiTheme="minorHAnsi"/>
          <w:b/>
          <w:bCs/>
          <w:color w:val="024C41"/>
          <w:sz w:val="36"/>
          <w:szCs w:val="36"/>
        </w:rPr>
        <w:t xml:space="preserve">3.RISULTATI</w:t>
      </w:r>
    </w:p>
    <w:p>
      <w:pPr>
        <w:keepNext/>
        <w:spacing w:before="200" w:after="80" w:line="360" w:lineRule="auto"/>
        <w:jc w:val="left"/>
      </w:pPr>
      <w:r>
        <w:rPr>
          <w:rFonts w:asciiTheme="minorHAnsi" w:hAnsiTheme="minorHAnsi"/>
          <w:b/>
          <w:bCs/>
          <w:color w:val="024C41"/>
          <w:sz w:val="26"/>
          <w:szCs w:val="26"/>
        </w:rPr>
        <w:t xml:space="preserve">3.1 Quadro generale degli investimenti</w:t>
      </w:r>
    </w:p>
    <w:p>
      <w:pPr>
        <w:spacing w:before="0" w:after="120" w:line="360" w:lineRule="auto"/>
        <w:ind w:firstLine="284"/>
        <w:jc w:val="both"/>
      </w:pPr>
      <w:r>
        <w:rPr>
          <w:rFonts w:asciiTheme="minorHAnsi" w:hAnsiTheme="minorHAnsi"/>
          <w:sz w:val="22"/>
          <w:szCs w:val="22"/>
        </w:rPr>
        <w:t xml:space="preserve">Gli interventi di adeguamento considerati sono 97, per un valore complessivo di 5.269.981 €, superiore del 33,4 % rispetto ai 3.950.000 € previsti dal Piano di Sviluppo per attrezzature e strumentazioni. Il 97,9 % del valore (5.157.368 €) è localizzato nel sito D060 di Scandiano; la quota restante riguarda l’hub logistico D015 di Fiorano (91.803 €, mezzi di movimentazione e ampliamento della copertura di rete del piazzale) e l’headquarter D010 di Sassuolo (20.810 €, componenti di sicurezza informatica e di storage dell’infrastruttura E2C). Interventi per 3.436.525 € (65,2 %) sono stati rendicontati nel SAL 2, mentre 1.833.457 € (34,8 %) sono in corso di rendicontazione. La Tabella 2 e la Figura 1 confrontano l’investimento previsto con quello realizzato per ciascuna voce di budget.</w:t>
      </w:r>
    </w:p>
    <w:p>
      <w:pPr>
        <w:keepNext/>
        <w:spacing w:before="120" w:after="60"/>
        <w:jc w:val="center"/>
      </w:pPr>
      <w:r>
        <w:rPr>
          <w:rFonts w:asciiTheme="minorHAnsi" w:hAnsiTheme="minorHAnsi"/>
          <w:i/>
          <w:iCs/>
          <w:sz w:val="18"/>
          <w:szCs w:val="18"/>
        </w:rPr>
        <w:t xml:space="preserve">Tabella 2: Investimento previsto e realizzato per voce di budget (valori in €).</w:t>
      </w:r>
    </w:p>
    <w:tbl>
      <w:tblPr>
        <w:tblStyle w:val="Grigliatabella"/>
        <w:tblW w:w="10200" w:type="dxa"/>
        <w:jc w:val="center"/>
        <w:tblBorders>
          <w:top w:val="single" w:sz="4" w:space="0" w:color="9A9890"/>
          <w:left w:val="nil"/>
          <w:bottom w:val="single" w:sz="4" w:space="0" w:color="9A9890"/>
          <w:right w:val="nil"/>
          <w:insideH w:val="single" w:sz="4" w:space="0" w:color="D9D8D2"/>
          <w:insideV w:val="nil"/>
        </w:tblBorders>
        <w:tblLayout w:type="fixed"/>
        <w:tblCellMar>
          <w:left w:w="80" w:type="dxa"/>
          <w:right w:w="80" w:type="dxa"/>
        </w:tblCellMar>
        <w:tblLook w:val="04A0" w:firstRow="1" w:lastRow="0" w:firstColumn="1" w:lastColumn="0" w:noHBand="0" w:noVBand="1"/>
      </w:tblPr>
      <w:tblGrid>
        <w:gridCol w:w="3700"/>
        <w:gridCol w:w="1700"/>
        <w:gridCol w:w="1700"/>
        <w:gridCol w:w="1700"/>
        <w:gridCol w:w="1400"/>
      </w:tblGrid>
      <w:tr>
        <w:trPr>
          <w:tblHeader/>
          <w:cantSplit/>
        </w:trPr>
        <w:tc>
          <w:tcPr>
            <w:tcW w:w="3700" w:type="dxa"/>
            <w:shd w:val="clear" w:color="auto" w:fill="024C41"/>
            <w:vAlign w:val="center"/>
          </w:tcPr>
          <w:p>
            <w:pPr>
              <w:keepNext/>
              <w:spacing w:before="30" w:after="30"/>
              <w:jc w:val="center"/>
            </w:pPr>
            <w:r>
              <w:rPr>
                <w:rFonts w:asciiTheme="minorHAnsi" w:hAnsiTheme="minorHAnsi"/>
                <w:b/>
                <w:bCs/>
                <w:color w:val="FFFFFF"/>
                <w:sz w:val="17"/>
                <w:szCs w:val="17"/>
              </w:rPr>
              <w:t xml:space="preserve">Voce di budget</w:t>
            </w:r>
          </w:p>
        </w:tc>
        <w:tc>
          <w:tcPr>
            <w:tcW w:w="1700" w:type="dxa"/>
            <w:shd w:val="clear" w:color="auto" w:fill="024C41"/>
            <w:vAlign w:val="center"/>
          </w:tcPr>
          <w:p>
            <w:pPr>
              <w:keepNext/>
              <w:spacing w:before="30" w:after="30"/>
              <w:jc w:val="center"/>
            </w:pPr>
            <w:r>
              <w:rPr>
                <w:rFonts w:asciiTheme="minorHAnsi" w:hAnsiTheme="minorHAnsi"/>
                <w:b/>
                <w:bCs/>
                <w:color w:val="FFFFFF"/>
                <w:sz w:val="17"/>
                <w:szCs w:val="17"/>
              </w:rPr>
              <w:t xml:space="preserve">Budget Piano</w:t>
            </w:r>
          </w:p>
        </w:tc>
        <w:tc>
          <w:tcPr>
            <w:tcW w:w="1700" w:type="dxa"/>
            <w:shd w:val="clear" w:color="auto" w:fill="024C41"/>
            <w:vAlign w:val="center"/>
          </w:tcPr>
          <w:p>
            <w:pPr>
              <w:keepNext/>
              <w:spacing w:before="30" w:after="30"/>
              <w:jc w:val="center"/>
            </w:pPr>
            <w:r>
              <w:rPr>
                <w:rFonts w:asciiTheme="minorHAnsi" w:hAnsiTheme="minorHAnsi"/>
                <w:b/>
                <w:bCs/>
                <w:color w:val="FFFFFF"/>
                <w:sz w:val="17"/>
                <w:szCs w:val="17"/>
              </w:rPr>
              <w:t xml:space="preserve">Realizzato</w:t>
            </w:r>
          </w:p>
        </w:tc>
        <w:tc>
          <w:tcPr>
            <w:tcW w:w="1700" w:type="dxa"/>
            <w:shd w:val="clear" w:color="auto" w:fill="024C41"/>
            <w:vAlign w:val="center"/>
          </w:tcPr>
          <w:p>
            <w:pPr>
              <w:keepNext/>
              <w:spacing w:before="30" w:after="30"/>
              <w:jc w:val="center"/>
            </w:pPr>
            <w:r>
              <w:rPr>
                <w:rFonts w:asciiTheme="minorHAnsi" w:hAnsiTheme="minorHAnsi"/>
                <w:b/>
                <w:bCs/>
                <w:color w:val="FFFFFF"/>
                <w:sz w:val="17"/>
                <w:szCs w:val="17"/>
              </w:rPr>
              <w:t xml:space="preserve">Scostamento</w:t>
            </w:r>
          </w:p>
        </w:tc>
        <w:tc>
          <w:tcPr>
            <w:tcW w:w="1400" w:type="dxa"/>
            <w:shd w:val="clear" w:color="auto" w:fill="024C41"/>
            <w:vAlign w:val="center"/>
          </w:tcPr>
          <w:p>
            <w:pPr>
              <w:keepNext/>
              <w:spacing w:before="30" w:after="30"/>
              <w:jc w:val="center"/>
            </w:pPr>
            <w:r>
              <w:rPr>
                <w:rFonts w:asciiTheme="minorHAnsi" w:hAnsiTheme="minorHAnsi"/>
                <w:b/>
                <w:bCs/>
                <w:color w:val="FFFFFF"/>
                <w:sz w:val="17"/>
                <w:szCs w:val="17"/>
              </w:rPr>
              <w:t xml:space="preserve">N° interventi</w:t>
            </w:r>
          </w:p>
        </w:tc>
      </w:tr>
      <w:tr>
        <w:trPr>
          <w:cantSplit/>
        </w:trPr>
        <w:tc>
          <w:tcPr>
            <w:tcW w:w="3700" w:type="dxa"/>
            <w:vAlign w:val="center"/>
          </w:tcPr>
          <w:p>
            <w:pPr>
              <w:keepNext/>
              <w:spacing w:before="30" w:after="30"/>
              <w:jc w:val="left"/>
            </w:pPr>
            <w:r>
              <w:rPr>
                <w:rFonts w:asciiTheme="minorHAnsi" w:hAnsiTheme="minorHAnsi"/>
                <w:sz w:val="17"/>
                <w:szCs w:val="17"/>
              </w:rPr>
              <w:t xml:space="preserve">Pressatura ed essiccazione</w:t>
            </w:r>
          </w:p>
        </w:tc>
        <w:tc>
          <w:tcPr>
            <w:tcW w:w="1700" w:type="dxa"/>
            <w:vAlign w:val="center"/>
          </w:tcPr>
          <w:p>
            <w:pPr>
              <w:keepNext/>
              <w:spacing w:before="30" w:after="30"/>
              <w:jc w:val="right"/>
            </w:pPr>
            <w:r>
              <w:rPr>
                <w:rFonts w:asciiTheme="minorHAnsi" w:hAnsiTheme="minorHAnsi"/>
                <w:sz w:val="17"/>
                <w:szCs w:val="17"/>
              </w:rPr>
              <w:t xml:space="preserve">1.200.000</w:t>
            </w:r>
          </w:p>
        </w:tc>
        <w:tc>
          <w:tcPr>
            <w:tcW w:w="1700" w:type="dxa"/>
            <w:vAlign w:val="center"/>
          </w:tcPr>
          <w:p>
            <w:pPr>
              <w:keepNext/>
              <w:spacing w:before="30" w:after="30"/>
              <w:jc w:val="right"/>
            </w:pPr>
            <w:r>
              <w:rPr>
                <w:rFonts w:asciiTheme="minorHAnsi" w:hAnsiTheme="minorHAnsi"/>
                <w:sz w:val="17"/>
                <w:szCs w:val="17"/>
              </w:rPr>
              <w:t xml:space="preserve">261.040</w:t>
            </w:r>
          </w:p>
        </w:tc>
        <w:tc>
          <w:tcPr>
            <w:tcW w:w="1700" w:type="dxa"/>
            <w:vAlign w:val="center"/>
          </w:tcPr>
          <w:p>
            <w:pPr>
              <w:keepNext/>
              <w:spacing w:before="30" w:after="30"/>
              <w:jc w:val="right"/>
            </w:pPr>
            <w:r>
              <w:rPr>
                <w:rFonts w:asciiTheme="minorHAnsi" w:hAnsiTheme="minorHAnsi"/>
                <w:sz w:val="17"/>
                <w:szCs w:val="17"/>
              </w:rPr>
              <w:t xml:space="preserve">−78,2 %</w:t>
            </w:r>
          </w:p>
        </w:tc>
        <w:tc>
          <w:tcPr>
            <w:tcW w:w="1400" w:type="dxa"/>
            <w:vAlign w:val="center"/>
          </w:tcPr>
          <w:p>
            <w:pPr>
              <w:keepNext/>
              <w:spacing w:before="30" w:after="30"/>
              <w:jc w:val="right"/>
            </w:pPr>
            <w:r>
              <w:rPr>
                <w:rFonts w:asciiTheme="minorHAnsi" w:hAnsiTheme="minorHAnsi"/>
                <w:sz w:val="17"/>
                <w:szCs w:val="17"/>
              </w:rPr>
              <w:t xml:space="preserve">12</w:t>
            </w:r>
          </w:p>
        </w:tc>
      </w:tr>
      <w:tr>
        <w:trPr>
          <w:cantSplit/>
        </w:trPr>
        <w:tc>
          <w:tcPr>
            <w:tcW w:w="3700" w:type="dxa"/>
            <w:vAlign w:val="center"/>
          </w:tcPr>
          <w:p>
            <w:pPr>
              <w:keepNext/>
              <w:spacing w:before="30" w:after="30"/>
              <w:jc w:val="left"/>
            </w:pPr>
            <w:r>
              <w:rPr>
                <w:rFonts w:asciiTheme="minorHAnsi" w:hAnsiTheme="minorHAnsi"/>
                <w:sz w:val="17"/>
                <w:szCs w:val="17"/>
              </w:rPr>
              <w:t xml:space="preserve">Smaltatura e decorazione</w:t>
            </w:r>
          </w:p>
        </w:tc>
        <w:tc>
          <w:tcPr>
            <w:tcW w:w="1700" w:type="dxa"/>
            <w:vAlign w:val="center"/>
          </w:tcPr>
          <w:p>
            <w:pPr>
              <w:keepNext/>
              <w:spacing w:before="30" w:after="30"/>
              <w:jc w:val="right"/>
            </w:pPr>
            <w:r>
              <w:rPr>
                <w:rFonts w:asciiTheme="minorHAnsi" w:hAnsiTheme="minorHAnsi"/>
                <w:sz w:val="17"/>
                <w:szCs w:val="17"/>
              </w:rPr>
              <w:t xml:space="preserve">1.600.000</w:t>
            </w:r>
          </w:p>
        </w:tc>
        <w:tc>
          <w:tcPr>
            <w:tcW w:w="1700" w:type="dxa"/>
            <w:vAlign w:val="center"/>
          </w:tcPr>
          <w:p>
            <w:pPr>
              <w:keepNext/>
              <w:spacing w:before="30" w:after="30"/>
              <w:jc w:val="right"/>
            </w:pPr>
            <w:r>
              <w:rPr>
                <w:rFonts w:asciiTheme="minorHAnsi" w:hAnsiTheme="minorHAnsi"/>
                <w:sz w:val="17"/>
                <w:szCs w:val="17"/>
              </w:rPr>
              <w:t xml:space="preserve">1.667.610</w:t>
            </w:r>
          </w:p>
        </w:tc>
        <w:tc>
          <w:tcPr>
            <w:tcW w:w="1700" w:type="dxa"/>
            <w:vAlign w:val="center"/>
          </w:tcPr>
          <w:p>
            <w:pPr>
              <w:keepNext/>
              <w:spacing w:before="30" w:after="30"/>
              <w:jc w:val="right"/>
            </w:pPr>
            <w:r>
              <w:rPr>
                <w:rFonts w:asciiTheme="minorHAnsi" w:hAnsiTheme="minorHAnsi"/>
                <w:sz w:val="17"/>
                <w:szCs w:val="17"/>
              </w:rPr>
              <w:t xml:space="preserve">+4,2 %</w:t>
            </w:r>
          </w:p>
        </w:tc>
        <w:tc>
          <w:tcPr>
            <w:tcW w:w="1400" w:type="dxa"/>
            <w:vAlign w:val="center"/>
          </w:tcPr>
          <w:p>
            <w:pPr>
              <w:keepNext/>
              <w:spacing w:before="30" w:after="30"/>
              <w:jc w:val="right"/>
            </w:pPr>
            <w:r>
              <w:rPr>
                <w:rFonts w:asciiTheme="minorHAnsi" w:hAnsiTheme="minorHAnsi"/>
                <w:sz w:val="17"/>
                <w:szCs w:val="17"/>
              </w:rPr>
              <w:t xml:space="preserve">25</w:t>
            </w:r>
          </w:p>
        </w:tc>
      </w:tr>
      <w:tr>
        <w:trPr>
          <w:cantSplit/>
        </w:trPr>
        <w:tc>
          <w:tcPr>
            <w:tcW w:w="3700" w:type="dxa"/>
            <w:vAlign w:val="center"/>
          </w:tcPr>
          <w:p>
            <w:pPr>
              <w:keepNext/>
              <w:spacing w:before="30" w:after="30"/>
              <w:jc w:val="left"/>
            </w:pPr>
            <w:r>
              <w:rPr>
                <w:rFonts w:asciiTheme="minorHAnsi" w:hAnsiTheme="minorHAnsi"/>
                <w:sz w:val="17"/>
                <w:szCs w:val="17"/>
              </w:rPr>
              <w:t xml:space="preserve">Cottura e stoccaggio</w:t>
            </w:r>
          </w:p>
        </w:tc>
        <w:tc>
          <w:tcPr>
            <w:tcW w:w="1700" w:type="dxa"/>
            <w:vAlign w:val="center"/>
          </w:tcPr>
          <w:p>
            <w:pPr>
              <w:keepNext/>
              <w:spacing w:before="30" w:after="30"/>
              <w:jc w:val="right"/>
            </w:pPr>
            <w:r>
              <w:rPr>
                <w:rFonts w:asciiTheme="minorHAnsi" w:hAnsiTheme="minorHAnsi"/>
                <w:sz w:val="17"/>
                <w:szCs w:val="17"/>
              </w:rPr>
              <w:t xml:space="preserve">200.000</w:t>
            </w:r>
          </w:p>
        </w:tc>
        <w:tc>
          <w:tcPr>
            <w:tcW w:w="1700" w:type="dxa"/>
            <w:vAlign w:val="center"/>
          </w:tcPr>
          <w:p>
            <w:pPr>
              <w:keepNext/>
              <w:spacing w:before="30" w:after="30"/>
              <w:jc w:val="right"/>
            </w:pPr>
            <w:r>
              <w:rPr>
                <w:rFonts w:asciiTheme="minorHAnsi" w:hAnsiTheme="minorHAnsi"/>
                <w:sz w:val="17"/>
                <w:szCs w:val="17"/>
              </w:rPr>
              <w:t xml:space="preserve">319.900</w:t>
            </w:r>
          </w:p>
        </w:tc>
        <w:tc>
          <w:tcPr>
            <w:tcW w:w="1700" w:type="dxa"/>
            <w:vAlign w:val="center"/>
          </w:tcPr>
          <w:p>
            <w:pPr>
              <w:keepNext/>
              <w:spacing w:before="30" w:after="30"/>
              <w:jc w:val="right"/>
            </w:pPr>
            <w:r>
              <w:rPr>
                <w:rFonts w:asciiTheme="minorHAnsi" w:hAnsiTheme="minorHAnsi"/>
                <w:sz w:val="17"/>
                <w:szCs w:val="17"/>
              </w:rPr>
              <w:t xml:space="preserve">+60,0 %</w:t>
            </w:r>
          </w:p>
        </w:tc>
        <w:tc>
          <w:tcPr>
            <w:tcW w:w="1400" w:type="dxa"/>
            <w:vAlign w:val="center"/>
          </w:tcPr>
          <w:p>
            <w:pPr>
              <w:keepNext/>
              <w:spacing w:before="30" w:after="30"/>
              <w:jc w:val="right"/>
            </w:pPr>
            <w:r>
              <w:rPr>
                <w:rFonts w:asciiTheme="minorHAnsi" w:hAnsiTheme="minorHAnsi"/>
                <w:sz w:val="17"/>
                <w:szCs w:val="17"/>
              </w:rPr>
              <w:t xml:space="preserve">6</w:t>
            </w:r>
          </w:p>
        </w:tc>
      </w:tr>
      <w:tr>
        <w:trPr>
          <w:cantSplit/>
        </w:trPr>
        <w:tc>
          <w:tcPr>
            <w:tcW w:w="3700" w:type="dxa"/>
            <w:vAlign w:val="center"/>
          </w:tcPr>
          <w:p>
            <w:pPr>
              <w:keepNext/>
              <w:spacing w:before="30" w:after="30"/>
              <w:jc w:val="left"/>
            </w:pPr>
            <w:r>
              <w:rPr>
                <w:rFonts w:asciiTheme="minorHAnsi" w:hAnsiTheme="minorHAnsi"/>
                <w:sz w:val="17"/>
                <w:szCs w:val="17"/>
              </w:rPr>
              <w:t xml:space="preserve">Rifinitura, scelta e imballaggio</w:t>
            </w:r>
          </w:p>
        </w:tc>
        <w:tc>
          <w:tcPr>
            <w:tcW w:w="1700" w:type="dxa"/>
            <w:vAlign w:val="center"/>
          </w:tcPr>
          <w:p>
            <w:pPr>
              <w:keepNext/>
              <w:spacing w:before="30" w:after="30"/>
              <w:jc w:val="right"/>
            </w:pPr>
            <w:r>
              <w:rPr>
                <w:rFonts w:asciiTheme="minorHAnsi" w:hAnsiTheme="minorHAnsi"/>
                <w:sz w:val="17"/>
                <w:szCs w:val="17"/>
              </w:rPr>
              <w:t xml:space="preserve">400.000</w:t>
            </w:r>
          </w:p>
        </w:tc>
        <w:tc>
          <w:tcPr>
            <w:tcW w:w="1700" w:type="dxa"/>
            <w:vAlign w:val="center"/>
          </w:tcPr>
          <w:p>
            <w:pPr>
              <w:keepNext/>
              <w:spacing w:before="30" w:after="30"/>
              <w:jc w:val="right"/>
            </w:pPr>
            <w:r>
              <w:rPr>
                <w:rFonts w:asciiTheme="minorHAnsi" w:hAnsiTheme="minorHAnsi"/>
                <w:sz w:val="17"/>
                <w:szCs w:val="17"/>
              </w:rPr>
              <w:t xml:space="preserve">2.030.823</w:t>
            </w:r>
          </w:p>
        </w:tc>
        <w:tc>
          <w:tcPr>
            <w:tcW w:w="1700" w:type="dxa"/>
            <w:vAlign w:val="center"/>
          </w:tcPr>
          <w:p>
            <w:pPr>
              <w:keepNext/>
              <w:spacing w:before="30" w:after="30"/>
              <w:jc w:val="right"/>
            </w:pPr>
            <w:r>
              <w:rPr>
                <w:rFonts w:asciiTheme="minorHAnsi" w:hAnsiTheme="minorHAnsi"/>
                <w:sz w:val="17"/>
                <w:szCs w:val="17"/>
              </w:rPr>
              <w:t xml:space="preserve">+407,7 %</w:t>
            </w:r>
          </w:p>
        </w:tc>
        <w:tc>
          <w:tcPr>
            <w:tcW w:w="1400" w:type="dxa"/>
            <w:vAlign w:val="center"/>
          </w:tcPr>
          <w:p>
            <w:pPr>
              <w:keepNext/>
              <w:spacing w:before="30" w:after="30"/>
              <w:jc w:val="right"/>
            </w:pPr>
            <w:r>
              <w:rPr>
                <w:rFonts w:asciiTheme="minorHAnsi" w:hAnsiTheme="minorHAnsi"/>
                <w:sz w:val="17"/>
                <w:szCs w:val="17"/>
              </w:rPr>
              <w:t xml:space="preserve">29</w:t>
            </w:r>
          </w:p>
        </w:tc>
      </w:tr>
      <w:tr>
        <w:trPr>
          <w:cantSplit/>
        </w:trPr>
        <w:tc>
          <w:tcPr>
            <w:tcW w:w="3700" w:type="dxa"/>
            <w:vAlign w:val="center"/>
          </w:tcPr>
          <w:p>
            <w:pPr>
              <w:keepNext/>
              <w:spacing w:before="30" w:after="30"/>
              <w:jc w:val="left"/>
            </w:pPr>
            <w:r>
              <w:rPr>
                <w:rFonts w:asciiTheme="minorHAnsi" w:hAnsiTheme="minorHAnsi"/>
                <w:sz w:val="17"/>
                <w:szCs w:val="17"/>
              </w:rPr>
              <w:t xml:space="preserve">Logistica outbound</w:t>
            </w:r>
          </w:p>
        </w:tc>
        <w:tc>
          <w:tcPr>
            <w:tcW w:w="1700" w:type="dxa"/>
            <w:vAlign w:val="center"/>
          </w:tcPr>
          <w:p>
            <w:pPr>
              <w:keepNext/>
              <w:spacing w:before="30" w:after="30"/>
              <w:jc w:val="right"/>
            </w:pPr>
            <w:r>
              <w:rPr>
                <w:rFonts w:asciiTheme="minorHAnsi" w:hAnsiTheme="minorHAnsi"/>
                <w:sz w:val="17"/>
                <w:szCs w:val="17"/>
              </w:rPr>
              <w:t xml:space="preserve">400.000</w:t>
            </w:r>
          </w:p>
        </w:tc>
        <w:tc>
          <w:tcPr>
            <w:tcW w:w="1700" w:type="dxa"/>
            <w:vAlign w:val="center"/>
          </w:tcPr>
          <w:p>
            <w:pPr>
              <w:keepNext/>
              <w:spacing w:before="30" w:after="30"/>
              <w:jc w:val="right"/>
            </w:pPr>
            <w:r>
              <w:rPr>
                <w:rFonts w:asciiTheme="minorHAnsi" w:hAnsiTheme="minorHAnsi"/>
                <w:sz w:val="17"/>
                <w:szCs w:val="17"/>
              </w:rPr>
              <w:t xml:space="preserve">61.200</w:t>
            </w:r>
          </w:p>
        </w:tc>
        <w:tc>
          <w:tcPr>
            <w:tcW w:w="1700" w:type="dxa"/>
            <w:vAlign w:val="center"/>
          </w:tcPr>
          <w:p>
            <w:pPr>
              <w:keepNext/>
              <w:spacing w:before="30" w:after="30"/>
              <w:jc w:val="right"/>
            </w:pPr>
            <w:r>
              <w:rPr>
                <w:rFonts w:asciiTheme="minorHAnsi" w:hAnsiTheme="minorHAnsi"/>
                <w:sz w:val="17"/>
                <w:szCs w:val="17"/>
              </w:rPr>
              <w:t xml:space="preserve">−84,7 %</w:t>
            </w:r>
          </w:p>
        </w:tc>
        <w:tc>
          <w:tcPr>
            <w:tcW w:w="1400" w:type="dxa"/>
            <w:vAlign w:val="center"/>
          </w:tcPr>
          <w:p>
            <w:pPr>
              <w:keepNext/>
              <w:spacing w:before="30" w:after="30"/>
              <w:jc w:val="right"/>
            </w:pPr>
            <w:r>
              <w:rPr>
                <w:rFonts w:asciiTheme="minorHAnsi" w:hAnsiTheme="minorHAnsi"/>
                <w:sz w:val="17"/>
                <w:szCs w:val="17"/>
              </w:rPr>
              <w:t xml:space="preserve">1</w:t>
            </w:r>
          </w:p>
        </w:tc>
      </w:tr>
      <w:tr>
        <w:trPr>
          <w:cantSplit/>
        </w:trPr>
        <w:tc>
          <w:tcPr>
            <w:tcW w:w="3700" w:type="dxa"/>
            <w:vAlign w:val="center"/>
          </w:tcPr>
          <w:p>
            <w:pPr>
              <w:keepNext/>
              <w:spacing w:before="30" w:after="30"/>
              <w:jc w:val="left"/>
            </w:pPr>
            <w:r>
              <w:rPr>
                <w:rFonts w:asciiTheme="minorHAnsi" w:hAnsiTheme="minorHAnsi"/>
                <w:sz w:val="17"/>
                <w:szCs w:val="17"/>
              </w:rPr>
              <w:t xml:space="preserve">Preparazione impasto (voce introdotta)</w:t>
            </w:r>
          </w:p>
        </w:tc>
        <w:tc>
          <w:tcPr>
            <w:tcW w:w="1700" w:type="dxa"/>
            <w:vAlign w:val="center"/>
          </w:tcPr>
          <w:p>
            <w:pPr>
              <w:keepNext/>
              <w:spacing w:before="30" w:after="30"/>
              <w:jc w:val="right"/>
            </w:pPr>
            <w:r>
              <w:rPr>
                <w:rFonts w:asciiTheme="minorHAnsi" w:hAnsiTheme="minorHAnsi"/>
                <w:sz w:val="17"/>
                <w:szCs w:val="17"/>
              </w:rPr>
              <w:t xml:space="preserve">—</w:t>
            </w:r>
          </w:p>
        </w:tc>
        <w:tc>
          <w:tcPr>
            <w:tcW w:w="1700" w:type="dxa"/>
            <w:vAlign w:val="center"/>
          </w:tcPr>
          <w:p>
            <w:pPr>
              <w:keepNext/>
              <w:spacing w:before="30" w:after="30"/>
              <w:jc w:val="right"/>
            </w:pPr>
            <w:r>
              <w:rPr>
                <w:rFonts w:asciiTheme="minorHAnsi" w:hAnsiTheme="minorHAnsi"/>
                <w:sz w:val="17"/>
                <w:szCs w:val="17"/>
              </w:rPr>
              <w:t xml:space="preserve">745.712</w:t>
            </w:r>
          </w:p>
        </w:tc>
        <w:tc>
          <w:tcPr>
            <w:tcW w:w="1700" w:type="dxa"/>
            <w:vAlign w:val="center"/>
          </w:tcPr>
          <w:p>
            <w:pPr>
              <w:keepNext/>
              <w:spacing w:before="30" w:after="30"/>
              <w:jc w:val="right"/>
            </w:pPr>
            <w:r>
              <w:rPr>
                <w:rFonts w:asciiTheme="minorHAnsi" w:hAnsiTheme="minorHAnsi"/>
                <w:sz w:val="17"/>
                <w:szCs w:val="17"/>
              </w:rPr>
              <w:t xml:space="preserve">n.a.</w:t>
            </w:r>
          </w:p>
        </w:tc>
        <w:tc>
          <w:tcPr>
            <w:tcW w:w="1400" w:type="dxa"/>
            <w:vAlign w:val="center"/>
          </w:tcPr>
          <w:p>
            <w:pPr>
              <w:keepNext/>
              <w:spacing w:before="30" w:after="30"/>
              <w:jc w:val="right"/>
            </w:pPr>
            <w:r>
              <w:rPr>
                <w:rFonts w:asciiTheme="minorHAnsi" w:hAnsiTheme="minorHAnsi"/>
                <w:sz w:val="17"/>
                <w:szCs w:val="17"/>
              </w:rPr>
              <w:t xml:space="preserve">14</w:t>
            </w:r>
          </w:p>
        </w:tc>
      </w:tr>
      <w:tr>
        <w:trPr>
          <w:cantSplit/>
        </w:trPr>
        <w:tc>
          <w:tcPr>
            <w:tcW w:w="3700" w:type="dxa"/>
            <w:vAlign w:val="center"/>
          </w:tcPr>
          <w:p>
            <w:pPr>
              <w:keepNext/>
              <w:spacing w:before="30" w:after="30"/>
              <w:jc w:val="left"/>
            </w:pPr>
            <w:r>
              <w:rPr>
                <w:rFonts w:asciiTheme="minorHAnsi" w:hAnsiTheme="minorHAnsi"/>
                <w:sz w:val="17"/>
                <w:szCs w:val="17"/>
              </w:rPr>
              <w:t xml:space="preserve">Hardware</w:t>
            </w:r>
          </w:p>
        </w:tc>
        <w:tc>
          <w:tcPr>
            <w:tcW w:w="1700" w:type="dxa"/>
            <w:vAlign w:val="center"/>
          </w:tcPr>
          <w:p>
            <w:pPr>
              <w:keepNext/>
              <w:spacing w:before="30" w:after="30"/>
              <w:jc w:val="right"/>
            </w:pPr>
            <w:r>
              <w:rPr>
                <w:rFonts w:asciiTheme="minorHAnsi" w:hAnsiTheme="minorHAnsi"/>
                <w:sz w:val="17"/>
                <w:szCs w:val="17"/>
              </w:rPr>
              <w:t xml:space="preserve">100.000</w:t>
            </w:r>
          </w:p>
        </w:tc>
        <w:tc>
          <w:tcPr>
            <w:tcW w:w="1700" w:type="dxa"/>
            <w:vAlign w:val="center"/>
          </w:tcPr>
          <w:p>
            <w:pPr>
              <w:keepNext/>
              <w:spacing w:before="30" w:after="30"/>
              <w:jc w:val="right"/>
            </w:pPr>
            <w:r>
              <w:rPr>
                <w:rFonts w:asciiTheme="minorHAnsi" w:hAnsiTheme="minorHAnsi"/>
                <w:sz w:val="17"/>
                <w:szCs w:val="17"/>
              </w:rPr>
              <w:t xml:space="preserve">171.836</w:t>
            </w:r>
          </w:p>
        </w:tc>
        <w:tc>
          <w:tcPr>
            <w:tcW w:w="1700" w:type="dxa"/>
            <w:vAlign w:val="center"/>
          </w:tcPr>
          <w:p>
            <w:pPr>
              <w:keepNext/>
              <w:spacing w:before="30" w:after="30"/>
              <w:jc w:val="right"/>
            </w:pPr>
            <w:r>
              <w:rPr>
                <w:rFonts w:asciiTheme="minorHAnsi" w:hAnsiTheme="minorHAnsi"/>
                <w:sz w:val="17"/>
                <w:szCs w:val="17"/>
              </w:rPr>
              <w:t xml:space="preserve">+71,8 %</w:t>
            </w:r>
          </w:p>
        </w:tc>
        <w:tc>
          <w:tcPr>
            <w:tcW w:w="1400" w:type="dxa"/>
            <w:vAlign w:val="center"/>
          </w:tcPr>
          <w:p>
            <w:pPr>
              <w:keepNext/>
              <w:spacing w:before="30" w:after="30"/>
              <w:jc w:val="right"/>
            </w:pPr>
            <w:r>
              <w:rPr>
                <w:rFonts w:asciiTheme="minorHAnsi" w:hAnsiTheme="minorHAnsi"/>
                <w:sz w:val="17"/>
                <w:szCs w:val="17"/>
              </w:rPr>
              <w:t xml:space="preserve">7</w:t>
            </w:r>
          </w:p>
        </w:tc>
      </w:tr>
      <w:tr>
        <w:trPr>
          <w:cantSplit/>
        </w:trPr>
        <w:tc>
          <w:tcPr>
            <w:tcW w:w="3700" w:type="dxa"/>
            <w:vAlign w:val="center"/>
          </w:tcPr>
          <w:p>
            <w:pPr>
              <w:keepNext/>
              <w:spacing w:before="30" w:after="30"/>
              <w:jc w:val="left"/>
            </w:pPr>
            <w:r>
              <w:rPr>
                <w:rFonts w:asciiTheme="minorHAnsi" w:hAnsiTheme="minorHAnsi"/>
                <w:sz w:val="17"/>
                <w:szCs w:val="17"/>
              </w:rPr>
              <w:t xml:space="preserve">Software</w:t>
            </w:r>
          </w:p>
        </w:tc>
        <w:tc>
          <w:tcPr>
            <w:tcW w:w="1700" w:type="dxa"/>
            <w:vAlign w:val="center"/>
          </w:tcPr>
          <w:p>
            <w:pPr>
              <w:keepNext/>
              <w:spacing w:before="30" w:after="30"/>
              <w:jc w:val="right"/>
            </w:pPr>
            <w:r>
              <w:rPr>
                <w:rFonts w:asciiTheme="minorHAnsi" w:hAnsiTheme="minorHAnsi"/>
                <w:sz w:val="17"/>
                <w:szCs w:val="17"/>
              </w:rPr>
              <w:t xml:space="preserve">50.000</w:t>
            </w:r>
          </w:p>
        </w:tc>
        <w:tc>
          <w:tcPr>
            <w:tcW w:w="1700" w:type="dxa"/>
            <w:vAlign w:val="center"/>
          </w:tcPr>
          <w:p>
            <w:pPr>
              <w:keepNext/>
              <w:spacing w:before="30" w:after="30"/>
              <w:jc w:val="right"/>
            </w:pPr>
            <w:r>
              <w:rPr>
                <w:rFonts w:asciiTheme="minorHAnsi" w:hAnsiTheme="minorHAnsi"/>
                <w:sz w:val="17"/>
                <w:szCs w:val="17"/>
              </w:rPr>
              <w:t xml:space="preserve">11.861</w:t>
            </w:r>
          </w:p>
        </w:tc>
        <w:tc>
          <w:tcPr>
            <w:tcW w:w="1700" w:type="dxa"/>
            <w:vAlign w:val="center"/>
          </w:tcPr>
          <w:p>
            <w:pPr>
              <w:keepNext/>
              <w:spacing w:before="30" w:after="30"/>
              <w:jc w:val="right"/>
            </w:pPr>
            <w:r>
              <w:rPr>
                <w:rFonts w:asciiTheme="minorHAnsi" w:hAnsiTheme="minorHAnsi"/>
                <w:sz w:val="17"/>
                <w:szCs w:val="17"/>
              </w:rPr>
              <w:t xml:space="preserve">−76,3 %</w:t>
            </w:r>
          </w:p>
        </w:tc>
        <w:tc>
          <w:tcPr>
            <w:tcW w:w="1400" w:type="dxa"/>
            <w:vAlign w:val="center"/>
          </w:tcPr>
          <w:p>
            <w:pPr>
              <w:keepNext/>
              <w:spacing w:before="30" w:after="30"/>
              <w:jc w:val="right"/>
            </w:pPr>
            <w:r>
              <w:rPr>
                <w:rFonts w:asciiTheme="minorHAnsi" w:hAnsiTheme="minorHAnsi"/>
                <w:sz w:val="17"/>
                <w:szCs w:val="17"/>
              </w:rPr>
              <w:t xml:space="preserve">3</w:t>
            </w:r>
          </w:p>
        </w:tc>
      </w:tr>
      <w:tr>
        <w:trPr>
          <w:cantSplit/>
        </w:trPr>
        <w:tc>
          <w:tcPr>
            <w:tcW w:w="3700" w:type="dxa"/>
            <w:vAlign w:val="center"/>
          </w:tcPr>
          <w:p>
            <w:pPr>
              <w:spacing w:before="30" w:after="30"/>
              <w:jc w:val="left"/>
            </w:pPr>
            <w:r>
              <w:rPr>
                <w:rFonts w:asciiTheme="minorHAnsi" w:hAnsiTheme="minorHAnsi"/>
                <w:b/>
                <w:bCs/>
                <w:sz w:val="17"/>
                <w:szCs w:val="17"/>
              </w:rPr>
              <w:t xml:space="preserve">Totale</w:t>
            </w:r>
          </w:p>
        </w:tc>
        <w:tc>
          <w:tcPr>
            <w:tcW w:w="1700" w:type="dxa"/>
            <w:vAlign w:val="center"/>
          </w:tcPr>
          <w:p>
            <w:pPr>
              <w:spacing w:before="30" w:after="30"/>
              <w:jc w:val="right"/>
            </w:pPr>
            <w:r>
              <w:rPr>
                <w:rFonts w:asciiTheme="minorHAnsi" w:hAnsiTheme="minorHAnsi"/>
                <w:b/>
                <w:bCs/>
                <w:sz w:val="17"/>
                <w:szCs w:val="17"/>
              </w:rPr>
              <w:t xml:space="preserve">3.950.000</w:t>
            </w:r>
          </w:p>
        </w:tc>
        <w:tc>
          <w:tcPr>
            <w:tcW w:w="1700" w:type="dxa"/>
            <w:vAlign w:val="center"/>
          </w:tcPr>
          <w:p>
            <w:pPr>
              <w:spacing w:before="30" w:after="30"/>
              <w:jc w:val="right"/>
            </w:pPr>
            <w:r>
              <w:rPr>
                <w:rFonts w:asciiTheme="minorHAnsi" w:hAnsiTheme="minorHAnsi"/>
                <w:b/>
                <w:bCs/>
                <w:sz w:val="17"/>
                <w:szCs w:val="17"/>
              </w:rPr>
              <w:t xml:space="preserve">5.269.981</w:t>
            </w:r>
          </w:p>
        </w:tc>
        <w:tc>
          <w:tcPr>
            <w:tcW w:w="1700" w:type="dxa"/>
            <w:vAlign w:val="center"/>
          </w:tcPr>
          <w:p>
            <w:pPr>
              <w:spacing w:before="30" w:after="30"/>
              <w:jc w:val="right"/>
            </w:pPr>
            <w:r>
              <w:rPr>
                <w:rFonts w:asciiTheme="minorHAnsi" w:hAnsiTheme="minorHAnsi"/>
                <w:b/>
                <w:bCs/>
                <w:sz w:val="17"/>
                <w:szCs w:val="17"/>
              </w:rPr>
              <w:t xml:space="preserve">+33,4 %</w:t>
            </w:r>
          </w:p>
        </w:tc>
        <w:tc>
          <w:tcPr>
            <w:tcW w:w="1400" w:type="dxa"/>
            <w:vAlign w:val="center"/>
          </w:tcPr>
          <w:p>
            <w:pPr>
              <w:spacing w:before="30" w:after="30"/>
              <w:jc w:val="right"/>
            </w:pPr>
            <w:r>
              <w:rPr>
                <w:rFonts w:asciiTheme="minorHAnsi" w:hAnsiTheme="minorHAnsi"/>
                <w:b/>
                <w:bCs/>
                <w:sz w:val="17"/>
                <w:szCs w:val="17"/>
              </w:rPr>
              <w:t xml:space="preserve">97</w:t>
            </w:r>
          </w:p>
        </w:tc>
      </w:tr>
    </w:tbl>
    <w:p>
      <w:pPr>
        <w:keepNext/>
        <w:spacing w:before="120" w:after="0"/>
        <w:jc w:val="center"/>
      </w:pPr>
      <w:r>
        <w:drawing>
          <wp:inline distT="0" distB="0" distL="0" distR="0">
            <wp:extent cx="5760000" cy="3360000"/>
            <wp:docPr id="1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pic:cNvPicPr/>
                  </pic:nvPicPr>
                  <pic:blipFill>
                    <a:blip r:embed="rIdFig1"/>
                    <a:stretch>
                      <a:fillRect/>
                    </a:stretch>
                  </pic:blipFill>
                  <pic:spPr>
                    <a:xfrm>
                      <a:off x="0" y="0"/>
                      <a:ext cx="5760000" cy="3360000"/>
                    </a:xfrm>
                    <a:prstGeom prst="rect">
                      <a:avLst/>
                    </a:prstGeom>
                  </pic:spPr>
                </pic:pic>
              </a:graphicData>
            </a:graphic>
          </wp:inline>
        </w:drawing>
      </w:r>
    </w:p>
    <w:p>
      <w:pPr>
        <w:spacing w:before="60" w:after="240"/>
        <w:jc w:val="center"/>
      </w:pPr>
      <w:r>
        <w:rPr>
          <w:rFonts w:asciiTheme="minorHAnsi" w:hAnsiTheme="minorHAnsi"/>
          <w:i/>
          <w:iCs/>
          <w:sz w:val="18"/>
          <w:szCs w:val="18"/>
        </w:rPr>
        <w:t xml:space="preserve">Figura 1: Confronto tra budget del Piano di Sviluppo e investimento realizzato per voce di budget (M€).</w:t>
      </w:r>
    </w:p>
    <w:p>
      <w:pPr>
        <w:keepNext/>
        <w:spacing w:before="200" w:after="80" w:line="360" w:lineRule="auto"/>
        <w:jc w:val="left"/>
      </w:pPr>
      <w:r>
        <w:rPr>
          <w:rFonts w:asciiTheme="minorHAnsi" w:hAnsiTheme="minorHAnsi"/>
          <w:b/>
          <w:bCs/>
          <w:color w:val="024C41"/>
          <w:sz w:val="26"/>
          <w:szCs w:val="26"/>
        </w:rPr>
        <w:t xml:space="preserve">3.2 Interventi realizzati per unità funzionale</w:t>
      </w:r>
    </w:p>
    <w:p>
      <w:pPr>
        <w:keepNext/>
        <w:spacing w:before="120" w:after="60" w:line="360" w:lineRule="auto"/>
        <w:jc w:val="left"/>
      </w:pPr>
      <w:r>
        <w:rPr>
          <w:rFonts w:asciiTheme="minorHAnsi" w:hAnsiTheme="minorHAnsi"/>
          <w:b/>
          <w:bCs/>
          <w:color w:val="00A98E"/>
          <w:sz w:val="22"/>
          <w:szCs w:val="22"/>
        </w:rPr>
        <w:t xml:space="preserve">UF1 – Preparazione impasto (unità M-2-S)</w:t>
      </w:r>
    </w:p>
    <w:p>
      <w:pPr>
        <w:spacing w:before="0" w:after="120" w:line="360" w:lineRule="auto"/>
        <w:ind w:firstLine="284"/>
        <w:jc w:val="both"/>
      </w:pPr>
      <w:r>
        <w:rPr>
          <w:rFonts w:asciiTheme="minorHAnsi" w:hAnsiTheme="minorHAnsi"/>
          <w:sz w:val="22"/>
          <w:szCs w:val="22"/>
        </w:rPr>
        <w:t xml:space="preserve">Nell’UF1 sono stati realizzati 14 interventi per 745.712 €, finalizzati a rendere l’unità make-to-stock capace di alimentare con continuità le unità M-2-O, come previsto dal modello dell’OR 6.7. Gli interventi principali riguardano gli impianti di trasporto pneumatico del polverino cotto e il relativo adeguamento delle tubazioni (331.502 €), i sistemi di stoccaggio e dosaggio, tra cui il nuovo silo PDM per il polverino cotto e i silos per il polverino crudo (274.310 €), e i gruppi di agitazione in vasca, la cernitrice magnetica e la motorizzazione (75.900 €). Di particolare rilievo per la Intelligent Factory è la strumentazione di misura (64.000 €): 15 sensori radar per il monitoraggio continuo dei livelli nei silos e un misuratore di umidità dell’impasto, che trasformano grandezze finora rilevate in modo discontinuo in flussi di dati disponibili al livello EDGE della piattaforma E2C</w:t>
      </w:r>
      <w:r>
        <w:rPr>
          <w:rFonts w:asciiTheme="minorHAnsi" w:hAnsiTheme="minorHAnsi"/>
          <w:sz w:val="22"/>
          <w:szCs w:val="22"/>
          <w:vertAlign w:val="superscript"/>
        </w:rPr>
        <w:footnoteReference w:id="4"/>
      </w:r>
      <w:r>
        <w:rPr>
          <w:rFonts w:asciiTheme="minorHAnsi" w:hAnsiTheme="minorHAnsi"/>
          <w:sz w:val="22"/>
          <w:szCs w:val="22"/>
        </w:rPr>
        <w:t xml:space="preserve">.</w:t>
      </w:r>
    </w:p>
    <w:p>
      <w:pPr>
        <w:keepNext/>
        <w:spacing w:before="120" w:after="60" w:line="360" w:lineRule="auto"/>
        <w:jc w:val="left"/>
      </w:pPr>
      <w:r>
        <w:rPr>
          <w:rFonts w:asciiTheme="minorHAnsi" w:hAnsiTheme="minorHAnsi"/>
          <w:b/>
          <w:bCs/>
          <w:color w:val="00A98E"/>
          <w:sz w:val="22"/>
          <w:szCs w:val="22"/>
        </w:rPr>
        <w:t xml:space="preserve">UF2 – Formatura e decorazione (unità M-2-O)</w:t>
      </w:r>
    </w:p>
    <w:p>
      <w:pPr>
        <w:spacing w:before="0" w:after="120" w:line="360" w:lineRule="auto"/>
        <w:ind w:firstLine="284"/>
        <w:jc w:val="both"/>
      </w:pPr>
      <w:r>
        <w:rPr>
          <w:rFonts w:asciiTheme="minorHAnsi" w:hAnsiTheme="minorHAnsi"/>
          <w:sz w:val="22"/>
          <w:szCs w:val="22"/>
        </w:rPr>
        <w:t xml:space="preserve">L’UF2 è l’unità con il maggior numero di interventi (37, per 1.928.650 €). Nel reparto di pressatura ed essiccazione (261.040 €) sono stati installati il nuovo essiccatoio ECP3070 (145.000 €), le modifiche agli essiccatoi esistenti (58.000 €), il revamping dell’automazione dei coloratori delle presse (31.916 €) e le attrezzature di formatura (tamponi, mascherine e griglie di caricamento) per i formati 60×60 e 80×80 (26.124 €). Nel reparto di smaltatura e decorazione (1.667.610 €) l’investimento si è concentrato sulla decorazione digitale, con la decoratrice digitale SACMI DDG1422 e la nuova piattaforma System Ceramics Creadigit Infinity con le relative testine (complessivamente 1.401.834 €). Sono state inoltre adeguate le linee di applicazione di smalti ed engobbi, con cabine airless, Glaze Station 4.0 con recupero e miscelazione, engobbiatore a rullo e gruppo dissolutore (142.900 €), mentre i dispositivi di controllo del flusso degli ugelli e della densità dell’engobbio (16.576 €) introducono il monitoraggio in linea di parametri critici per la qualità. Completano gli interventi i filtri di aspirazione della smalteria e il sistema di recupero del ghiaino (106.300 €).</w:t>
      </w:r>
    </w:p>
    <w:p>
      <w:pPr>
        <w:keepNext/>
        <w:spacing w:before="120" w:after="60" w:line="360" w:lineRule="auto"/>
        <w:jc w:val="left"/>
      </w:pPr>
      <w:r>
        <w:rPr>
          <w:rFonts w:asciiTheme="minorHAnsi" w:hAnsiTheme="minorHAnsi"/>
          <w:b/>
          <w:bCs/>
          <w:color w:val="00A98E"/>
          <w:sz w:val="22"/>
          <w:szCs w:val="22"/>
        </w:rPr>
        <w:t xml:space="preserve">UF3 – Cottura e stoccaggio (unità M-2-O)</w:t>
      </w:r>
    </w:p>
    <w:p>
      <w:pPr>
        <w:spacing w:before="0" w:after="120" w:line="360" w:lineRule="auto"/>
        <w:ind w:firstLine="284"/>
        <w:jc w:val="both"/>
      </w:pPr>
      <w:r>
        <w:rPr>
          <w:rFonts w:asciiTheme="minorHAnsi" w:hAnsiTheme="minorHAnsi"/>
          <w:sz w:val="22"/>
          <w:szCs w:val="22"/>
        </w:rPr>
        <w:t xml:space="preserve">Nell’UF3 sono stati realizzati 6 interventi per 319.900 €, tutti sul forno a rulli FMS: modifiche al forno (163.000 €), potenziamento del circuito di raffreddamento (82.500 €), sistema RVE di recupero del calore (70.000 €) e modifica del filtro dell’aria (4.400 €). Gli interventi rispondono sia alla flessibilità richiesta dalla produzione make-to-order sia all’efficienza energetica, in quanto il recupero del calore e la disponibilità di dati di processo sul forno sono presupposti per le strategie data-driven di riduzione dei consumi</w:t>
      </w:r>
      <w:r>
        <w:rPr>
          <w:rFonts w:asciiTheme="minorHAnsi" w:hAnsiTheme="minorHAnsi"/>
          <w:sz w:val="22"/>
          <w:szCs w:val="22"/>
          <w:vertAlign w:val="superscript"/>
        </w:rPr>
        <w:footnoteReference w:id="5"/>
      </w:r>
      <w:r>
        <w:rPr>
          <w:rFonts w:asciiTheme="minorHAnsi" w:hAnsiTheme="minorHAnsi"/>
          <w:sz w:val="22"/>
          <w:szCs w:val="22"/>
        </w:rPr>
        <w:t xml:space="preserve">.</w:t>
      </w:r>
    </w:p>
    <w:p>
      <w:pPr>
        <w:keepNext/>
        <w:spacing w:before="120" w:after="60" w:line="360" w:lineRule="auto"/>
        <w:jc w:val="left"/>
      </w:pPr>
      <w:r>
        <w:rPr>
          <w:rFonts w:asciiTheme="minorHAnsi" w:hAnsiTheme="minorHAnsi"/>
          <w:b/>
          <w:bCs/>
          <w:color w:val="00A98E"/>
          <w:sz w:val="22"/>
          <w:szCs w:val="22"/>
        </w:rPr>
        <w:t xml:space="preserve">UF4 – Rifinitura, scelta e logistica (unità M-2-O)</w:t>
      </w:r>
    </w:p>
    <w:p>
      <w:pPr>
        <w:spacing w:before="0" w:after="120" w:line="360" w:lineRule="auto"/>
        <w:ind w:firstLine="284"/>
        <w:jc w:val="both"/>
      </w:pPr>
      <w:r>
        <w:rPr>
          <w:rFonts w:asciiTheme="minorHAnsi" w:hAnsiTheme="minorHAnsi"/>
          <w:sz w:val="22"/>
          <w:szCs w:val="22"/>
        </w:rPr>
        <w:t xml:space="preserve">L’UF4 concentra il valore più elevato (30 interventi per 2.092.023 €). L’intervento principale è la realizzazione delle linee di rifinitura e rettifica a secco (1.582.795 €), con due linee BMR dotate di sistemi di visione a telecamere, due linee Medici, i relativi sistemi di aspirazione ed espulsione e uno sbavatore per la molatura degli spigoli. Le linee di scelta sono state aggiornate con quattro interventi System Ceramics (284.928 €) e il laboratorio si è dotato di uno scivolosimetro Dynamic Slip BCRA (6.000 €) per la caratterizzazione della resistenza allo scivolamento. Nel fine linea sono stati installati centratori meccanici per pallet, la gestione della reggiatrice, la modifica della macchina di carico e scarico e un manipolatore semi-automatico (157.100 €). Per la logistica outbound è stato acquisito un carrello rimorchio per l’hub di Fiorano (61.200 €). Le telecamere installate sulle linee di rettifica costituiscono la principale sorgente di dati di qualità in linea della Intelligent Factory.</w:t>
      </w:r>
    </w:p>
    <w:p>
      <w:pPr>
        <w:keepNext/>
        <w:spacing w:before="120" w:after="60" w:line="360" w:lineRule="auto"/>
        <w:jc w:val="left"/>
      </w:pPr>
      <w:r>
        <w:rPr>
          <w:rFonts w:asciiTheme="minorHAnsi" w:hAnsiTheme="minorHAnsi"/>
          <w:b/>
          <w:bCs/>
          <w:color w:val="00A98E"/>
          <w:sz w:val="22"/>
          <w:szCs w:val="22"/>
        </w:rPr>
        <w:t xml:space="preserve">Infrastruttura digitale trasversale</w:t>
      </w:r>
    </w:p>
    <w:p>
      <w:pPr>
        <w:spacing w:before="0" w:after="120" w:line="360" w:lineRule="auto"/>
        <w:ind w:firstLine="284"/>
        <w:jc w:val="both"/>
      </w:pPr>
      <w:r>
        <w:rPr>
          <w:rFonts w:asciiTheme="minorHAnsi" w:hAnsiTheme="minorHAnsi"/>
          <w:sz w:val="22"/>
          <w:szCs w:val="22"/>
        </w:rPr>
        <w:t xml:space="preserve">Gli interventi sull’infrastruttura digitale (10 interventi, 183.697 €) hanno rafforzato il livello EDGE e la rete su cui si appoggia la piattaforma E2C: apparati di rete Cisco 9300 (94.917 €), ampliamento della copertura Wi-Fi nel sito D060 e nel piazzale dell’hub di Fiorano (58.858 €), storage SSD ad alte prestazioni (12.310 €), terminali operatore e sensori (5.750 €) e componenti software per la sicurezza perimetrale e per il sistema di visione (11.861 €).</w:t>
      </w:r>
    </w:p>
    <w:p>
      <w:pPr>
        <w:keepNext/>
        <w:spacing w:before="200" w:after="80" w:line="360" w:lineRule="auto"/>
        <w:jc w:val="left"/>
      </w:pPr>
      <w:r>
        <w:rPr>
          <w:rFonts w:asciiTheme="minorHAnsi" w:hAnsiTheme="minorHAnsi"/>
          <w:b/>
          <w:bCs/>
          <w:color w:val="024C41"/>
          <w:sz w:val="26"/>
          <w:szCs w:val="26"/>
        </w:rPr>
        <w:t xml:space="preserve">3.3 Livello di avanzamento lavori</w:t>
      </w:r>
    </w:p>
    <w:p>
      <w:pPr>
        <w:spacing w:before="0" w:after="120" w:line="360" w:lineRule="auto"/>
        <w:ind w:firstLine="284"/>
        <w:jc w:val="both"/>
      </w:pPr>
      <w:r>
        <w:rPr>
          <w:rFonts w:asciiTheme="minorHAnsi" w:hAnsiTheme="minorHAnsi"/>
          <w:sz w:val="22"/>
          <w:szCs w:val="22"/>
        </w:rPr>
        <w:t xml:space="preserve">La Tabella 3 riporta il KPI di avanzamento per ciascuna unità funzionale alla data di riferimento del 31.10.2026. Tutte e quattro le UF raggiungono l’obiettivo del 90÷100 %: UF1 e UF3 risultano completate al 100 %, UF4 al 99,5 % e UF2 al 98,3 %. L’avanzamento complessivo, ponderato sul valore delle quattro UF (5.086.285 €), è pari al 99,2 %.</w:t>
      </w:r>
    </w:p>
    <w:p>
      <w:pPr>
        <w:keepNext/>
        <w:spacing w:before="120" w:after="60"/>
        <w:jc w:val="center"/>
      </w:pPr>
      <w:r>
        <w:rPr>
          <w:rFonts w:asciiTheme="minorHAnsi" w:hAnsiTheme="minorHAnsi"/>
          <w:i/>
          <w:iCs/>
          <w:sz w:val="18"/>
          <w:szCs w:val="18"/>
        </w:rPr>
        <w:t xml:space="preserve">Tabella 3: Livello di avanzamento lavori per unità funzionale al 31.10.2026.</w:t>
      </w:r>
    </w:p>
    <w:tbl>
      <w:tblPr>
        <w:tblStyle w:val="Grigliatabella"/>
        <w:tblW w:w="10400" w:type="dxa"/>
        <w:jc w:val="center"/>
        <w:tblBorders>
          <w:top w:val="single" w:sz="4" w:space="0" w:color="9A9890"/>
          <w:left w:val="nil"/>
          <w:bottom w:val="single" w:sz="4" w:space="0" w:color="9A9890"/>
          <w:right w:val="nil"/>
          <w:insideH w:val="single" w:sz="4" w:space="0" w:color="D9D8D2"/>
          <w:insideV w:val="nil"/>
        </w:tblBorders>
        <w:tblLayout w:type="fixed"/>
        <w:tblCellMar>
          <w:left w:w="80" w:type="dxa"/>
          <w:right w:w="80" w:type="dxa"/>
        </w:tblCellMar>
        <w:tblLook w:val="04A0" w:firstRow="1" w:lastRow="0" w:firstColumn="1" w:lastColumn="0" w:noHBand="0" w:noVBand="1"/>
      </w:tblPr>
      <w:tblGrid>
        <w:gridCol w:w="2900"/>
        <w:gridCol w:w="1150"/>
        <w:gridCol w:w="1350"/>
        <w:gridCol w:w="1100"/>
        <w:gridCol w:w="1250"/>
        <w:gridCol w:w="1350"/>
        <w:gridCol w:w="1300"/>
      </w:tblGrid>
      <w:tr>
        <w:trPr>
          <w:tblHeader/>
          <w:cantSplit/>
        </w:trPr>
        <w:tc>
          <w:tcPr>
            <w:tcW w:w="2900" w:type="dxa"/>
            <w:shd w:val="clear" w:color="auto" w:fill="024C41"/>
            <w:vAlign w:val="center"/>
          </w:tcPr>
          <w:p>
            <w:pPr>
              <w:keepNext/>
              <w:spacing w:before="30" w:after="30"/>
              <w:jc w:val="center"/>
            </w:pPr>
            <w:r>
              <w:rPr>
                <w:rFonts w:asciiTheme="minorHAnsi" w:hAnsiTheme="minorHAnsi"/>
                <w:b/>
                <w:bCs/>
                <w:color w:val="FFFFFF"/>
                <w:sz w:val="17"/>
                <w:szCs w:val="17"/>
              </w:rPr>
              <w:t xml:space="preserve">Unità funzionale</w:t>
            </w:r>
          </w:p>
        </w:tc>
        <w:tc>
          <w:tcPr>
            <w:tcW w:w="1150" w:type="dxa"/>
            <w:shd w:val="clear" w:color="auto" w:fill="024C41"/>
            <w:vAlign w:val="center"/>
          </w:tcPr>
          <w:p>
            <w:pPr>
              <w:keepNext/>
              <w:spacing w:before="30" w:after="30"/>
              <w:jc w:val="center"/>
            </w:pPr>
            <w:r>
              <w:rPr>
                <w:rFonts w:asciiTheme="minorHAnsi" w:hAnsiTheme="minorHAnsi"/>
                <w:b/>
                <w:bCs/>
                <w:color w:val="FFFFFF"/>
                <w:sz w:val="17"/>
                <w:szCs w:val="17"/>
              </w:rPr>
              <w:t xml:space="preserve">N° interventi</w:t>
            </w:r>
          </w:p>
        </w:tc>
        <w:tc>
          <w:tcPr>
            <w:tcW w:w="1350" w:type="dxa"/>
            <w:shd w:val="clear" w:color="auto" w:fill="024C41"/>
            <w:vAlign w:val="center"/>
          </w:tcPr>
          <w:p>
            <w:pPr>
              <w:keepNext/>
              <w:spacing w:before="30" w:after="30"/>
              <w:jc w:val="center"/>
            </w:pPr>
            <w:r>
              <w:rPr>
                <w:rFonts w:asciiTheme="minorHAnsi" w:hAnsiTheme="minorHAnsi"/>
                <w:b/>
                <w:bCs/>
                <w:color w:val="FFFFFF"/>
                <w:sz w:val="17"/>
                <w:szCs w:val="17"/>
              </w:rPr>
              <w:t xml:space="preserve">Valore (€)</w:t>
            </w:r>
          </w:p>
        </w:tc>
        <w:tc>
          <w:tcPr>
            <w:tcW w:w="1100" w:type="dxa"/>
            <w:shd w:val="clear" w:color="auto" w:fill="024C41"/>
            <w:vAlign w:val="center"/>
          </w:tcPr>
          <w:p>
            <w:pPr>
              <w:keepNext/>
              <w:spacing w:before="30" w:after="30"/>
              <w:jc w:val="center"/>
            </w:pPr>
            <w:r>
              <w:rPr>
                <w:rFonts w:asciiTheme="minorHAnsi" w:hAnsiTheme="minorHAnsi"/>
                <w:b/>
                <w:bCs/>
                <w:color w:val="FFFFFF"/>
                <w:sz w:val="17"/>
                <w:szCs w:val="17"/>
              </w:rPr>
              <w:t xml:space="preserve">Baseline</w:t>
            </w:r>
          </w:p>
        </w:tc>
        <w:tc>
          <w:tcPr>
            <w:tcW w:w="1250" w:type="dxa"/>
            <w:shd w:val="clear" w:color="auto" w:fill="024C41"/>
            <w:vAlign w:val="center"/>
          </w:tcPr>
          <w:p>
            <w:pPr>
              <w:keepNext/>
              <w:spacing w:before="30" w:after="30"/>
              <w:jc w:val="center"/>
            </w:pPr>
            <w:r>
              <w:rPr>
                <w:rFonts w:asciiTheme="minorHAnsi" w:hAnsiTheme="minorHAnsi"/>
                <w:b/>
                <w:bCs/>
                <w:color w:val="FFFFFF"/>
                <w:sz w:val="17"/>
                <w:szCs w:val="17"/>
              </w:rPr>
              <w:t xml:space="preserve">Obiettivo</w:t>
            </w:r>
          </w:p>
        </w:tc>
        <w:tc>
          <w:tcPr>
            <w:tcW w:w="1350" w:type="dxa"/>
            <w:shd w:val="clear" w:color="auto" w:fill="024C41"/>
            <w:vAlign w:val="center"/>
          </w:tcPr>
          <w:p>
            <w:pPr>
              <w:keepNext/>
              <w:spacing w:before="30" w:after="30"/>
              <w:jc w:val="center"/>
            </w:pPr>
            <w:r>
              <w:rPr>
                <w:rFonts w:asciiTheme="minorHAnsi" w:hAnsiTheme="minorHAnsi"/>
                <w:b/>
                <w:bCs/>
                <w:color w:val="FFFFFF"/>
                <w:sz w:val="17"/>
                <w:szCs w:val="17"/>
              </w:rPr>
              <w:t xml:space="preserve">Avanzamento</w:t>
            </w:r>
          </w:p>
        </w:tc>
        <w:tc>
          <w:tcPr>
            <w:tcW w:w="1300" w:type="dxa"/>
            <w:shd w:val="clear" w:color="auto" w:fill="024C41"/>
            <w:vAlign w:val="center"/>
          </w:tcPr>
          <w:p>
            <w:pPr>
              <w:keepNext/>
              <w:spacing w:before="30" w:after="30"/>
              <w:jc w:val="center"/>
            </w:pPr>
            <w:r>
              <w:rPr>
                <w:rFonts w:asciiTheme="minorHAnsi" w:hAnsiTheme="minorHAnsi"/>
                <w:b/>
                <w:bCs/>
                <w:color w:val="FFFFFF"/>
                <w:sz w:val="17"/>
                <w:szCs w:val="17"/>
              </w:rPr>
              <w:t xml:space="preserve">Esito</w:t>
            </w:r>
          </w:p>
        </w:tc>
      </w:tr>
      <w:tr>
        <w:trPr>
          <w:cantSplit/>
        </w:trPr>
        <w:tc>
          <w:tcPr>
            <w:tcW w:w="2900" w:type="dxa"/>
            <w:vAlign w:val="center"/>
          </w:tcPr>
          <w:p>
            <w:pPr>
              <w:keepNext/>
              <w:spacing w:before="30" w:after="30"/>
              <w:jc w:val="left"/>
            </w:pPr>
            <w:r>
              <w:rPr>
                <w:rFonts w:asciiTheme="minorHAnsi" w:hAnsiTheme="minorHAnsi"/>
                <w:sz w:val="17"/>
                <w:szCs w:val="17"/>
              </w:rPr>
              <w:t xml:space="preserve">UF1 Preparazione impasto</w:t>
            </w:r>
          </w:p>
        </w:tc>
        <w:tc>
          <w:tcPr>
            <w:tcW w:w="1150" w:type="dxa"/>
            <w:vAlign w:val="center"/>
          </w:tcPr>
          <w:p>
            <w:pPr>
              <w:keepNext/>
              <w:spacing w:before="30" w:after="30"/>
              <w:jc w:val="right"/>
            </w:pPr>
            <w:r>
              <w:rPr>
                <w:rFonts w:asciiTheme="minorHAnsi" w:hAnsiTheme="minorHAnsi"/>
                <w:sz w:val="17"/>
                <w:szCs w:val="17"/>
              </w:rPr>
              <w:t xml:space="preserve">14</w:t>
            </w:r>
          </w:p>
        </w:tc>
        <w:tc>
          <w:tcPr>
            <w:tcW w:w="1350" w:type="dxa"/>
            <w:vAlign w:val="center"/>
          </w:tcPr>
          <w:p>
            <w:pPr>
              <w:keepNext/>
              <w:spacing w:before="30" w:after="30"/>
              <w:jc w:val="right"/>
            </w:pPr>
            <w:r>
              <w:rPr>
                <w:rFonts w:asciiTheme="minorHAnsi" w:hAnsiTheme="minorHAnsi"/>
                <w:sz w:val="17"/>
                <w:szCs w:val="17"/>
              </w:rPr>
              <w:t xml:space="preserve">745.712</w:t>
            </w:r>
          </w:p>
        </w:tc>
        <w:tc>
          <w:tcPr>
            <w:tcW w:w="1100" w:type="dxa"/>
            <w:vAlign w:val="center"/>
          </w:tcPr>
          <w:p>
            <w:pPr>
              <w:keepNext/>
              <w:spacing w:before="30" w:after="30"/>
              <w:jc w:val="center"/>
            </w:pPr>
            <w:r>
              <w:rPr>
                <w:rFonts w:asciiTheme="minorHAnsi" w:hAnsiTheme="minorHAnsi"/>
                <w:sz w:val="17"/>
                <w:szCs w:val="17"/>
              </w:rPr>
              <w:t xml:space="preserve">0,0 %</w:t>
            </w:r>
          </w:p>
        </w:tc>
        <w:tc>
          <w:tcPr>
            <w:tcW w:w="1250" w:type="dxa"/>
            <w:vAlign w:val="center"/>
          </w:tcPr>
          <w:p>
            <w:pPr>
              <w:keepNext/>
              <w:spacing w:before="30" w:after="30"/>
              <w:jc w:val="center"/>
            </w:pPr>
            <w:r>
              <w:rPr>
                <w:rFonts w:asciiTheme="minorHAnsi" w:hAnsiTheme="minorHAnsi"/>
                <w:sz w:val="17"/>
                <w:szCs w:val="17"/>
              </w:rPr>
              <w:t xml:space="preserve">90÷100 %</w:t>
            </w:r>
          </w:p>
        </w:tc>
        <w:tc>
          <w:tcPr>
            <w:tcW w:w="1350" w:type="dxa"/>
            <w:vAlign w:val="center"/>
          </w:tcPr>
          <w:p>
            <w:pPr>
              <w:keepNext/>
              <w:spacing w:before="30" w:after="30"/>
              <w:jc w:val="right"/>
            </w:pPr>
            <w:r>
              <w:rPr>
                <w:rFonts w:asciiTheme="minorHAnsi" w:hAnsiTheme="minorHAnsi"/>
                <w:sz w:val="17"/>
                <w:szCs w:val="17"/>
              </w:rPr>
              <w:t xml:space="preserve">100,0 %</w:t>
            </w:r>
          </w:p>
        </w:tc>
        <w:tc>
          <w:tcPr>
            <w:tcW w:w="1300" w:type="dxa"/>
            <w:vAlign w:val="center"/>
          </w:tcPr>
          <w:p>
            <w:pPr>
              <w:keepNext/>
              <w:spacing w:before="30" w:after="30"/>
              <w:jc w:val="center"/>
            </w:pPr>
            <w:r>
              <w:rPr>
                <w:rFonts w:asciiTheme="minorHAnsi" w:hAnsiTheme="minorHAnsi"/>
                <w:sz w:val="17"/>
                <w:szCs w:val="17"/>
              </w:rPr>
              <w:t xml:space="preserve">Raggiunto</w:t>
            </w:r>
          </w:p>
        </w:tc>
      </w:tr>
      <w:tr>
        <w:trPr>
          <w:cantSplit/>
        </w:trPr>
        <w:tc>
          <w:tcPr>
            <w:tcW w:w="2900" w:type="dxa"/>
            <w:vAlign w:val="center"/>
          </w:tcPr>
          <w:p>
            <w:pPr>
              <w:keepNext/>
              <w:spacing w:before="30" w:after="30"/>
              <w:jc w:val="left"/>
            </w:pPr>
            <w:r>
              <w:rPr>
                <w:rFonts w:asciiTheme="minorHAnsi" w:hAnsiTheme="minorHAnsi"/>
                <w:sz w:val="17"/>
                <w:szCs w:val="17"/>
              </w:rPr>
              <w:t xml:space="preserve">UF2 Formatura e decorazione</w:t>
            </w:r>
          </w:p>
        </w:tc>
        <w:tc>
          <w:tcPr>
            <w:tcW w:w="1150" w:type="dxa"/>
            <w:vAlign w:val="center"/>
          </w:tcPr>
          <w:p>
            <w:pPr>
              <w:keepNext/>
              <w:spacing w:before="30" w:after="30"/>
              <w:jc w:val="right"/>
            </w:pPr>
            <w:r>
              <w:rPr>
                <w:rFonts w:asciiTheme="minorHAnsi" w:hAnsiTheme="minorHAnsi"/>
                <w:sz w:val="17"/>
                <w:szCs w:val="17"/>
              </w:rPr>
              <w:t xml:space="preserve">37</w:t>
            </w:r>
          </w:p>
        </w:tc>
        <w:tc>
          <w:tcPr>
            <w:tcW w:w="1350" w:type="dxa"/>
            <w:vAlign w:val="center"/>
          </w:tcPr>
          <w:p>
            <w:pPr>
              <w:keepNext/>
              <w:spacing w:before="30" w:after="30"/>
              <w:jc w:val="right"/>
            </w:pPr>
            <w:r>
              <w:rPr>
                <w:rFonts w:asciiTheme="minorHAnsi" w:hAnsiTheme="minorHAnsi"/>
                <w:sz w:val="17"/>
                <w:szCs w:val="17"/>
              </w:rPr>
              <w:t xml:space="preserve">1.928.650</w:t>
            </w:r>
          </w:p>
        </w:tc>
        <w:tc>
          <w:tcPr>
            <w:tcW w:w="1100" w:type="dxa"/>
            <w:vAlign w:val="center"/>
          </w:tcPr>
          <w:p>
            <w:pPr>
              <w:keepNext/>
              <w:spacing w:before="30" w:after="30"/>
              <w:jc w:val="center"/>
            </w:pPr>
            <w:r>
              <w:rPr>
                <w:rFonts w:asciiTheme="minorHAnsi" w:hAnsiTheme="minorHAnsi"/>
                <w:sz w:val="17"/>
                <w:szCs w:val="17"/>
              </w:rPr>
              <w:t xml:space="preserve">0,0 %</w:t>
            </w:r>
          </w:p>
        </w:tc>
        <w:tc>
          <w:tcPr>
            <w:tcW w:w="1250" w:type="dxa"/>
            <w:vAlign w:val="center"/>
          </w:tcPr>
          <w:p>
            <w:pPr>
              <w:keepNext/>
              <w:spacing w:before="30" w:after="30"/>
              <w:jc w:val="center"/>
            </w:pPr>
            <w:r>
              <w:rPr>
                <w:rFonts w:asciiTheme="minorHAnsi" w:hAnsiTheme="minorHAnsi"/>
                <w:sz w:val="17"/>
                <w:szCs w:val="17"/>
              </w:rPr>
              <w:t xml:space="preserve">90÷100 %</w:t>
            </w:r>
          </w:p>
        </w:tc>
        <w:tc>
          <w:tcPr>
            <w:tcW w:w="1350" w:type="dxa"/>
            <w:vAlign w:val="center"/>
          </w:tcPr>
          <w:p>
            <w:pPr>
              <w:keepNext/>
              <w:spacing w:before="30" w:after="30"/>
              <w:jc w:val="right"/>
            </w:pPr>
            <w:r>
              <w:rPr>
                <w:rFonts w:asciiTheme="minorHAnsi" w:hAnsiTheme="minorHAnsi"/>
                <w:sz w:val="17"/>
                <w:szCs w:val="17"/>
              </w:rPr>
              <w:t xml:space="preserve">98,3 %</w:t>
            </w:r>
          </w:p>
        </w:tc>
        <w:tc>
          <w:tcPr>
            <w:tcW w:w="1300" w:type="dxa"/>
            <w:vAlign w:val="center"/>
          </w:tcPr>
          <w:p>
            <w:pPr>
              <w:keepNext/>
              <w:spacing w:before="30" w:after="30"/>
              <w:jc w:val="center"/>
            </w:pPr>
            <w:r>
              <w:rPr>
                <w:rFonts w:asciiTheme="minorHAnsi" w:hAnsiTheme="minorHAnsi"/>
                <w:sz w:val="17"/>
                <w:szCs w:val="17"/>
              </w:rPr>
              <w:t xml:space="preserve">Raggiunto</w:t>
            </w:r>
          </w:p>
        </w:tc>
      </w:tr>
      <w:tr>
        <w:trPr>
          <w:cantSplit/>
        </w:trPr>
        <w:tc>
          <w:tcPr>
            <w:tcW w:w="2900" w:type="dxa"/>
            <w:vAlign w:val="center"/>
          </w:tcPr>
          <w:p>
            <w:pPr>
              <w:keepNext/>
              <w:spacing w:before="30" w:after="30"/>
              <w:jc w:val="left"/>
            </w:pPr>
            <w:r>
              <w:rPr>
                <w:rFonts w:asciiTheme="minorHAnsi" w:hAnsiTheme="minorHAnsi"/>
                <w:sz w:val="17"/>
                <w:szCs w:val="17"/>
              </w:rPr>
              <w:t xml:space="preserve">UF3 Cottura e stoccaggio</w:t>
            </w:r>
          </w:p>
        </w:tc>
        <w:tc>
          <w:tcPr>
            <w:tcW w:w="1150" w:type="dxa"/>
            <w:vAlign w:val="center"/>
          </w:tcPr>
          <w:p>
            <w:pPr>
              <w:keepNext/>
              <w:spacing w:before="30" w:after="30"/>
              <w:jc w:val="right"/>
            </w:pPr>
            <w:r>
              <w:rPr>
                <w:rFonts w:asciiTheme="minorHAnsi" w:hAnsiTheme="minorHAnsi"/>
                <w:sz w:val="17"/>
                <w:szCs w:val="17"/>
              </w:rPr>
              <w:t xml:space="preserve">6</w:t>
            </w:r>
          </w:p>
        </w:tc>
        <w:tc>
          <w:tcPr>
            <w:tcW w:w="1350" w:type="dxa"/>
            <w:vAlign w:val="center"/>
          </w:tcPr>
          <w:p>
            <w:pPr>
              <w:keepNext/>
              <w:spacing w:before="30" w:after="30"/>
              <w:jc w:val="right"/>
            </w:pPr>
            <w:r>
              <w:rPr>
                <w:rFonts w:asciiTheme="minorHAnsi" w:hAnsiTheme="minorHAnsi"/>
                <w:sz w:val="17"/>
                <w:szCs w:val="17"/>
              </w:rPr>
              <w:t xml:space="preserve">319.900</w:t>
            </w:r>
          </w:p>
        </w:tc>
        <w:tc>
          <w:tcPr>
            <w:tcW w:w="1100" w:type="dxa"/>
            <w:vAlign w:val="center"/>
          </w:tcPr>
          <w:p>
            <w:pPr>
              <w:keepNext/>
              <w:spacing w:before="30" w:after="30"/>
              <w:jc w:val="center"/>
            </w:pPr>
            <w:r>
              <w:rPr>
                <w:rFonts w:asciiTheme="minorHAnsi" w:hAnsiTheme="minorHAnsi"/>
                <w:sz w:val="17"/>
                <w:szCs w:val="17"/>
              </w:rPr>
              <w:t xml:space="preserve">0,0 %</w:t>
            </w:r>
          </w:p>
        </w:tc>
        <w:tc>
          <w:tcPr>
            <w:tcW w:w="1250" w:type="dxa"/>
            <w:vAlign w:val="center"/>
          </w:tcPr>
          <w:p>
            <w:pPr>
              <w:keepNext/>
              <w:spacing w:before="30" w:after="30"/>
              <w:jc w:val="center"/>
            </w:pPr>
            <w:r>
              <w:rPr>
                <w:rFonts w:asciiTheme="minorHAnsi" w:hAnsiTheme="minorHAnsi"/>
                <w:sz w:val="17"/>
                <w:szCs w:val="17"/>
              </w:rPr>
              <w:t xml:space="preserve">90÷100 %</w:t>
            </w:r>
          </w:p>
        </w:tc>
        <w:tc>
          <w:tcPr>
            <w:tcW w:w="1350" w:type="dxa"/>
            <w:vAlign w:val="center"/>
          </w:tcPr>
          <w:p>
            <w:pPr>
              <w:keepNext/>
              <w:spacing w:before="30" w:after="30"/>
              <w:jc w:val="right"/>
            </w:pPr>
            <w:r>
              <w:rPr>
                <w:rFonts w:asciiTheme="minorHAnsi" w:hAnsiTheme="minorHAnsi"/>
                <w:sz w:val="17"/>
                <w:szCs w:val="17"/>
              </w:rPr>
              <w:t xml:space="preserve">100,0 %</w:t>
            </w:r>
          </w:p>
        </w:tc>
        <w:tc>
          <w:tcPr>
            <w:tcW w:w="1300" w:type="dxa"/>
            <w:vAlign w:val="center"/>
          </w:tcPr>
          <w:p>
            <w:pPr>
              <w:keepNext/>
              <w:spacing w:before="30" w:after="30"/>
              <w:jc w:val="center"/>
            </w:pPr>
            <w:r>
              <w:rPr>
                <w:rFonts w:asciiTheme="minorHAnsi" w:hAnsiTheme="minorHAnsi"/>
                <w:sz w:val="17"/>
                <w:szCs w:val="17"/>
              </w:rPr>
              <w:t xml:space="preserve">Raggiunto</w:t>
            </w:r>
          </w:p>
        </w:tc>
      </w:tr>
      <w:tr>
        <w:trPr>
          <w:cantSplit/>
        </w:trPr>
        <w:tc>
          <w:tcPr>
            <w:tcW w:w="2900" w:type="dxa"/>
            <w:vAlign w:val="center"/>
          </w:tcPr>
          <w:p>
            <w:pPr>
              <w:keepNext/>
              <w:spacing w:before="30" w:after="30"/>
              <w:jc w:val="left"/>
            </w:pPr>
            <w:r>
              <w:rPr>
                <w:rFonts w:asciiTheme="minorHAnsi" w:hAnsiTheme="minorHAnsi"/>
                <w:sz w:val="17"/>
                <w:szCs w:val="17"/>
              </w:rPr>
              <w:t xml:space="preserve">UF4 Rifinitura, scelta e logistica</w:t>
            </w:r>
          </w:p>
        </w:tc>
        <w:tc>
          <w:tcPr>
            <w:tcW w:w="1150" w:type="dxa"/>
            <w:vAlign w:val="center"/>
          </w:tcPr>
          <w:p>
            <w:pPr>
              <w:keepNext/>
              <w:spacing w:before="30" w:after="30"/>
              <w:jc w:val="right"/>
            </w:pPr>
            <w:r>
              <w:rPr>
                <w:rFonts w:asciiTheme="minorHAnsi" w:hAnsiTheme="minorHAnsi"/>
                <w:sz w:val="17"/>
                <w:szCs w:val="17"/>
              </w:rPr>
              <w:t xml:space="preserve">30</w:t>
            </w:r>
          </w:p>
        </w:tc>
        <w:tc>
          <w:tcPr>
            <w:tcW w:w="1350" w:type="dxa"/>
            <w:vAlign w:val="center"/>
          </w:tcPr>
          <w:p>
            <w:pPr>
              <w:keepNext/>
              <w:spacing w:before="30" w:after="30"/>
              <w:jc w:val="right"/>
            </w:pPr>
            <w:r>
              <w:rPr>
                <w:rFonts w:asciiTheme="minorHAnsi" w:hAnsiTheme="minorHAnsi"/>
                <w:sz w:val="17"/>
                <w:szCs w:val="17"/>
              </w:rPr>
              <w:t xml:space="preserve">2.092.023</w:t>
            </w:r>
          </w:p>
        </w:tc>
        <w:tc>
          <w:tcPr>
            <w:tcW w:w="1100" w:type="dxa"/>
            <w:vAlign w:val="center"/>
          </w:tcPr>
          <w:p>
            <w:pPr>
              <w:keepNext/>
              <w:spacing w:before="30" w:after="30"/>
              <w:jc w:val="center"/>
            </w:pPr>
            <w:r>
              <w:rPr>
                <w:rFonts w:asciiTheme="minorHAnsi" w:hAnsiTheme="minorHAnsi"/>
                <w:sz w:val="17"/>
                <w:szCs w:val="17"/>
              </w:rPr>
              <w:t xml:space="preserve">0,0 %</w:t>
            </w:r>
          </w:p>
        </w:tc>
        <w:tc>
          <w:tcPr>
            <w:tcW w:w="1250" w:type="dxa"/>
            <w:vAlign w:val="center"/>
          </w:tcPr>
          <w:p>
            <w:pPr>
              <w:keepNext/>
              <w:spacing w:before="30" w:after="30"/>
              <w:jc w:val="center"/>
            </w:pPr>
            <w:r>
              <w:rPr>
                <w:rFonts w:asciiTheme="minorHAnsi" w:hAnsiTheme="minorHAnsi"/>
                <w:sz w:val="17"/>
                <w:szCs w:val="17"/>
              </w:rPr>
              <w:t xml:space="preserve">90÷100 %</w:t>
            </w:r>
          </w:p>
        </w:tc>
        <w:tc>
          <w:tcPr>
            <w:tcW w:w="1350" w:type="dxa"/>
            <w:vAlign w:val="center"/>
          </w:tcPr>
          <w:p>
            <w:pPr>
              <w:keepNext/>
              <w:spacing w:before="30" w:after="30"/>
              <w:jc w:val="right"/>
            </w:pPr>
            <w:r>
              <w:rPr>
                <w:rFonts w:asciiTheme="minorHAnsi" w:hAnsiTheme="minorHAnsi"/>
                <w:sz w:val="17"/>
                <w:szCs w:val="17"/>
              </w:rPr>
              <w:t xml:space="preserve">99,5 %</w:t>
            </w:r>
          </w:p>
        </w:tc>
        <w:tc>
          <w:tcPr>
            <w:tcW w:w="1300" w:type="dxa"/>
            <w:vAlign w:val="center"/>
          </w:tcPr>
          <w:p>
            <w:pPr>
              <w:keepNext/>
              <w:spacing w:before="30" w:after="30"/>
              <w:jc w:val="center"/>
            </w:pPr>
            <w:r>
              <w:rPr>
                <w:rFonts w:asciiTheme="minorHAnsi" w:hAnsiTheme="minorHAnsi"/>
                <w:sz w:val="17"/>
                <w:szCs w:val="17"/>
              </w:rPr>
              <w:t xml:space="preserve">Raggiunto</w:t>
            </w:r>
          </w:p>
        </w:tc>
      </w:tr>
      <w:tr>
        <w:trPr>
          <w:cantSplit/>
        </w:trPr>
        <w:tc>
          <w:tcPr>
            <w:tcW w:w="2900" w:type="dxa"/>
            <w:vAlign w:val="center"/>
          </w:tcPr>
          <w:p>
            <w:pPr>
              <w:keepNext/>
              <w:spacing w:before="30" w:after="30"/>
              <w:jc w:val="left"/>
            </w:pPr>
            <w:r>
              <w:rPr>
                <w:rFonts w:asciiTheme="minorHAnsi" w:hAnsiTheme="minorHAnsi"/>
                <w:sz w:val="17"/>
                <w:szCs w:val="17"/>
              </w:rPr>
              <w:t xml:space="preserve">Totale UF1÷UF4</w:t>
            </w:r>
          </w:p>
        </w:tc>
        <w:tc>
          <w:tcPr>
            <w:tcW w:w="1150" w:type="dxa"/>
            <w:vAlign w:val="center"/>
          </w:tcPr>
          <w:p>
            <w:pPr>
              <w:keepNext/>
              <w:spacing w:before="30" w:after="30"/>
              <w:jc w:val="right"/>
            </w:pPr>
            <w:r>
              <w:rPr>
                <w:rFonts w:asciiTheme="minorHAnsi" w:hAnsiTheme="minorHAnsi"/>
                <w:sz w:val="17"/>
                <w:szCs w:val="17"/>
              </w:rPr>
              <w:t xml:space="preserve">87</w:t>
            </w:r>
          </w:p>
        </w:tc>
        <w:tc>
          <w:tcPr>
            <w:tcW w:w="1350" w:type="dxa"/>
            <w:vAlign w:val="center"/>
          </w:tcPr>
          <w:p>
            <w:pPr>
              <w:keepNext/>
              <w:spacing w:before="30" w:after="30"/>
              <w:jc w:val="right"/>
            </w:pPr>
            <w:r>
              <w:rPr>
                <w:rFonts w:asciiTheme="minorHAnsi" w:hAnsiTheme="minorHAnsi"/>
                <w:sz w:val="17"/>
                <w:szCs w:val="17"/>
              </w:rPr>
              <w:t xml:space="preserve">5.086.285</w:t>
            </w:r>
          </w:p>
        </w:tc>
        <w:tc>
          <w:tcPr>
            <w:tcW w:w="1100" w:type="dxa"/>
            <w:vAlign w:val="center"/>
          </w:tcPr>
          <w:p>
            <w:pPr>
              <w:keepNext/>
              <w:spacing w:before="30" w:after="30"/>
              <w:jc w:val="center"/>
            </w:pPr>
            <w:r>
              <w:rPr>
                <w:rFonts w:asciiTheme="minorHAnsi" w:hAnsiTheme="minorHAnsi"/>
                <w:sz w:val="17"/>
                <w:szCs w:val="17"/>
              </w:rPr>
              <w:t xml:space="preserve">0,0 %</w:t>
            </w:r>
          </w:p>
        </w:tc>
        <w:tc>
          <w:tcPr>
            <w:tcW w:w="1250" w:type="dxa"/>
            <w:vAlign w:val="center"/>
          </w:tcPr>
          <w:p>
            <w:pPr>
              <w:keepNext/>
              <w:spacing w:before="30" w:after="30"/>
              <w:jc w:val="center"/>
            </w:pPr>
            <w:r>
              <w:rPr>
                <w:rFonts w:asciiTheme="minorHAnsi" w:hAnsiTheme="minorHAnsi"/>
                <w:sz w:val="17"/>
                <w:szCs w:val="17"/>
              </w:rPr>
              <w:t xml:space="preserve">90÷100 %</w:t>
            </w:r>
          </w:p>
        </w:tc>
        <w:tc>
          <w:tcPr>
            <w:tcW w:w="1350" w:type="dxa"/>
            <w:vAlign w:val="center"/>
          </w:tcPr>
          <w:p>
            <w:pPr>
              <w:keepNext/>
              <w:spacing w:before="30" w:after="30"/>
              <w:jc w:val="right"/>
            </w:pPr>
            <w:r>
              <w:rPr>
                <w:rFonts w:asciiTheme="minorHAnsi" w:hAnsiTheme="minorHAnsi"/>
                <w:sz w:val="17"/>
                <w:szCs w:val="17"/>
              </w:rPr>
              <w:t xml:space="preserve">99,2 %</w:t>
            </w:r>
          </w:p>
        </w:tc>
        <w:tc>
          <w:tcPr>
            <w:tcW w:w="1300" w:type="dxa"/>
            <w:vAlign w:val="center"/>
          </w:tcPr>
          <w:p>
            <w:pPr>
              <w:keepNext/>
              <w:spacing w:before="30" w:after="30"/>
              <w:jc w:val="center"/>
            </w:pPr>
            <w:r>
              <w:rPr>
                <w:rFonts w:asciiTheme="minorHAnsi" w:hAnsiTheme="minorHAnsi"/>
                <w:sz w:val="17"/>
                <w:szCs w:val="17"/>
              </w:rPr>
              <w:t xml:space="preserve">Raggiunto</w:t>
            </w:r>
          </w:p>
        </w:tc>
      </w:tr>
      <w:tr>
        <w:trPr>
          <w:cantSplit/>
        </w:trPr>
        <w:tc>
          <w:tcPr>
            <w:tcW w:w="2900" w:type="dxa"/>
            <w:vAlign w:val="center"/>
          </w:tcPr>
          <w:p>
            <w:pPr>
              <w:spacing w:before="30" w:after="30"/>
              <w:jc w:val="left"/>
            </w:pPr>
            <w:r>
              <w:rPr>
                <w:rFonts w:asciiTheme="minorHAnsi" w:hAnsiTheme="minorHAnsi"/>
                <w:sz w:val="17"/>
                <w:szCs w:val="17"/>
              </w:rPr>
              <w:t xml:space="preserve">Infrastruttura digitale</w:t>
            </w:r>
          </w:p>
        </w:tc>
        <w:tc>
          <w:tcPr>
            <w:tcW w:w="1150" w:type="dxa"/>
            <w:vAlign w:val="center"/>
          </w:tcPr>
          <w:p>
            <w:pPr>
              <w:spacing w:before="30" w:after="30"/>
              <w:jc w:val="right"/>
            </w:pPr>
            <w:r>
              <w:rPr>
                <w:rFonts w:asciiTheme="minorHAnsi" w:hAnsiTheme="minorHAnsi"/>
                <w:sz w:val="17"/>
                <w:szCs w:val="17"/>
              </w:rPr>
              <w:t xml:space="preserve">10</w:t>
            </w:r>
          </w:p>
        </w:tc>
        <w:tc>
          <w:tcPr>
            <w:tcW w:w="1350" w:type="dxa"/>
            <w:vAlign w:val="center"/>
          </w:tcPr>
          <w:p>
            <w:pPr>
              <w:spacing w:before="30" w:after="30"/>
              <w:jc w:val="right"/>
            </w:pPr>
            <w:r>
              <w:rPr>
                <w:rFonts w:asciiTheme="minorHAnsi" w:hAnsiTheme="minorHAnsi"/>
                <w:sz w:val="17"/>
                <w:szCs w:val="17"/>
              </w:rPr>
              <w:t xml:space="preserve">183.697</w:t>
            </w:r>
          </w:p>
        </w:tc>
        <w:tc>
          <w:tcPr>
            <w:tcW w:w="1100" w:type="dxa"/>
            <w:vAlign w:val="center"/>
          </w:tcPr>
          <w:p>
            <w:pPr>
              <w:spacing w:before="30" w:after="30"/>
              <w:jc w:val="center"/>
            </w:pPr>
            <w:r>
              <w:rPr>
                <w:rFonts w:asciiTheme="minorHAnsi" w:hAnsiTheme="minorHAnsi"/>
                <w:sz w:val="17"/>
                <w:szCs w:val="17"/>
              </w:rPr>
              <w:t xml:space="preserve">—</w:t>
            </w:r>
          </w:p>
        </w:tc>
        <w:tc>
          <w:tcPr>
            <w:tcW w:w="1250" w:type="dxa"/>
            <w:vAlign w:val="center"/>
          </w:tcPr>
          <w:p>
            <w:pPr>
              <w:spacing w:before="30" w:after="30"/>
              <w:jc w:val="center"/>
            </w:pPr>
            <w:r>
              <w:rPr>
                <w:rFonts w:asciiTheme="minorHAnsi" w:hAnsiTheme="minorHAnsi"/>
                <w:sz w:val="17"/>
                <w:szCs w:val="17"/>
              </w:rPr>
              <w:t xml:space="preserve">—</w:t>
            </w:r>
          </w:p>
        </w:tc>
        <w:tc>
          <w:tcPr>
            <w:tcW w:w="1350" w:type="dxa"/>
            <w:vAlign w:val="center"/>
          </w:tcPr>
          <w:p>
            <w:pPr>
              <w:spacing w:before="30" w:after="30"/>
              <w:jc w:val="right"/>
            </w:pPr>
            <w:r>
              <w:rPr>
                <w:rFonts w:asciiTheme="minorHAnsi" w:hAnsiTheme="minorHAnsi"/>
                <w:sz w:val="17"/>
                <w:szCs w:val="17"/>
              </w:rPr>
              <w:t xml:space="preserve">100,0 %</w:t>
            </w:r>
          </w:p>
        </w:tc>
        <w:tc>
          <w:tcPr>
            <w:tcW w:w="1300" w:type="dxa"/>
            <w:vAlign w:val="center"/>
          </w:tcPr>
          <w:p>
            <w:pPr>
              <w:spacing w:before="30" w:after="30"/>
              <w:jc w:val="center"/>
            </w:pPr>
            <w:r>
              <w:rPr>
                <w:rFonts w:asciiTheme="minorHAnsi" w:hAnsiTheme="minorHAnsi"/>
                <w:sz w:val="17"/>
                <w:szCs w:val="17"/>
              </w:rPr>
              <w:t xml:space="preserve">—</w:t>
            </w:r>
          </w:p>
        </w:tc>
      </w:tr>
    </w:tbl>
    <w:p>
      <w:pPr>
        <w:spacing w:before="0" w:after="120" w:line="360" w:lineRule="auto"/>
        <w:ind w:firstLine="284"/>
        <w:jc w:val="both"/>
      </w:pPr>
      <w:r>
        <w:rPr>
          <w:rFonts w:asciiTheme="minorHAnsi" w:hAnsiTheme="minorHAnsi"/>
          <w:sz w:val="22"/>
          <w:szCs w:val="22"/>
        </w:rPr>
        <w:t xml:space="preserve">La Figura 2 ricostruisce la dinamica dei lavori. Le UF hanno seguito traiettorie diverse, coerenti con la priorità attribuita agli interventi e con i tempi di consegna dei macchinari: l’UF2 ha avuto un primo avanzamento già nel 2023 con l’installazione della decoratrice digitale DDG1422, ma si è completata solo nel 2026 con la piattaforma Creadigit Infinity e il nuovo essiccatoio; l’UF4 ha registrato il salto principale nel secondo semestre 2024, con l’entrata in uso delle linee di rettifica (88,0 % al 31.12.2024); l’UF1 si è sviluppata tra il 2024 e il 2025 (74,7 % al 31.12.2024; 100 % al 31.12.2025); l’UF3, avviata nel 2025, è stata completata nell’aprile 2026 con il potenziamento del circuito di raffreddamento del forno.</w:t>
      </w:r>
    </w:p>
    <w:p>
      <w:pPr>
        <w:keepNext/>
        <w:spacing w:before="120" w:after="0"/>
        <w:jc w:val="center"/>
      </w:pPr>
      <w:r>
        <w:drawing>
          <wp:inline distT="0" distB="0" distL="0" distR="0">
            <wp:extent cx="5760000" cy="3120000"/>
            <wp:docPr id="1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png"/>
                    <pic:cNvPicPr/>
                  </pic:nvPicPr>
                  <pic:blipFill>
                    <a:blip r:embed="rIdFig2"/>
                    <a:stretch>
                      <a:fillRect/>
                    </a:stretch>
                  </pic:blipFill>
                  <pic:spPr>
                    <a:xfrm>
                      <a:off x="0" y="0"/>
                      <a:ext cx="5760000" cy="3120000"/>
                    </a:xfrm>
                    <a:prstGeom prst="rect">
                      <a:avLst/>
                    </a:prstGeom>
                  </pic:spPr>
                </pic:pic>
              </a:graphicData>
            </a:graphic>
          </wp:inline>
        </w:drawing>
      </w:r>
    </w:p>
    <w:p>
      <w:pPr>
        <w:spacing w:before="60" w:after="240"/>
        <w:jc w:val="center"/>
      </w:pPr>
      <w:r>
        <w:rPr>
          <w:rFonts w:asciiTheme="minorHAnsi" w:hAnsiTheme="minorHAnsi"/>
          <w:i/>
          <w:iCs/>
          <w:sz w:val="18"/>
          <w:szCs w:val="18"/>
        </w:rPr>
        <w:t xml:space="preserve">Figura 2: Curva di avanzamento lavori per unità funzionale (quota del valore degli interventi entrati in uso).</w:t>
      </w:r>
    </w:p>
    <w:p>
      <w:pPr>
        <w:keepNext/>
        <w:spacing w:before="120" w:after="60"/>
        <w:jc w:val="center"/>
      </w:pPr>
      <w:r>
        <w:rPr>
          <w:rFonts w:asciiTheme="minorHAnsi" w:hAnsiTheme="minorHAnsi"/>
          <w:i/>
          <w:iCs/>
          <w:sz w:val="18"/>
          <w:szCs w:val="18"/>
        </w:rPr>
        <w:t xml:space="preserve">Tabella 4: Livello di avanzamento lavori per unità funzionale a scadenze semestrali.</w:t>
      </w:r>
    </w:p>
    <w:tbl>
      <w:tblPr>
        <w:tblStyle w:val="Grigliatabella"/>
        <w:tblW w:w="10600" w:type="dxa"/>
        <w:jc w:val="center"/>
        <w:tblBorders>
          <w:top w:val="single" w:sz="4" w:space="0" w:color="9A9890"/>
          <w:left w:val="nil"/>
          <w:bottom w:val="single" w:sz="4" w:space="0" w:color="9A9890"/>
          <w:right w:val="nil"/>
          <w:insideH w:val="single" w:sz="4" w:space="0" w:color="D9D8D2"/>
          <w:insideV w:val="nil"/>
        </w:tblBorders>
        <w:tblLayout w:type="fixed"/>
        <w:tblCellMar>
          <w:left w:w="80" w:type="dxa"/>
          <w:right w:w="80" w:type="dxa"/>
        </w:tblCellMar>
        <w:tblLook w:val="04A0" w:firstRow="1" w:lastRow="0" w:firstColumn="1" w:lastColumn="0" w:noHBand="0" w:noVBand="1"/>
      </w:tblPr>
      <w:tblGrid>
        <w:gridCol w:w="3100"/>
        <w:gridCol w:w="1250"/>
        <w:gridCol w:w="1250"/>
        <w:gridCol w:w="1250"/>
        <w:gridCol w:w="1250"/>
        <w:gridCol w:w="1250"/>
        <w:gridCol w:w="1250"/>
      </w:tblGrid>
      <w:tr>
        <w:trPr>
          <w:tblHeader/>
          <w:cantSplit/>
        </w:trPr>
        <w:tc>
          <w:tcPr>
            <w:tcW w:w="3100" w:type="dxa"/>
            <w:shd w:val="clear" w:color="auto" w:fill="024C41"/>
            <w:vAlign w:val="center"/>
          </w:tcPr>
          <w:p>
            <w:pPr>
              <w:keepNext/>
              <w:spacing w:before="30" w:after="30"/>
              <w:jc w:val="center"/>
            </w:pPr>
            <w:r>
              <w:rPr>
                <w:rFonts w:asciiTheme="minorHAnsi" w:hAnsiTheme="minorHAnsi"/>
                <w:b/>
                <w:bCs/>
                <w:color w:val="FFFFFF"/>
                <w:sz w:val="17"/>
                <w:szCs w:val="17"/>
              </w:rPr>
              <w:t xml:space="preserve">Unità funzionale</w:t>
            </w:r>
          </w:p>
        </w:tc>
        <w:tc>
          <w:tcPr>
            <w:tcW w:w="1250" w:type="dxa"/>
            <w:shd w:val="clear" w:color="auto" w:fill="024C41"/>
            <w:vAlign w:val="center"/>
          </w:tcPr>
          <w:p>
            <w:pPr>
              <w:keepNext/>
              <w:spacing w:before="30" w:after="30"/>
              <w:jc w:val="center"/>
            </w:pPr>
            <w:r>
              <w:rPr>
                <w:rFonts w:asciiTheme="minorHAnsi" w:hAnsiTheme="minorHAnsi"/>
                <w:b/>
                <w:bCs/>
                <w:color w:val="FFFFFF"/>
                <w:sz w:val="17"/>
                <w:szCs w:val="17"/>
              </w:rPr>
              <w:t xml:space="preserve">30.06.2024</w:t>
            </w:r>
          </w:p>
        </w:tc>
        <w:tc>
          <w:tcPr>
            <w:tcW w:w="1250" w:type="dxa"/>
            <w:shd w:val="clear" w:color="auto" w:fill="024C41"/>
            <w:vAlign w:val="center"/>
          </w:tcPr>
          <w:p>
            <w:pPr>
              <w:keepNext/>
              <w:spacing w:before="30" w:after="30"/>
              <w:jc w:val="center"/>
            </w:pPr>
            <w:r>
              <w:rPr>
                <w:rFonts w:asciiTheme="minorHAnsi" w:hAnsiTheme="minorHAnsi"/>
                <w:b/>
                <w:bCs/>
                <w:color w:val="FFFFFF"/>
                <w:sz w:val="17"/>
                <w:szCs w:val="17"/>
              </w:rPr>
              <w:t xml:space="preserve">31.12.2024</w:t>
            </w:r>
          </w:p>
        </w:tc>
        <w:tc>
          <w:tcPr>
            <w:tcW w:w="1250" w:type="dxa"/>
            <w:shd w:val="clear" w:color="auto" w:fill="024C41"/>
            <w:vAlign w:val="center"/>
          </w:tcPr>
          <w:p>
            <w:pPr>
              <w:keepNext/>
              <w:spacing w:before="30" w:after="30"/>
              <w:jc w:val="center"/>
            </w:pPr>
            <w:r>
              <w:rPr>
                <w:rFonts w:asciiTheme="minorHAnsi" w:hAnsiTheme="minorHAnsi"/>
                <w:b/>
                <w:bCs/>
                <w:color w:val="FFFFFF"/>
                <w:sz w:val="17"/>
                <w:szCs w:val="17"/>
              </w:rPr>
              <w:t xml:space="preserve">30.06.2025</w:t>
            </w:r>
          </w:p>
        </w:tc>
        <w:tc>
          <w:tcPr>
            <w:tcW w:w="1250" w:type="dxa"/>
            <w:shd w:val="clear" w:color="auto" w:fill="024C41"/>
            <w:vAlign w:val="center"/>
          </w:tcPr>
          <w:p>
            <w:pPr>
              <w:keepNext/>
              <w:spacing w:before="30" w:after="30"/>
              <w:jc w:val="center"/>
            </w:pPr>
            <w:r>
              <w:rPr>
                <w:rFonts w:asciiTheme="minorHAnsi" w:hAnsiTheme="minorHAnsi"/>
                <w:b/>
                <w:bCs/>
                <w:color w:val="FFFFFF"/>
                <w:sz w:val="17"/>
                <w:szCs w:val="17"/>
              </w:rPr>
              <w:t xml:space="preserve">31.12.2025</w:t>
            </w:r>
          </w:p>
        </w:tc>
        <w:tc>
          <w:tcPr>
            <w:tcW w:w="1250" w:type="dxa"/>
            <w:shd w:val="clear" w:color="auto" w:fill="024C41"/>
            <w:vAlign w:val="center"/>
          </w:tcPr>
          <w:p>
            <w:pPr>
              <w:keepNext/>
              <w:spacing w:before="30" w:after="30"/>
              <w:jc w:val="center"/>
            </w:pPr>
            <w:r>
              <w:rPr>
                <w:rFonts w:asciiTheme="minorHAnsi" w:hAnsiTheme="minorHAnsi"/>
                <w:b/>
                <w:bCs/>
                <w:color w:val="FFFFFF"/>
                <w:sz w:val="17"/>
                <w:szCs w:val="17"/>
              </w:rPr>
              <w:t xml:space="preserve">30.04.2026</w:t>
            </w:r>
          </w:p>
        </w:tc>
        <w:tc>
          <w:tcPr>
            <w:tcW w:w="1250" w:type="dxa"/>
            <w:shd w:val="clear" w:color="auto" w:fill="024C41"/>
            <w:vAlign w:val="center"/>
          </w:tcPr>
          <w:p>
            <w:pPr>
              <w:keepNext/>
              <w:spacing w:before="30" w:after="30"/>
              <w:jc w:val="center"/>
            </w:pPr>
            <w:r>
              <w:rPr>
                <w:rFonts w:asciiTheme="minorHAnsi" w:hAnsiTheme="minorHAnsi"/>
                <w:b/>
                <w:bCs/>
                <w:color w:val="FFFFFF"/>
                <w:sz w:val="17"/>
                <w:szCs w:val="17"/>
              </w:rPr>
              <w:t xml:space="preserve">31.10.2026</w:t>
            </w:r>
          </w:p>
        </w:tc>
      </w:tr>
      <w:tr>
        <w:trPr>
          <w:cantSplit/>
        </w:trPr>
        <w:tc>
          <w:tcPr>
            <w:tcW w:w="3100" w:type="dxa"/>
            <w:vAlign w:val="center"/>
          </w:tcPr>
          <w:p>
            <w:pPr>
              <w:keepNext/>
              <w:spacing w:before="30" w:after="30"/>
              <w:jc w:val="left"/>
            </w:pPr>
            <w:r>
              <w:rPr>
                <w:rFonts w:asciiTheme="minorHAnsi" w:hAnsiTheme="minorHAnsi"/>
                <w:sz w:val="17"/>
                <w:szCs w:val="17"/>
              </w:rPr>
              <w:t xml:space="preserve">UF1 Preparazione impasto</w:t>
            </w:r>
          </w:p>
        </w:tc>
        <w:tc>
          <w:tcPr>
            <w:tcW w:w="1250" w:type="dxa"/>
            <w:vAlign w:val="center"/>
          </w:tcPr>
          <w:p>
            <w:pPr>
              <w:keepNext/>
              <w:spacing w:before="30" w:after="30"/>
              <w:jc w:val="right"/>
            </w:pPr>
            <w:r>
              <w:rPr>
                <w:rFonts w:asciiTheme="minorHAnsi" w:hAnsiTheme="minorHAnsi"/>
                <w:sz w:val="17"/>
                <w:szCs w:val="17"/>
              </w:rPr>
              <w:t xml:space="preserve">48,7 %</w:t>
            </w:r>
          </w:p>
        </w:tc>
        <w:tc>
          <w:tcPr>
            <w:tcW w:w="1250" w:type="dxa"/>
            <w:vAlign w:val="center"/>
          </w:tcPr>
          <w:p>
            <w:pPr>
              <w:keepNext/>
              <w:spacing w:before="30" w:after="30"/>
              <w:jc w:val="right"/>
            </w:pPr>
            <w:r>
              <w:rPr>
                <w:rFonts w:asciiTheme="minorHAnsi" w:hAnsiTheme="minorHAnsi"/>
                <w:sz w:val="17"/>
                <w:szCs w:val="17"/>
              </w:rPr>
              <w:t xml:space="preserve">74,7 %</w:t>
            </w:r>
          </w:p>
        </w:tc>
        <w:tc>
          <w:tcPr>
            <w:tcW w:w="1250" w:type="dxa"/>
            <w:vAlign w:val="center"/>
          </w:tcPr>
          <w:p>
            <w:pPr>
              <w:keepNext/>
              <w:spacing w:before="30" w:after="30"/>
              <w:jc w:val="right"/>
            </w:pPr>
            <w:r>
              <w:rPr>
                <w:rFonts w:asciiTheme="minorHAnsi" w:hAnsiTheme="minorHAnsi"/>
                <w:sz w:val="17"/>
                <w:szCs w:val="17"/>
              </w:rPr>
              <w:t xml:space="preserve">98,9 %</w:t>
            </w:r>
          </w:p>
        </w:tc>
        <w:tc>
          <w:tcPr>
            <w:tcW w:w="1250" w:type="dxa"/>
            <w:vAlign w:val="center"/>
          </w:tcPr>
          <w:p>
            <w:pPr>
              <w:keepNext/>
              <w:spacing w:before="30" w:after="30"/>
              <w:jc w:val="right"/>
            </w:pPr>
            <w:r>
              <w:rPr>
                <w:rFonts w:asciiTheme="minorHAnsi" w:hAnsiTheme="minorHAnsi"/>
                <w:sz w:val="17"/>
                <w:szCs w:val="17"/>
              </w:rPr>
              <w:t xml:space="preserve">100,0 %</w:t>
            </w:r>
          </w:p>
        </w:tc>
        <w:tc>
          <w:tcPr>
            <w:tcW w:w="1250" w:type="dxa"/>
            <w:vAlign w:val="center"/>
          </w:tcPr>
          <w:p>
            <w:pPr>
              <w:keepNext/>
              <w:spacing w:before="30" w:after="30"/>
              <w:jc w:val="right"/>
            </w:pPr>
            <w:r>
              <w:rPr>
                <w:rFonts w:asciiTheme="minorHAnsi" w:hAnsiTheme="minorHAnsi"/>
                <w:sz w:val="17"/>
                <w:szCs w:val="17"/>
              </w:rPr>
              <w:t xml:space="preserve">100,0 %</w:t>
            </w:r>
          </w:p>
        </w:tc>
        <w:tc>
          <w:tcPr>
            <w:tcW w:w="1250" w:type="dxa"/>
            <w:vAlign w:val="center"/>
          </w:tcPr>
          <w:p>
            <w:pPr>
              <w:keepNext/>
              <w:spacing w:before="30" w:after="30"/>
              <w:jc w:val="right"/>
            </w:pPr>
            <w:r>
              <w:rPr>
                <w:rFonts w:asciiTheme="minorHAnsi" w:hAnsiTheme="minorHAnsi"/>
                <w:sz w:val="17"/>
                <w:szCs w:val="17"/>
              </w:rPr>
              <w:t xml:space="preserve">100,0 %</w:t>
            </w:r>
          </w:p>
        </w:tc>
      </w:tr>
      <w:tr>
        <w:trPr>
          <w:cantSplit/>
        </w:trPr>
        <w:tc>
          <w:tcPr>
            <w:tcW w:w="3100" w:type="dxa"/>
            <w:vAlign w:val="center"/>
          </w:tcPr>
          <w:p>
            <w:pPr>
              <w:keepNext/>
              <w:spacing w:before="30" w:after="30"/>
              <w:jc w:val="left"/>
            </w:pPr>
            <w:r>
              <w:rPr>
                <w:rFonts w:asciiTheme="minorHAnsi" w:hAnsiTheme="minorHAnsi"/>
                <w:sz w:val="17"/>
                <w:szCs w:val="17"/>
              </w:rPr>
              <w:t xml:space="preserve">UF2 Formatura e decorazione</w:t>
            </w:r>
          </w:p>
        </w:tc>
        <w:tc>
          <w:tcPr>
            <w:tcW w:w="1250" w:type="dxa"/>
            <w:vAlign w:val="center"/>
          </w:tcPr>
          <w:p>
            <w:pPr>
              <w:keepNext/>
              <w:spacing w:before="30" w:after="30"/>
              <w:jc w:val="right"/>
            </w:pPr>
            <w:r>
              <w:rPr>
                <w:rFonts w:asciiTheme="minorHAnsi" w:hAnsiTheme="minorHAnsi"/>
                <w:sz w:val="17"/>
                <w:szCs w:val="17"/>
              </w:rPr>
              <w:t xml:space="preserve">34,7 %</w:t>
            </w:r>
          </w:p>
        </w:tc>
        <w:tc>
          <w:tcPr>
            <w:tcW w:w="1250" w:type="dxa"/>
            <w:vAlign w:val="center"/>
          </w:tcPr>
          <w:p>
            <w:pPr>
              <w:keepNext/>
              <w:spacing w:before="30" w:after="30"/>
              <w:jc w:val="right"/>
            </w:pPr>
            <w:r>
              <w:rPr>
                <w:rFonts w:asciiTheme="minorHAnsi" w:hAnsiTheme="minorHAnsi"/>
                <w:sz w:val="17"/>
                <w:szCs w:val="17"/>
              </w:rPr>
              <w:t xml:space="preserve">37,7 %</w:t>
            </w:r>
          </w:p>
        </w:tc>
        <w:tc>
          <w:tcPr>
            <w:tcW w:w="1250" w:type="dxa"/>
            <w:vAlign w:val="center"/>
          </w:tcPr>
          <w:p>
            <w:pPr>
              <w:keepNext/>
              <w:spacing w:before="30" w:after="30"/>
              <w:jc w:val="right"/>
            </w:pPr>
            <w:r>
              <w:rPr>
                <w:rFonts w:asciiTheme="minorHAnsi" w:hAnsiTheme="minorHAnsi"/>
                <w:sz w:val="17"/>
                <w:szCs w:val="17"/>
              </w:rPr>
              <w:t xml:space="preserve">44,4 %</w:t>
            </w:r>
          </w:p>
        </w:tc>
        <w:tc>
          <w:tcPr>
            <w:tcW w:w="1250" w:type="dxa"/>
            <w:vAlign w:val="center"/>
          </w:tcPr>
          <w:p>
            <w:pPr>
              <w:keepNext/>
              <w:spacing w:before="30" w:after="30"/>
              <w:jc w:val="right"/>
            </w:pPr>
            <w:r>
              <w:rPr>
                <w:rFonts w:asciiTheme="minorHAnsi" w:hAnsiTheme="minorHAnsi"/>
                <w:sz w:val="17"/>
                <w:szCs w:val="17"/>
              </w:rPr>
              <w:t xml:space="preserve">59,6 %</w:t>
            </w:r>
          </w:p>
        </w:tc>
        <w:tc>
          <w:tcPr>
            <w:tcW w:w="1250" w:type="dxa"/>
            <w:vAlign w:val="center"/>
          </w:tcPr>
          <w:p>
            <w:pPr>
              <w:keepNext/>
              <w:spacing w:before="30" w:after="30"/>
              <w:jc w:val="right"/>
            </w:pPr>
            <w:r>
              <w:rPr>
                <w:rFonts w:asciiTheme="minorHAnsi" w:hAnsiTheme="minorHAnsi"/>
                <w:sz w:val="17"/>
                <w:szCs w:val="17"/>
              </w:rPr>
              <w:t xml:space="preserve">98,3 %</w:t>
            </w:r>
          </w:p>
        </w:tc>
        <w:tc>
          <w:tcPr>
            <w:tcW w:w="1250" w:type="dxa"/>
            <w:vAlign w:val="center"/>
          </w:tcPr>
          <w:p>
            <w:pPr>
              <w:keepNext/>
              <w:spacing w:before="30" w:after="30"/>
              <w:jc w:val="right"/>
            </w:pPr>
            <w:r>
              <w:rPr>
                <w:rFonts w:asciiTheme="minorHAnsi" w:hAnsiTheme="minorHAnsi"/>
                <w:sz w:val="17"/>
                <w:szCs w:val="17"/>
              </w:rPr>
              <w:t xml:space="preserve">98,3 %</w:t>
            </w:r>
          </w:p>
        </w:tc>
      </w:tr>
      <w:tr>
        <w:trPr>
          <w:cantSplit/>
        </w:trPr>
        <w:tc>
          <w:tcPr>
            <w:tcW w:w="3100" w:type="dxa"/>
            <w:vAlign w:val="center"/>
          </w:tcPr>
          <w:p>
            <w:pPr>
              <w:keepNext/>
              <w:spacing w:before="30" w:after="30"/>
              <w:jc w:val="left"/>
            </w:pPr>
            <w:r>
              <w:rPr>
                <w:rFonts w:asciiTheme="minorHAnsi" w:hAnsiTheme="minorHAnsi"/>
                <w:sz w:val="17"/>
                <w:szCs w:val="17"/>
              </w:rPr>
              <w:t xml:space="preserve">UF3 Cottura e stoccaggio</w:t>
            </w:r>
          </w:p>
        </w:tc>
        <w:tc>
          <w:tcPr>
            <w:tcW w:w="1250" w:type="dxa"/>
            <w:vAlign w:val="center"/>
          </w:tcPr>
          <w:p>
            <w:pPr>
              <w:keepNext/>
              <w:spacing w:before="30" w:after="30"/>
              <w:jc w:val="right"/>
            </w:pPr>
            <w:r>
              <w:rPr>
                <w:rFonts w:asciiTheme="minorHAnsi" w:hAnsiTheme="minorHAnsi"/>
                <w:sz w:val="17"/>
                <w:szCs w:val="17"/>
              </w:rPr>
              <w:t xml:space="preserve">0,0 %</w:t>
            </w:r>
          </w:p>
        </w:tc>
        <w:tc>
          <w:tcPr>
            <w:tcW w:w="1250" w:type="dxa"/>
            <w:vAlign w:val="center"/>
          </w:tcPr>
          <w:p>
            <w:pPr>
              <w:keepNext/>
              <w:spacing w:before="30" w:after="30"/>
              <w:jc w:val="right"/>
            </w:pPr>
            <w:r>
              <w:rPr>
                <w:rFonts w:asciiTheme="minorHAnsi" w:hAnsiTheme="minorHAnsi"/>
                <w:sz w:val="17"/>
                <w:szCs w:val="17"/>
              </w:rPr>
              <w:t xml:space="preserve">0,0 %</w:t>
            </w:r>
          </w:p>
        </w:tc>
        <w:tc>
          <w:tcPr>
            <w:tcW w:w="1250" w:type="dxa"/>
            <w:vAlign w:val="center"/>
          </w:tcPr>
          <w:p>
            <w:pPr>
              <w:keepNext/>
              <w:spacing w:before="30" w:after="30"/>
              <w:jc w:val="right"/>
            </w:pPr>
            <w:r>
              <w:rPr>
                <w:rFonts w:asciiTheme="minorHAnsi" w:hAnsiTheme="minorHAnsi"/>
                <w:sz w:val="17"/>
                <w:szCs w:val="17"/>
              </w:rPr>
              <w:t xml:space="preserve">23,3 %</w:t>
            </w:r>
          </w:p>
        </w:tc>
        <w:tc>
          <w:tcPr>
            <w:tcW w:w="1250" w:type="dxa"/>
            <w:vAlign w:val="center"/>
          </w:tcPr>
          <w:p>
            <w:pPr>
              <w:keepNext/>
              <w:spacing w:before="30" w:after="30"/>
              <w:jc w:val="right"/>
            </w:pPr>
            <w:r>
              <w:rPr>
                <w:rFonts w:asciiTheme="minorHAnsi" w:hAnsiTheme="minorHAnsi"/>
                <w:sz w:val="17"/>
                <w:szCs w:val="17"/>
              </w:rPr>
              <w:t xml:space="preserve">61,9 %</w:t>
            </w:r>
          </w:p>
        </w:tc>
        <w:tc>
          <w:tcPr>
            <w:tcW w:w="1250" w:type="dxa"/>
            <w:vAlign w:val="center"/>
          </w:tcPr>
          <w:p>
            <w:pPr>
              <w:keepNext/>
              <w:spacing w:before="30" w:after="30"/>
              <w:jc w:val="right"/>
            </w:pPr>
            <w:r>
              <w:rPr>
                <w:rFonts w:asciiTheme="minorHAnsi" w:hAnsiTheme="minorHAnsi"/>
                <w:sz w:val="17"/>
                <w:szCs w:val="17"/>
              </w:rPr>
              <w:t xml:space="preserve">100,0 %</w:t>
            </w:r>
          </w:p>
        </w:tc>
        <w:tc>
          <w:tcPr>
            <w:tcW w:w="1250" w:type="dxa"/>
            <w:vAlign w:val="center"/>
          </w:tcPr>
          <w:p>
            <w:pPr>
              <w:keepNext/>
              <w:spacing w:before="30" w:after="30"/>
              <w:jc w:val="right"/>
            </w:pPr>
            <w:r>
              <w:rPr>
                <w:rFonts w:asciiTheme="minorHAnsi" w:hAnsiTheme="minorHAnsi"/>
                <w:sz w:val="17"/>
                <w:szCs w:val="17"/>
              </w:rPr>
              <w:t xml:space="preserve">100,0 %</w:t>
            </w:r>
          </w:p>
        </w:tc>
      </w:tr>
      <w:tr>
        <w:trPr>
          <w:cantSplit/>
        </w:trPr>
        <w:tc>
          <w:tcPr>
            <w:tcW w:w="3100" w:type="dxa"/>
            <w:vAlign w:val="center"/>
          </w:tcPr>
          <w:p>
            <w:pPr>
              <w:spacing w:before="30" w:after="30"/>
              <w:jc w:val="left"/>
            </w:pPr>
            <w:r>
              <w:rPr>
                <w:rFonts w:asciiTheme="minorHAnsi" w:hAnsiTheme="minorHAnsi"/>
                <w:sz w:val="17"/>
                <w:szCs w:val="17"/>
              </w:rPr>
              <w:t xml:space="preserve">UF4 Rifinitura, scelta e logistica</w:t>
            </w:r>
          </w:p>
        </w:tc>
        <w:tc>
          <w:tcPr>
            <w:tcW w:w="1250" w:type="dxa"/>
            <w:vAlign w:val="center"/>
          </w:tcPr>
          <w:p>
            <w:pPr>
              <w:spacing w:before="30" w:after="30"/>
              <w:jc w:val="right"/>
            </w:pPr>
            <w:r>
              <w:rPr>
                <w:rFonts w:asciiTheme="minorHAnsi" w:hAnsiTheme="minorHAnsi"/>
                <w:sz w:val="17"/>
                <w:szCs w:val="17"/>
              </w:rPr>
              <w:t xml:space="preserve">16,0 %</w:t>
            </w:r>
          </w:p>
        </w:tc>
        <w:tc>
          <w:tcPr>
            <w:tcW w:w="1250" w:type="dxa"/>
            <w:vAlign w:val="center"/>
          </w:tcPr>
          <w:p>
            <w:pPr>
              <w:spacing w:before="30" w:after="30"/>
              <w:jc w:val="right"/>
            </w:pPr>
            <w:r>
              <w:rPr>
                <w:rFonts w:asciiTheme="minorHAnsi" w:hAnsiTheme="minorHAnsi"/>
                <w:sz w:val="17"/>
                <w:szCs w:val="17"/>
              </w:rPr>
              <w:t xml:space="preserve">88,0 %</w:t>
            </w:r>
          </w:p>
        </w:tc>
        <w:tc>
          <w:tcPr>
            <w:tcW w:w="1250" w:type="dxa"/>
            <w:vAlign w:val="center"/>
          </w:tcPr>
          <w:p>
            <w:pPr>
              <w:spacing w:before="30" w:after="30"/>
              <w:jc w:val="right"/>
            </w:pPr>
            <w:r>
              <w:rPr>
                <w:rFonts w:asciiTheme="minorHAnsi" w:hAnsiTheme="minorHAnsi"/>
                <w:sz w:val="17"/>
                <w:szCs w:val="17"/>
              </w:rPr>
              <w:t xml:space="preserve">95,0 %</w:t>
            </w:r>
          </w:p>
        </w:tc>
        <w:tc>
          <w:tcPr>
            <w:tcW w:w="1250" w:type="dxa"/>
            <w:vAlign w:val="center"/>
          </w:tcPr>
          <w:p>
            <w:pPr>
              <w:spacing w:before="30" w:after="30"/>
              <w:jc w:val="right"/>
            </w:pPr>
            <w:r>
              <w:rPr>
                <w:rFonts w:asciiTheme="minorHAnsi" w:hAnsiTheme="minorHAnsi"/>
                <w:sz w:val="17"/>
                <w:szCs w:val="17"/>
              </w:rPr>
              <w:t xml:space="preserve">99,5 %</w:t>
            </w:r>
          </w:p>
        </w:tc>
        <w:tc>
          <w:tcPr>
            <w:tcW w:w="1250" w:type="dxa"/>
            <w:vAlign w:val="center"/>
          </w:tcPr>
          <w:p>
            <w:pPr>
              <w:spacing w:before="30" w:after="30"/>
              <w:jc w:val="right"/>
            </w:pPr>
            <w:r>
              <w:rPr>
                <w:rFonts w:asciiTheme="minorHAnsi" w:hAnsiTheme="minorHAnsi"/>
                <w:sz w:val="17"/>
                <w:szCs w:val="17"/>
              </w:rPr>
              <w:t xml:space="preserve">99,5 %</w:t>
            </w:r>
          </w:p>
        </w:tc>
        <w:tc>
          <w:tcPr>
            <w:tcW w:w="1250" w:type="dxa"/>
            <w:vAlign w:val="center"/>
          </w:tcPr>
          <w:p>
            <w:pPr>
              <w:spacing w:before="30" w:after="30"/>
              <w:jc w:val="right"/>
            </w:pPr>
            <w:r>
              <w:rPr>
                <w:rFonts w:asciiTheme="minorHAnsi" w:hAnsiTheme="minorHAnsi"/>
                <w:sz w:val="17"/>
                <w:szCs w:val="17"/>
              </w:rPr>
              <w:t xml:space="preserve">99,5 %</w:t>
            </w:r>
          </w:p>
        </w:tc>
      </w:tr>
    </w:tbl>
    <w:p>
      <w:pPr>
        <w:spacing w:before="0" w:after="120" w:line="360" w:lineRule="auto"/>
        <w:ind w:firstLine="284"/>
        <w:jc w:val="both"/>
      </w:pPr>
      <w:r>
        <w:rPr>
          <w:rFonts w:asciiTheme="minorHAnsi" w:hAnsiTheme="minorHAnsi"/>
          <w:sz w:val="22"/>
          <w:szCs w:val="22"/>
        </w:rPr>
        <w:t xml:space="preserve">Gli interventi non ancora completati alla data di riferimento sono due e rappresentano complessivamente lo 0,8 % del valore delle UF: il revamping dell’impianto di automazione dei coloratori delle presse nell’UF2 (31.916 €) e il manipolatore semi-automatico del fine linea nell’UF4 (11.000 €), per i quali il registro non riporta ancora la data di inizio utilizzo.</w:t>
      </w:r>
    </w:p>
    <w:p>
      <w:pPr>
        <w:keepNext/>
        <w:spacing w:before="200" w:after="80" w:line="360" w:lineRule="auto"/>
        <w:jc w:val="left"/>
      </w:pPr>
      <w:r>
        <w:rPr>
          <w:rFonts w:asciiTheme="minorHAnsi" w:hAnsiTheme="minorHAnsi"/>
          <w:b/>
          <w:bCs/>
          <w:color w:val="024C41"/>
          <w:sz w:val="26"/>
          <w:szCs w:val="26"/>
        </w:rPr>
        <w:t xml:space="preserve">3.4 Analisi degli scostamenti rispetto al Piano di Sviluppo</w:t>
      </w:r>
    </w:p>
    <w:p>
      <w:pPr>
        <w:spacing w:before="0" w:after="120" w:line="360" w:lineRule="auto"/>
        <w:ind w:firstLine="284"/>
        <w:jc w:val="both"/>
      </w:pPr>
      <w:r>
        <w:rPr>
          <w:rFonts w:asciiTheme="minorHAnsi" w:hAnsiTheme="minorHAnsi"/>
          <w:sz w:val="22"/>
          <w:szCs w:val="22"/>
        </w:rPr>
        <w:t xml:space="preserve">Il confronto tra pianificazione e realizzazione (Tabella 2) evidenzia una rimodulazione significativa dell’investimento tra i reparti, a fronte di un perimetro tecnico invariato nelle finalità. Gli scostamenti principali sono i seguenti:</w:t>
      </w:r>
    </w:p>
    <w:p>
      <w:pPr>
        <w:pStyle w:val="cElencoPuntato"/>
        <w:numPr>
          <w:ilvl w:val="0"/>
          <w:numId w:val="1"/>
        </w:numPr>
        <w:tabs>
          <w:tab w:val="clear" w:pos="720"/>
          <w:tab w:val="num" w:pos="644"/>
        </w:tabs>
        <w:spacing w:after="60" w:line="360" w:lineRule="auto"/>
        <w:ind w:left="644" w:hanging="284"/>
        <w:jc w:val="both"/>
      </w:pPr>
      <w:r>
        <w:rPr>
          <w:rFonts w:asciiTheme="minorHAnsi" w:hAnsiTheme="minorHAnsi"/>
          <w:b/>
          <w:bCs/>
          <w:sz w:val="22"/>
          <w:szCs w:val="22"/>
        </w:rPr>
        <w:t xml:space="preserve">Rifinitura, scelta e imballaggio (+407,7 %). </w:t>
      </w:r>
      <w:r>
        <w:rPr>
          <w:rFonts w:asciiTheme="minorHAnsi" w:hAnsiTheme="minorHAnsi"/>
          <w:sz w:val="22"/>
          <w:szCs w:val="22"/>
        </w:rPr>
        <w:t xml:space="preserve">La realizzazione delle linee di rettifica a secco con sistemi di visione ha assorbito la quota più rilevante dell’investimento. La scelta privilegia il reparto nel quale si genera il dato di qualità del prodotto finito, indispensabile per il Data-Driven Product Quality Management (OR 7.5) e per il P-TSA (OR 7.4).</w:t>
      </w:r>
    </w:p>
    <w:p>
      <w:pPr>
        <w:pStyle w:val="cElencoPuntato"/>
        <w:numPr>
          <w:ilvl w:val="0"/>
          <w:numId w:val="1"/>
        </w:numPr>
        <w:tabs>
          <w:tab w:val="clear" w:pos="720"/>
          <w:tab w:val="num" w:pos="644"/>
        </w:tabs>
        <w:spacing w:after="60" w:line="360" w:lineRule="auto"/>
        <w:ind w:left="644" w:hanging="284"/>
        <w:jc w:val="both"/>
      </w:pPr>
      <w:r>
        <w:rPr>
          <w:rFonts w:asciiTheme="minorHAnsi" w:hAnsiTheme="minorHAnsi"/>
          <w:b/>
          <w:bCs/>
          <w:sz w:val="22"/>
          <w:szCs w:val="22"/>
        </w:rPr>
        <w:t xml:space="preserve">Preparazione impasto (voce introdotta, 745.712 €). </w:t>
      </w:r>
      <w:r>
        <w:rPr>
          <w:rFonts w:asciiTheme="minorHAnsi" w:hAnsiTheme="minorHAnsi"/>
          <w:sz w:val="22"/>
          <w:szCs w:val="22"/>
        </w:rPr>
        <w:t xml:space="preserve">Il Piano non prevedeva una voce dedicata; l’adeguamento dell’unità M-2-S si è però reso necessario per rendere operativa la logica make-to-stock/make-to-order del modello OR 6.7, che si fonda sulla disponibilità continua di impasto atomizzato.</w:t>
      </w:r>
    </w:p>
    <w:p>
      <w:pPr>
        <w:pStyle w:val="cElencoPuntato"/>
        <w:numPr>
          <w:ilvl w:val="0"/>
          <w:numId w:val="1"/>
        </w:numPr>
        <w:tabs>
          <w:tab w:val="clear" w:pos="720"/>
          <w:tab w:val="num" w:pos="644"/>
        </w:tabs>
        <w:spacing w:after="60" w:line="360" w:lineRule="auto"/>
        <w:ind w:left="644" w:hanging="284"/>
        <w:jc w:val="both"/>
      </w:pPr>
      <w:r>
        <w:rPr>
          <w:rFonts w:asciiTheme="minorHAnsi" w:hAnsiTheme="minorHAnsi"/>
          <w:b/>
          <w:bCs/>
          <w:sz w:val="22"/>
          <w:szCs w:val="22"/>
        </w:rPr>
        <w:t xml:space="preserve">Pressatura ed essiccazione (−78,2 %). </w:t>
      </w:r>
      <w:r>
        <w:rPr>
          <w:rFonts w:asciiTheme="minorHAnsi" w:hAnsiTheme="minorHAnsi"/>
          <w:sz w:val="22"/>
          <w:szCs w:val="22"/>
        </w:rPr>
        <w:t xml:space="preserve">L’adeguamento è stato conseguito prevalentemente attraverso modifiche e revamping degli impianti esistenti (essiccatoi, automazione dei coloratori, attrezzature di formatura), con un solo nuovo essiccatoio e senza l’acquisto di nuove presse.</w:t>
      </w:r>
    </w:p>
    <w:p>
      <w:pPr>
        <w:pStyle w:val="cElencoPuntato"/>
        <w:numPr>
          <w:ilvl w:val="0"/>
          <w:numId w:val="1"/>
        </w:numPr>
        <w:tabs>
          <w:tab w:val="clear" w:pos="720"/>
          <w:tab w:val="num" w:pos="644"/>
        </w:tabs>
        <w:spacing w:after="60" w:line="360" w:lineRule="auto"/>
        <w:ind w:left="644" w:hanging="284"/>
        <w:jc w:val="both"/>
      </w:pPr>
      <w:r>
        <w:rPr>
          <w:rFonts w:asciiTheme="minorHAnsi" w:hAnsiTheme="minorHAnsi"/>
          <w:b/>
          <w:bCs/>
          <w:sz w:val="22"/>
          <w:szCs w:val="22"/>
        </w:rPr>
        <w:t xml:space="preserve">Cottura e stoccaggio (+60,0 %). </w:t>
      </w:r>
      <w:r>
        <w:rPr>
          <w:rFonts w:asciiTheme="minorHAnsi" w:hAnsiTheme="minorHAnsi"/>
          <w:sz w:val="22"/>
          <w:szCs w:val="22"/>
        </w:rPr>
        <w:t xml:space="preserve">L’incremento è riconducibile agli interventi di efficienza energetica sul forno FMS (recupero del calore e circuito di raffreddamento), coerenti con gli obiettivi di sostenibilità misurati dall’EEA+ (OR 7.3).</w:t>
      </w:r>
    </w:p>
    <w:p>
      <w:pPr>
        <w:pStyle w:val="cElencoPuntato"/>
        <w:numPr>
          <w:ilvl w:val="0"/>
          <w:numId w:val="1"/>
        </w:numPr>
        <w:tabs>
          <w:tab w:val="clear" w:pos="720"/>
          <w:tab w:val="num" w:pos="644"/>
        </w:tabs>
        <w:spacing w:after="60" w:line="360" w:lineRule="auto"/>
        <w:ind w:left="644" w:hanging="284"/>
        <w:jc w:val="both"/>
      </w:pPr>
      <w:r>
        <w:rPr>
          <w:rFonts w:asciiTheme="minorHAnsi" w:hAnsiTheme="minorHAnsi"/>
          <w:b/>
          <w:bCs/>
          <w:sz w:val="22"/>
          <w:szCs w:val="22"/>
        </w:rPr>
        <w:t xml:space="preserve">Logistica outbound (−84,7 %). </w:t>
      </w:r>
      <w:r>
        <w:rPr>
          <w:rFonts w:asciiTheme="minorHAnsi" w:hAnsiTheme="minorHAnsi"/>
          <w:sz w:val="22"/>
          <w:szCs w:val="22"/>
        </w:rPr>
        <w:t xml:space="preserve">Gli interventi si sono limitati ai mezzi di movimentazione dell’hub di Fiorano; il potenziamento della connettività del piazzale è stato invece imputato alla voce Hardware.</w:t>
      </w:r>
    </w:p>
    <w:p>
      <w:pPr>
        <w:pStyle w:val="cElencoPuntato"/>
        <w:numPr>
          <w:ilvl w:val="0"/>
          <w:numId w:val="1"/>
        </w:numPr>
        <w:tabs>
          <w:tab w:val="clear" w:pos="720"/>
          <w:tab w:val="num" w:pos="644"/>
        </w:tabs>
        <w:spacing w:after="60" w:line="360" w:lineRule="auto"/>
        <w:ind w:left="644" w:hanging="284"/>
        <w:jc w:val="both"/>
      </w:pPr>
      <w:r>
        <w:rPr>
          <w:rFonts w:asciiTheme="minorHAnsi" w:hAnsiTheme="minorHAnsi"/>
          <w:b/>
          <w:bCs/>
          <w:sz w:val="22"/>
          <w:szCs w:val="22"/>
        </w:rPr>
        <w:t xml:space="preserve">Hardware (+71,8 %) e Software (−76,3 %). </w:t>
      </w:r>
      <w:r>
        <w:rPr>
          <w:rFonts w:asciiTheme="minorHAnsi" w:hAnsiTheme="minorHAnsi"/>
          <w:sz w:val="22"/>
          <w:szCs w:val="22"/>
        </w:rPr>
        <w:t xml:space="preserve">La maggiore spesa hardware riflette il potenziamento della rete a supporto della piattaforma E2C; la minore spesa software è coerente con lo sviluppo della piattaforma e degli strumenti di analisi negli OR di ricerca.</w:t>
      </w:r>
    </w:p>
    <w:p>
      <w:pPr>
        <w:spacing w:before="0" w:after="120" w:line="360" w:lineRule="auto"/>
        <w:ind w:firstLine="284"/>
        <w:jc w:val="both"/>
      </w:pPr>
      <w:r>
        <w:rPr>
          <w:rFonts w:asciiTheme="minorHAnsi" w:hAnsiTheme="minorHAnsi"/>
          <w:sz w:val="22"/>
          <w:szCs w:val="22"/>
        </w:rPr>
        <w:t xml:space="preserve">Nel complesso, l’investimento è stato orientato verso i reparti in cui l’adeguamento impiantistico genera dati di processo e di prodotto, ossia preparazione dell’impasto, decorazione digitale e rifinitura con visione artificiale, in linea con il principio secondo cui il valore dell’intelligenza artificiale industriale dipende dalla disponibilità e dalla qualità dei dati raccolti in linea</w:t>
      </w:r>
      <w:r>
        <w:rPr>
          <w:rFonts w:asciiTheme="minorHAnsi" w:hAnsiTheme="minorHAnsi"/>
          <w:sz w:val="22"/>
          <w:szCs w:val="22"/>
          <w:vertAlign w:val="superscript"/>
        </w:rPr>
        <w:footnoteReference w:id="6"/>
      </w:r>
      <w:r>
        <w:rPr>
          <w:rFonts w:asciiTheme="minorHAnsi" w:hAnsiTheme="minorHAnsi"/>
          <w:sz w:val="22"/>
          <w:szCs w:val="22"/>
        </w:rPr>
        <w:t xml:space="preserve">.</w:t>
      </w:r>
    </w:p>
    <w:p>
      <w:pPr>
        <w:keepNext/>
        <w:spacing w:before="240" w:after="120" w:line="360" w:lineRule="auto"/>
        <w:jc w:val="left"/>
      </w:pPr>
      <w:r>
        <w:rPr>
          <w:rFonts w:asciiTheme="minorHAnsi" w:hAnsiTheme="minorHAnsi"/>
          <w:b/>
          <w:bCs/>
          <w:color w:val="024C41"/>
          <w:sz w:val="36"/>
          <w:szCs w:val="36"/>
        </w:rPr>
        <w:t xml:space="preserve">4.DISCUSSIONE E CONCLUSIONI</w:t>
      </w:r>
    </w:p>
    <w:p>
      <w:pPr>
        <w:spacing w:before="0" w:after="120" w:line="360" w:lineRule="auto"/>
        <w:ind w:firstLine="284"/>
        <w:jc w:val="both"/>
      </w:pPr>
      <w:r>
        <w:rPr>
          <w:rFonts w:asciiTheme="minorHAnsi" w:hAnsiTheme="minorHAnsi"/>
          <w:sz w:val="22"/>
          <w:szCs w:val="22"/>
        </w:rPr>
        <w:t xml:space="preserve">L’attività OR 7.6 ha completato il passaggio della Intelligent Factory dal modello all’impianto. Gli interventi documentati hanno portato tutte e quattro le unità funzionali del sito D060 entro l’intervallo obiettivo del 90÷100 % di avanzamento lavori, con un valore complessivo del 99,2 %, a fronte di una baseline dello 0,0 %. Il KPI previsto dal Piano di Sviluppo può pertanto considerarsi raggiunto, pur nella sua declinazione per unità funzionali resa necessaria dalla cessazione delle attività del sito D020 per riconversione.</w:t>
      </w:r>
    </w:p>
    <w:p>
      <w:pPr>
        <w:spacing w:before="0" w:after="120" w:line="360" w:lineRule="auto"/>
        <w:ind w:firstLine="284"/>
        <w:jc w:val="both"/>
      </w:pPr>
      <w:r>
        <w:rPr>
          <w:rFonts w:asciiTheme="minorHAnsi" w:hAnsiTheme="minorHAnsi"/>
          <w:sz w:val="22"/>
          <w:szCs w:val="22"/>
        </w:rPr>
        <w:t xml:space="preserve">La rimodulazione del perimetro non ha ridotto la portata dell’attività, ma ne ha aumentato la coerenza con il modello dell’OR 6.7: concentrare gli investimenti su un unico sito che integra l’unità M-2-S di preparazione dell’impasto e le unità M-2-O di produzione delle piastrelle ha permesso di realizzare fisicamente l’intera catena del valore della Intelligent Factory in un contesto produttivo unitario. Analogamente, la redistribuzione del budget tra i reparti, con un investimento complessivo superiore del 33,4 % rispetto alla previsione, ha privilegiato le aree che generano i dati necessari agli strumenti di assessment del progetto.</w:t>
      </w:r>
    </w:p>
    <w:p>
      <w:pPr>
        <w:spacing w:before="0" w:after="120" w:line="360" w:lineRule="auto"/>
        <w:ind w:firstLine="284"/>
        <w:jc w:val="both"/>
      </w:pPr>
      <w:r>
        <w:rPr>
          <w:rFonts w:asciiTheme="minorHAnsi" w:hAnsiTheme="minorHAnsi"/>
          <w:sz w:val="22"/>
          <w:szCs w:val="22"/>
        </w:rPr>
        <w:t xml:space="preserve">I risultati presentano forti interdipendenze con le altre attività dell’OR 7 e con gli OR di ricerca:</w:t>
      </w:r>
    </w:p>
    <w:p>
      <w:pPr>
        <w:pStyle w:val="cElencoPuntato"/>
        <w:numPr>
          <w:ilvl w:val="0"/>
          <w:numId w:val="1"/>
        </w:numPr>
        <w:tabs>
          <w:tab w:val="clear" w:pos="720"/>
          <w:tab w:val="num" w:pos="644"/>
        </w:tabs>
        <w:spacing w:after="60" w:line="360" w:lineRule="auto"/>
        <w:ind w:left="644" w:hanging="284"/>
        <w:jc w:val="both"/>
      </w:pPr>
      <w:r>
        <w:rPr>
          <w:rFonts w:asciiTheme="minorHAnsi" w:hAnsiTheme="minorHAnsi"/>
          <w:sz w:val="22"/>
          <w:szCs w:val="22"/>
        </w:rPr>
        <w:t xml:space="preserve">con l’OR 5.1 e l’OR 6.7, di cui l’adeguamento rappresenta la traduzione impiantistica: la mappatura dei flussi produttivi e il Modello di implementazione hanno orientato la scelta degli interventi e la loro aggregazione in unità funzionali;</w:t>
      </w:r>
    </w:p>
    <w:p>
      <w:pPr>
        <w:pStyle w:val="cElencoPuntato"/>
        <w:numPr>
          <w:ilvl w:val="0"/>
          <w:numId w:val="1"/>
        </w:numPr>
        <w:tabs>
          <w:tab w:val="clear" w:pos="720"/>
          <w:tab w:val="num" w:pos="644"/>
        </w:tabs>
        <w:spacing w:after="60" w:line="360" w:lineRule="auto"/>
        <w:ind w:left="644" w:hanging="284"/>
        <w:jc w:val="both"/>
      </w:pPr>
      <w:r>
        <w:rPr>
          <w:rFonts w:asciiTheme="minorHAnsi" w:hAnsiTheme="minorHAnsi"/>
          <w:sz w:val="22"/>
          <w:szCs w:val="22"/>
        </w:rPr>
        <w:t xml:space="preserve">con gli OR 7.1 e 7.2, poiché la sensoristica dei silos, i controlli in linea della smalteria, i sistemi di visione delle linee di rettifica e il potenziamento della rete alimentano la piattaforma E2C collaudata e il rollout certificato in ambiente Digital (Grey) Shadow;</w:t>
      </w:r>
    </w:p>
    <w:p>
      <w:pPr>
        <w:pStyle w:val="cElencoPuntato"/>
        <w:numPr>
          <w:ilvl w:val="0"/>
          <w:numId w:val="1"/>
        </w:numPr>
        <w:tabs>
          <w:tab w:val="clear" w:pos="720"/>
          <w:tab w:val="num" w:pos="644"/>
        </w:tabs>
        <w:spacing w:after="60" w:line="360" w:lineRule="auto"/>
        <w:ind w:left="644" w:hanging="284"/>
        <w:jc w:val="both"/>
      </w:pPr>
      <w:r>
        <w:rPr>
          <w:rFonts w:asciiTheme="minorHAnsi" w:hAnsiTheme="minorHAnsi"/>
          <w:sz w:val="22"/>
          <w:szCs w:val="22"/>
        </w:rPr>
        <w:t xml:space="preserve">con gli OR 7.3 e 7.4, perché gli interventi sul forno e sui consumi rendono disponibili dati per l’EEA+, mentre i sistemi di visione e di scelta forniscono i dati di qualità tecnica richiesti dal P-TSA</w:t>
      </w:r>
      <w:r>
        <w:rPr>
          <w:rFonts w:asciiTheme="minorHAnsi" w:hAnsiTheme="minorHAnsi"/>
          <w:sz w:val="22"/>
          <w:szCs w:val="22"/>
          <w:vertAlign w:val="superscript"/>
        </w:rPr>
        <w:footnoteReference w:id="7"/>
      </w:r>
      <w:r>
        <w:rPr>
          <w:rFonts w:asciiTheme="minorHAnsi" w:hAnsiTheme="minorHAnsi"/>
          <w:sz w:val="22"/>
          <w:szCs w:val="22"/>
        </w:rPr>
        <w:t xml:space="preserve">;</w:t>
      </w:r>
    </w:p>
    <w:p>
      <w:pPr>
        <w:pStyle w:val="cElencoPuntato"/>
        <w:numPr>
          <w:ilvl w:val="0"/>
          <w:numId w:val="1"/>
        </w:numPr>
        <w:tabs>
          <w:tab w:val="clear" w:pos="720"/>
          <w:tab w:val="num" w:pos="644"/>
        </w:tabs>
        <w:spacing w:after="60" w:line="360" w:lineRule="auto"/>
        <w:ind w:left="644" w:hanging="284"/>
        <w:jc w:val="both"/>
      </w:pPr>
      <w:r>
        <w:rPr>
          <w:rFonts w:asciiTheme="minorHAnsi" w:hAnsiTheme="minorHAnsi"/>
          <w:sz w:val="22"/>
          <w:szCs w:val="22"/>
        </w:rPr>
        <w:t xml:space="preserve">con l’OR 7.5, poiché le telecamere sulle linee di rettifica e l’aggiornamento delle linee di scelta costituiscono la base per il calcolo in linea dei KPI di qualità (Right First Time, Defect Rate, Inspection Pass Rate);</w:t>
      </w:r>
    </w:p>
    <w:p>
      <w:pPr>
        <w:pStyle w:val="cElencoPuntato"/>
        <w:numPr>
          <w:ilvl w:val="0"/>
          <w:numId w:val="1"/>
        </w:numPr>
        <w:tabs>
          <w:tab w:val="clear" w:pos="720"/>
          <w:tab w:val="num" w:pos="644"/>
        </w:tabs>
        <w:spacing w:after="60" w:line="360" w:lineRule="auto"/>
        <w:ind w:left="644" w:hanging="284"/>
        <w:jc w:val="both"/>
      </w:pPr>
      <w:r>
        <w:rPr>
          <w:rFonts w:asciiTheme="minorHAnsi" w:hAnsiTheme="minorHAnsi"/>
          <w:sz w:val="22"/>
          <w:szCs w:val="22"/>
        </w:rPr>
        <w:t xml:space="preserve">con gli OR 7.7 e 7.9, in quanto la decorazione digitale DDG1422 e Creadigit Infinity, la nuova attrezzatura di formatura e le linee di applicazione di smalti ed engobbi abilitano l’industrializzazione delle collezioni progettate con il Protocollo di Product Design Thinking.</w:t>
      </w:r>
    </w:p>
    <w:p>
      <w:pPr>
        <w:spacing w:before="0" w:after="120" w:line="360" w:lineRule="auto"/>
        <w:ind w:firstLine="284"/>
        <w:jc w:val="both"/>
      </w:pPr>
      <w:r>
        <w:rPr>
          <w:rFonts w:asciiTheme="minorHAnsi" w:hAnsiTheme="minorHAnsi"/>
          <w:sz w:val="22"/>
          <w:szCs w:val="22"/>
        </w:rPr>
        <w:t xml:space="preserve">In questo quadro, l’OR 7.6 contribuisce direttamente al Risultato Finale RF7 “Documento finale di collaudo della Intelligent Industry”: senza l’adeguamento delle linee, il collaudo dell’OR 7.8, basato sul monitoraggio di almeno sei mesi di produzione tramite EEA+ e P-TSI, non disporrebbe di un ambiente fisico coerente con il modello progettato. Dal punto di vista delle finalità del progetto (paragrafo 4 del Piano di Sviluppo), gli interventi segnano il passaggio dalla digitalizzazione dei processi, tipica della Smart Factory, a una configurazione impiantistica nella quale le linee produttive generano in modo strutturato i dati necessari ad analizzare, prevedere e, in prospettiva, prescrivere le azioni di miglioramento.</w:t>
      </w:r>
    </w:p>
    <w:p>
      <w:pPr>
        <w:spacing w:before="0" w:after="120" w:line="360" w:lineRule="auto"/>
        <w:ind w:firstLine="284"/>
        <w:jc w:val="both"/>
      </w:pPr>
      <w:r>
        <w:rPr>
          <w:rFonts w:asciiTheme="minorHAnsi" w:hAnsiTheme="minorHAnsi"/>
          <w:sz w:val="22"/>
          <w:szCs w:val="22"/>
        </w:rPr>
        <w:t xml:space="preserve">Le implicazioni operative riguardano tre aspetti. In primo luogo, la chiusura dei due interventi residui (revamping dei coloratori delle presse e manipolatore semi-automatico) porterà al 100 % anche l’avanzamento di UF2 e UF4. In secondo luogo, la quota di investimento in corso di rendicontazione (1.833.457 €) dovrà essere completata con la documentazione amministrativa ancora mancante su alcune registrazioni. Infine, va sottolineato che il KPI misura il completamento fisico degli interventi e non la loro efficacia: la verifica delle prestazioni delle linee adeguate è demandata al collaudo della Intelligent Industry (OR 7.8) e ai test in ambiente preindustriale delle nuove collezioni (OR 7.9), che ne costituiscono la naturale prosecuzione.</w:t>
      </w:r>
    </w:p>
    <w:sectPr w:rsidRPr="008B7110" w:rsidR="00E72CA7" w:rsidSect="00087A59">
      <w:headerReference w:type="default" r:id="rId12"/>
      <w:footerReference w:type="default" r:id="rId13"/>
      <w:headerReference w:type="first" r:id="rId14"/>
      <w:footerReference w:type="first" r:id="rId15"/>
      <w:pgSz w:w="11906" w:h="16838" w:orient="portrait" w:code="9"/>
      <w:pgMar w:top="1701" w:right="567" w:bottom="1701" w:left="56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00C2B" w:rsidRDefault="00E00C2B" w14:paraId="33A06B7B" w14:textId="77777777">
      <w:r>
        <w:separator/>
      </w:r>
    </w:p>
  </w:endnote>
  <w:endnote w:type="continuationSeparator" w:id="0">
    <w:p w:rsidR="00E00C2B" w:rsidRDefault="00E00C2B" w14:paraId="64C84C61" w14:textId="77777777">
      <w:r>
        <w:continuationSeparator/>
      </w:r>
    </w:p>
  </w:endnote>
  <w:endnote w:type="continuationNotice" w:id="1">
    <w:p w:rsidR="00E00C2B" w:rsidRDefault="00E00C2B" w14:paraId="3C9B36D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3605069"/>
      <w:docPartObj>
        <w:docPartGallery w:val="Page Numbers (Bottom of Page)"/>
        <w:docPartUnique/>
      </w:docPartObj>
    </w:sdtPr>
    <w:sdtEndPr/>
    <w:sdtContent>
      <w:p w:rsidR="00370626" w:rsidRDefault="00370626" w14:paraId="19381E81" w14:textId="728262E7">
        <w:pPr>
          <w:pStyle w:val="Pidipagina"/>
          <w:jc w:val="center"/>
        </w:pPr>
        <w:r>
          <w:fldChar w:fldCharType="begin"/>
        </w:r>
        <w:r>
          <w:instrText>PAGE   \* MERGEFORMAT</w:instrText>
        </w:r>
        <w:r>
          <w:fldChar w:fldCharType="separate"/>
        </w:r>
        <w:r w:rsidR="00C04F39">
          <w:rPr>
            <w:noProof/>
          </w:rPr>
          <w:t>2</w:t>
        </w:r>
        <w:r>
          <w:fldChar w:fldCharType="end"/>
        </w:r>
      </w:p>
    </w:sdtContent>
  </w:sdt>
  <w:p w:rsidRPr="00087A59" w:rsidR="00A45435" w:rsidP="00087A59" w:rsidRDefault="00A45435" w14:paraId="5067C47B" w14:textId="673FE4C4">
    <w:pPr>
      <w:pStyle w:val="Intestazione"/>
      <w:spacing w:before="60" w:after="240"/>
      <w:jc w:val="center"/>
      <w:rPr>
        <w:rFonts w:ascii="Arial" w:hAnsi="Arial" w:cs="Arial"/>
        <w:b/>
        <w:color w:val="FC4F02"/>
        <w:szCs w:val="3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du wp14">
  <w:p w:rsidR="00F17E66" w:rsidP="00F17E66" w:rsidRDefault="00F17E66" w14:paraId="7829F121" w14:textId="4CADEE65">
    <w:pPr>
      <w:pStyle w:val="Intestazione"/>
      <w:pBdr>
        <w:bottom w:val="single" w:color="024C41" w:sz="18" w:space="1"/>
      </w:pBdr>
      <w:spacing w:before="60" w:after="240"/>
      <w:rPr>
        <w:rFonts w:asciiTheme="minorHAnsi" w:hAnsiTheme="minorHAnsi" w:cstheme="minorHAnsi"/>
        <w:color w:val="00A98E"/>
        <w:sz w:val="28"/>
        <w:szCs w:val="36"/>
      </w:rPr>
    </w:pPr>
  </w:p>
  <w:p w:rsidR="00F17E66" w:rsidP="00F17E66" w:rsidRDefault="003D56D6" w14:paraId="6F2805CB" w14:textId="6463FEE0">
    <w:pPr>
      <w:pStyle w:val="Intestazione"/>
      <w:spacing w:before="60" w:after="240"/>
      <w:jc w:val="center"/>
      <w:rPr>
        <w:rFonts w:asciiTheme="minorHAnsi" w:hAnsiTheme="minorHAnsi" w:cstheme="minorHAnsi"/>
        <w:color w:val="00A98E"/>
        <w:sz w:val="28"/>
        <w:szCs w:val="36"/>
      </w:rPr>
    </w:pPr>
    <w:r w:rsidRPr="003D56D6">
      <w:rPr>
        <w:rFonts w:asciiTheme="minorHAnsi" w:hAnsiTheme="minorHAnsi" w:cstheme="minorHAnsi"/>
        <w:color w:val="00A98E"/>
        <w:sz w:val="28"/>
        <w:szCs w:val="36"/>
      </w:rPr>
      <w:drawing>
        <wp:inline distT="0" distB="0" distL="0" distR="0" wp14:anchorId="6B35C285" wp14:editId="14EFDE97">
          <wp:extent cx="6840220" cy="584835"/>
          <wp:effectExtent l="0" t="0" r="0" b="5715"/>
          <wp:docPr id="27" name="Immagine 26">
            <a:extLst xmlns:a="http://schemas.openxmlformats.org/drawingml/2006/main">
              <a:ext uri="{FF2B5EF4-FFF2-40B4-BE49-F238E27FC236}">
                <a16:creationId xmlns:a16="http://schemas.microsoft.com/office/drawing/2014/main" id="{534DBD57-FA8C-4557-94E5-9E23A699C8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26">
                    <a:extLst>
                      <a:ext uri="{FF2B5EF4-FFF2-40B4-BE49-F238E27FC236}">
                        <a16:creationId xmlns:a16="http://schemas.microsoft.com/office/drawing/2014/main" id="{534DBD57-FA8C-4557-94E5-9E23A699C807}"/>
                      </a:ext>
                    </a:extLst>
                  </pic:cNvPr>
                  <pic:cNvPicPr>
                    <a:picLocks noChangeAspect="1"/>
                  </pic:cNvPicPr>
                </pic:nvPicPr>
                <pic:blipFill>
                  <a:blip r:embed="rId1"/>
                  <a:stretch>
                    <a:fillRect/>
                  </a:stretch>
                </pic:blipFill>
                <pic:spPr>
                  <a:xfrm>
                    <a:off x="0" y="0"/>
                    <a:ext cx="6840220" cy="584835"/>
                  </a:xfrm>
                  <a:prstGeom prst="rect">
                    <a:avLst/>
                  </a:prstGeom>
                </pic:spPr>
              </pic:pic>
            </a:graphicData>
          </a:graphic>
        </wp:inline>
      </w:drawing>
    </w:r>
  </w:p>
  <w:p w:rsidRPr="00D311C2" w:rsidR="00A45435" w:rsidP="00F17E66" w:rsidRDefault="00087A59" w14:paraId="4F75B270" w14:textId="0D97F0C7">
    <w:pPr>
      <w:pStyle w:val="Intestazione"/>
      <w:spacing w:before="60" w:after="240"/>
      <w:jc w:val="center"/>
      <w:rPr>
        <w:rFonts w:asciiTheme="minorHAnsi" w:hAnsiTheme="minorHAnsi" w:cstheme="minorHAnsi"/>
        <w:b/>
        <w:bCs/>
        <w:color w:val="00A98E"/>
        <w:sz w:val="28"/>
        <w:szCs w:val="36"/>
      </w:rPr>
    </w:pPr>
    <w:r w:rsidRPr="00D311C2">
      <w:rPr>
        <w:rFonts w:asciiTheme="minorHAnsi" w:hAnsiTheme="minorHAnsi" w:cstheme="minorHAnsi"/>
        <w:b/>
        <w:bCs/>
        <w:color w:val="00A98E"/>
        <w:sz w:val="28"/>
        <w:szCs w:val="36"/>
      </w:rPr>
      <w:t>www.</w:t>
    </w:r>
    <w:r w:rsidRPr="00D311C2" w:rsidR="00A42963">
      <w:rPr>
        <w:rFonts w:asciiTheme="minorHAnsi" w:hAnsiTheme="minorHAnsi" w:cstheme="minorHAnsi"/>
        <w:b/>
        <w:bCs/>
        <w:color w:val="00A98E"/>
        <w:sz w:val="28"/>
        <w:szCs w:val="36"/>
      </w:rPr>
      <w:t>start</w:t>
    </w:r>
    <w:r w:rsidR="003D56D6">
      <w:rPr>
        <w:rFonts w:asciiTheme="minorHAnsi" w:hAnsiTheme="minorHAnsi" w:cstheme="minorHAnsi"/>
        <w:b/>
        <w:bCs/>
        <w:color w:val="00A98E"/>
        <w:sz w:val="28"/>
        <w:szCs w:val="36"/>
      </w:rPr>
      <w:t>-innovability</w:t>
    </w:r>
    <w:r w:rsidRPr="00D311C2">
      <w:rPr>
        <w:rFonts w:asciiTheme="minorHAnsi" w:hAnsiTheme="minorHAnsi" w:cstheme="minorHAnsi"/>
        <w:b/>
        <w:bCs/>
        <w:color w:val="00A98E"/>
        <w:sz w:val="28"/>
        <w:szCs w:val="36"/>
      </w:rPr>
      <w:t>.</w:t>
    </w:r>
    <w:r w:rsidRPr="00D311C2" w:rsidR="00064C8D">
      <w:rPr>
        <w:rFonts w:asciiTheme="minorHAnsi" w:hAnsiTheme="minorHAnsi" w:cstheme="minorHAnsi"/>
        <w:b/>
        <w:bCs/>
        <w:color w:val="00A98E"/>
        <w:sz w:val="28"/>
        <w:szCs w:val="36"/>
      </w:rPr>
      <w:t>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00C2B" w:rsidRDefault="00E00C2B" w14:paraId="02105F46" w14:textId="77777777">
      <w:r>
        <w:separator/>
      </w:r>
    </w:p>
  </w:footnote>
  <w:footnote w:type="continuationSeparator" w:id="0">
    <w:p w:rsidR="00E00C2B" w:rsidRDefault="00E00C2B" w14:paraId="76C87ED6" w14:textId="77777777">
      <w:r>
        <w:continuationSeparator/>
      </w:r>
    </w:p>
  </w:footnote>
  <w:footnote w:type="continuationNotice" w:id="1">
    <w:p w:rsidR="00E00C2B" w:rsidRDefault="00E00C2B" w14:paraId="73FD6273" w14:textId="77777777"/>
  </w:footnote>
  <w:footnote w:id="2">
    <w:p>
      <w:pPr>
        <w:spacing w:after="0"/>
        <w:jc w:val="both"/>
      </w:pPr>
      <w:r>
        <w:rPr>
          <w:rFonts w:asciiTheme="minorHAnsi" w:hAnsiTheme="minorHAnsi"/>
          <w:sz w:val="16"/>
          <w:vertAlign w:val="superscript"/>
        </w:rPr>
        <w:footnoteRef/>
      </w:r>
      <w:r>
        <w:rPr>
          <w:rFonts w:asciiTheme="minorHAnsi" w:hAnsiTheme="minorHAnsi"/>
          <w:sz w:val="16"/>
        </w:rPr>
        <w:t xml:space="preserve"> Wang, B., Tao, F., Fang, X., Liu, C., Liu, Y., &amp; Freiheit, T. (2021). Smart manufacturing and intelligent manufacturing: A comparative review. Engineering, 7(6), 738-757.</w:t>
      </w:r>
    </w:p>
  </w:footnote>
  <w:footnote w:id="3">
    <w:p>
      <w:pPr>
        <w:spacing w:after="0"/>
        <w:jc w:val="both"/>
      </w:pPr>
      <w:r>
        <w:rPr>
          <w:rFonts w:asciiTheme="minorHAnsi" w:hAnsiTheme="minorHAnsi"/>
          <w:sz w:val="16"/>
          <w:vertAlign w:val="superscript"/>
        </w:rPr>
        <w:footnoteRef/>
      </w:r>
      <w:r>
        <w:rPr>
          <w:rFonts w:asciiTheme="minorHAnsi" w:hAnsiTheme="minorHAnsi"/>
          <w:sz w:val="16"/>
        </w:rPr>
        <w:t xml:space="preserve"> Valero, M. R., Newman, S. T., &amp; Nassehi, A. (2022). Link4Smart: A New Framework for Smart Manufacturing Linking Industry 4.0 Relevant Technologies. Procedia CIRP, 107, 1594-1599.</w:t>
      </w:r>
    </w:p>
  </w:footnote>
  <w:footnote w:id="4">
    <w:p>
      <w:pPr>
        <w:spacing w:after="0"/>
        <w:jc w:val="both"/>
      </w:pPr>
      <w:r>
        <w:rPr>
          <w:rFonts w:asciiTheme="minorHAnsi" w:hAnsiTheme="minorHAnsi"/>
          <w:sz w:val="16"/>
          <w:vertAlign w:val="superscript"/>
        </w:rPr>
        <w:footnoteRef/>
      </w:r>
      <w:r>
        <w:rPr>
          <w:rFonts w:asciiTheme="minorHAnsi" w:hAnsiTheme="minorHAnsi"/>
          <w:sz w:val="16"/>
        </w:rPr>
        <w:t xml:space="preserve"> Zhang, J., Deng, C., Zheng, P., Xu, X., &amp; Ma, Z. (2021). Development of an edge computing-based cyber-physical machine tool. Robotics and Computer-Integrated Manufacturing, 67, 102042.</w:t>
      </w:r>
    </w:p>
  </w:footnote>
  <w:footnote w:id="5">
    <w:p>
      <w:pPr>
        <w:spacing w:after="0"/>
        <w:jc w:val="both"/>
      </w:pPr>
      <w:r>
        <w:rPr>
          <w:rFonts w:asciiTheme="minorHAnsi" w:hAnsiTheme="minorHAnsi"/>
          <w:sz w:val="16"/>
          <w:vertAlign w:val="superscript"/>
        </w:rPr>
        <w:footnoteRef/>
      </w:r>
      <w:r>
        <w:rPr>
          <w:rFonts w:asciiTheme="minorHAnsi" w:hAnsiTheme="minorHAnsi"/>
          <w:sz w:val="16"/>
        </w:rPr>
        <w:t xml:space="preserve"> Teng, S. Y., Touš, M., Leong, W. D., How, B. S., Lam, H. L., &amp; Máša, V. (2021). Recent advances on industrial data-driven energy savings: Digital twins and infrastructures. Renewable and Sustainable Energy Reviews, 135, 110208.</w:t>
      </w:r>
    </w:p>
  </w:footnote>
  <w:footnote w:id="6">
    <w:p>
      <w:pPr>
        <w:spacing w:after="0"/>
        <w:jc w:val="both"/>
      </w:pPr>
      <w:r>
        <w:rPr>
          <w:rFonts w:asciiTheme="minorHAnsi" w:hAnsiTheme="minorHAnsi"/>
          <w:sz w:val="16"/>
          <w:vertAlign w:val="superscript"/>
        </w:rPr>
        <w:footnoteRef/>
      </w:r>
      <w:r>
        <w:rPr>
          <w:rFonts w:asciiTheme="minorHAnsi" w:hAnsiTheme="minorHAnsi"/>
          <w:sz w:val="16"/>
        </w:rPr>
        <w:t xml:space="preserve"> Peres, R. S., Jia, X., Lee, J., Sun, K., Colombo, A. W., &amp; Barata, J. (2020). Industrial artificial intelligence in industry 4.0 - systematic review, challenges and outlook. IEEE Access, 8, 220121-220139.</w:t>
      </w:r>
    </w:p>
  </w:footnote>
  <w:footnote w:id="7">
    <w:p>
      <w:pPr>
        <w:spacing w:after="0"/>
        <w:jc w:val="both"/>
      </w:pPr>
      <w:r>
        <w:rPr>
          <w:rFonts w:asciiTheme="minorHAnsi" w:hAnsiTheme="minorHAnsi"/>
          <w:sz w:val="16"/>
          <w:vertAlign w:val="superscript"/>
        </w:rPr>
        <w:footnoteRef/>
      </w:r>
      <w:r>
        <w:rPr>
          <w:rFonts w:asciiTheme="minorHAnsi" w:hAnsiTheme="minorHAnsi"/>
          <w:sz w:val="16"/>
        </w:rPr>
        <w:t xml:space="preserve"> Vacchi, M., Siligardi, C., Demaria, F., Cedillo-González, E. I., González-Sánchez, R., &amp; Settembre-Blundo, D. (2021). Technological sustainability or sustainable technology? A multidimensional vision of sustainability in manufacturing. Sustainability, 13(17), 9942.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tbl>
    <w:tblPr>
      <w:tblStyle w:val="Grigliatabella"/>
      <w:tblW w:w="10762" w:type="dxa"/>
      <w:tblInd w:w="-108" w:type="dxa"/>
      <w:tblBorders>
        <w:top w:val="single" w:color="024C41" w:sz="18" w:space="0"/>
        <w:left w:val="none" w:color="auto" w:sz="0" w:space="0"/>
        <w:bottom w:val="single" w:color="024C41" w:sz="18" w:space="0"/>
        <w:right w:val="none" w:color="auto" w:sz="0" w:space="0"/>
        <w:insideH w:val="none" w:color="auto" w:sz="0" w:space="0"/>
        <w:insideV w:val="none" w:color="auto" w:sz="0" w:space="0"/>
      </w:tblBorders>
      <w:tblLook w:val="04A0" w:firstRow="1" w:lastRow="0" w:firstColumn="1" w:lastColumn="0" w:noHBand="0" w:noVBand="1"/>
    </w:tblPr>
    <w:tblGrid>
      <w:gridCol w:w="4542"/>
      <w:gridCol w:w="6220"/>
    </w:tblGrid>
    <w:tr w:rsidRPr="00A42963" w:rsidR="00380ACF" w:rsidTr="00A42963" w14:paraId="139FF03E" w14:textId="77777777">
      <w:tc>
        <w:tcPr>
          <w:tcW w:w="4542" w:type="dxa"/>
        </w:tcPr>
        <w:p w:rsidRPr="00F17E66" w:rsidR="00F17E66" w:rsidP="007D40B1" w:rsidRDefault="00F17E66" w14:paraId="16933ECD" w14:textId="77777777">
          <w:pPr>
            <w:rPr>
              <w:sz w:val="10"/>
              <w:szCs w:val="10"/>
            </w:rPr>
          </w:pPr>
        </w:p>
        <w:p w:rsidR="00380ACF" w:rsidP="007D40B1" w:rsidRDefault="00A42963" w14:paraId="218CE45F" w14:textId="77777777">
          <w:r w:rsidRPr="00380ACF">
            <w:rPr>
              <w:noProof/>
            </w:rPr>
            <w:drawing>
              <wp:inline distT="0" distB="0" distL="0" distR="0" wp14:anchorId="3F19B9DA" wp14:editId="4A2D37D4">
                <wp:extent cx="2047875" cy="1134548"/>
                <wp:effectExtent l="0" t="0" r="0" b="8890"/>
                <wp:docPr id="526394239" name="Immagine 52639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020" name=""/>
                        <pic:cNvPicPr/>
                      </pic:nvPicPr>
                      <pic:blipFill>
                        <a:blip r:embed="rId1"/>
                        <a:stretch>
                          <a:fillRect/>
                        </a:stretch>
                      </pic:blipFill>
                      <pic:spPr>
                        <a:xfrm>
                          <a:off x="0" y="0"/>
                          <a:ext cx="2058155" cy="1140243"/>
                        </a:xfrm>
                        <a:prstGeom prst="rect">
                          <a:avLst/>
                        </a:prstGeom>
                      </pic:spPr>
                    </pic:pic>
                  </a:graphicData>
                </a:graphic>
              </wp:inline>
            </w:drawing>
          </w:r>
        </w:p>
        <w:p w:rsidRPr="00F17E66" w:rsidR="00F17E66" w:rsidP="007D40B1" w:rsidRDefault="00F17E66" w14:paraId="47756266" w14:textId="51DC96D5">
          <w:pPr>
            <w:rPr>
              <w:sz w:val="10"/>
              <w:szCs w:val="10"/>
            </w:rPr>
          </w:pPr>
        </w:p>
      </w:tc>
      <w:tc>
        <w:tcPr>
          <w:tcW w:w="6220" w:type="dxa"/>
        </w:tcPr>
        <w:p w:rsidR="00A42963" w:rsidP="007D40B1" w:rsidRDefault="00A42963" w14:paraId="6E891721" w14:textId="77777777">
          <w:pPr>
            <w:jc w:val="center"/>
            <w:rPr>
              <w:rFonts w:asciiTheme="minorHAnsi" w:hAnsiTheme="minorHAnsi" w:cstheme="minorHAnsi"/>
              <w:b/>
              <w:color w:val="595959"/>
              <w:szCs w:val="24"/>
              <w:lang w:val="en-US"/>
            </w:rPr>
          </w:pPr>
        </w:p>
        <w:p w:rsidRPr="00A42963" w:rsidR="00380ACF" w:rsidP="007D40B1" w:rsidRDefault="00380ACF" w14:paraId="01794B94" w14:textId="22CA4F9A">
          <w:pPr>
            <w:jc w:val="center"/>
            <w:rPr>
              <w:rFonts w:asciiTheme="minorHAnsi" w:hAnsiTheme="minorHAnsi" w:cstheme="minorHAnsi"/>
              <w:b/>
              <w:color w:val="024C41"/>
              <w:sz w:val="32"/>
              <w:szCs w:val="36"/>
              <w:lang w:val="en-US"/>
            </w:rPr>
          </w:pPr>
          <w:proofErr w:type="spellStart"/>
          <w:r w:rsidRPr="00A42963">
            <w:rPr>
              <w:rFonts w:asciiTheme="minorHAnsi" w:hAnsiTheme="minorHAnsi" w:cstheme="minorHAnsi"/>
              <w:b/>
              <w:color w:val="024C41"/>
              <w:sz w:val="32"/>
              <w:szCs w:val="36"/>
              <w:lang w:val="en-US"/>
            </w:rPr>
            <w:t>SusTainable</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dAta-dRiven</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manufacTuring</w:t>
          </w:r>
          <w:proofErr w:type="spellEnd"/>
        </w:p>
        <w:p w:rsidRPr="00A42963" w:rsidR="00380ACF" w:rsidP="007D40B1" w:rsidRDefault="00380ACF" w14:paraId="255519F3" w14:textId="77777777">
          <w:pPr>
            <w:jc w:val="center"/>
            <w:rPr>
              <w:rFonts w:asciiTheme="minorHAnsi" w:hAnsiTheme="minorHAnsi" w:cstheme="minorHAnsi"/>
              <w:b/>
              <w:color w:val="525252" w:themeColor="accent3" w:themeShade="80"/>
              <w:sz w:val="16"/>
              <w:szCs w:val="20"/>
              <w:lang w:val="en-US"/>
            </w:rPr>
          </w:pPr>
        </w:p>
        <w:p w:rsidRPr="00A42963" w:rsidR="00A42963" w:rsidP="007D40B1" w:rsidRDefault="00A42963" w14:paraId="4CBF8299" w14:textId="77777777">
          <w:pPr>
            <w:jc w:val="center"/>
            <w:rPr>
              <w:rFonts w:asciiTheme="minorHAnsi" w:hAnsiTheme="minorHAnsi" w:cstheme="minorHAnsi"/>
              <w:b/>
              <w:color w:val="00A98E"/>
              <w:sz w:val="24"/>
              <w:szCs w:val="32"/>
            </w:rPr>
          </w:pPr>
          <w:r w:rsidRPr="00A42963">
            <w:rPr>
              <w:rFonts w:asciiTheme="minorHAnsi" w:hAnsiTheme="minorHAnsi" w:cstheme="minorHAnsi"/>
              <w:b/>
              <w:color w:val="00A98E"/>
              <w:sz w:val="24"/>
              <w:szCs w:val="32"/>
            </w:rPr>
            <w:t>Accordo Innovazione DM 31/12/2021</w:t>
          </w:r>
        </w:p>
        <w:p w:rsidRPr="00A42963" w:rsidR="00380ACF" w:rsidP="007D40B1" w:rsidRDefault="00380ACF" w14:paraId="4CD1470F" w14:textId="201B274D">
          <w:pPr>
            <w:jc w:val="center"/>
            <w:rPr>
              <w:rFonts w:asciiTheme="minorHAnsi" w:hAnsiTheme="minorHAnsi" w:cstheme="minorHAnsi"/>
              <w:b/>
              <w:color w:val="595959"/>
              <w:szCs w:val="24"/>
            </w:rPr>
          </w:pPr>
          <w:r w:rsidRPr="00A42963">
            <w:rPr>
              <w:rFonts w:asciiTheme="minorHAnsi" w:hAnsiTheme="minorHAnsi" w:cstheme="minorHAnsi"/>
              <w:b/>
              <w:color w:val="00A98E"/>
              <w:sz w:val="24"/>
              <w:szCs w:val="32"/>
            </w:rPr>
            <w:t xml:space="preserve">Prog. n. </w:t>
          </w:r>
          <w:r w:rsidRPr="00A42963" w:rsidR="00A42963">
            <w:rPr>
              <w:rFonts w:asciiTheme="minorHAnsi" w:hAnsiTheme="minorHAnsi" w:cstheme="minorHAnsi"/>
              <w:b/>
              <w:color w:val="00A98E"/>
              <w:sz w:val="24"/>
              <w:szCs w:val="32"/>
            </w:rPr>
            <w:t>F/310087/01-05/X56</w:t>
          </w:r>
          <w:r w:rsidRPr="00A42963" w:rsidR="00A42963">
            <w:rPr>
              <w:rFonts w:asciiTheme="minorHAnsi" w:hAnsiTheme="minorHAnsi" w:cstheme="minorHAnsi"/>
              <w:b/>
              <w:color w:val="595959"/>
              <w:sz w:val="24"/>
              <w:szCs w:val="32"/>
            </w:rPr>
            <w:t xml:space="preserve"> </w:t>
          </w:r>
        </w:p>
      </w:tc>
    </w:tr>
  </w:tbl>
  <w:p w:rsidRPr="00A42963" w:rsidR="00087A59" w:rsidP="00087A59" w:rsidRDefault="00087A59" w14:paraId="02404575" w14:textId="7777777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tbl>
    <w:tblPr>
      <w:tblStyle w:val="Grigliatabella"/>
      <w:tblW w:w="0" w:type="auto"/>
      <w:tblBorders>
        <w:top w:val="single" w:color="024C41" w:sz="18" w:space="0"/>
        <w:left w:val="none" w:color="auto" w:sz="0" w:space="0"/>
        <w:bottom w:val="single" w:color="024C41" w:sz="18" w:space="0"/>
        <w:right w:val="none" w:color="auto" w:sz="0" w:space="0"/>
        <w:insideH w:val="none" w:color="auto" w:sz="0" w:space="0"/>
        <w:insideV w:val="none" w:color="auto" w:sz="0" w:space="0"/>
      </w:tblBorders>
      <w:tblLook w:val="04A0" w:firstRow="1" w:lastRow="0" w:firstColumn="1" w:lastColumn="0" w:noHBand="0" w:noVBand="1"/>
    </w:tblPr>
    <w:tblGrid>
      <w:gridCol w:w="4542"/>
      <w:gridCol w:w="6220"/>
    </w:tblGrid>
    <w:tr w:rsidRPr="00380ACF" w:rsidR="00380ACF" w:rsidTr="00A42963" w14:paraId="5203FB71" w14:textId="77777777">
      <w:tc>
        <w:tcPr>
          <w:tcW w:w="4542" w:type="dxa"/>
        </w:tcPr>
        <w:p w:rsidRPr="00F17E66" w:rsidR="00F17E66" w:rsidP="0015016E" w:rsidRDefault="00F17E66" w14:paraId="2F4F55F4" w14:textId="77777777">
          <w:pPr>
            <w:rPr>
              <w:sz w:val="10"/>
              <w:szCs w:val="10"/>
            </w:rPr>
          </w:pPr>
        </w:p>
        <w:p w:rsidR="00380ACF" w:rsidP="0015016E" w:rsidRDefault="00380ACF" w14:paraId="0EFBB021" w14:textId="6C951B90">
          <w:r w:rsidRPr="00380ACF">
            <w:rPr>
              <w:noProof/>
            </w:rPr>
            <w:drawing>
              <wp:inline distT="0" distB="0" distL="0" distR="0" wp14:anchorId="0A26CCA4" wp14:editId="55E72B44">
                <wp:extent cx="2047875" cy="1134548"/>
                <wp:effectExtent l="0" t="0" r="0" b="8890"/>
                <wp:docPr id="888620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020" name=""/>
                        <pic:cNvPicPr/>
                      </pic:nvPicPr>
                      <pic:blipFill>
                        <a:blip r:embed="rId1"/>
                        <a:stretch>
                          <a:fillRect/>
                        </a:stretch>
                      </pic:blipFill>
                      <pic:spPr>
                        <a:xfrm>
                          <a:off x="0" y="0"/>
                          <a:ext cx="2058155" cy="1140243"/>
                        </a:xfrm>
                        <a:prstGeom prst="rect">
                          <a:avLst/>
                        </a:prstGeom>
                      </pic:spPr>
                    </pic:pic>
                  </a:graphicData>
                </a:graphic>
              </wp:inline>
            </w:drawing>
          </w:r>
        </w:p>
        <w:p w:rsidRPr="00F17E66" w:rsidR="00F17E66" w:rsidP="0015016E" w:rsidRDefault="00F17E66" w14:paraId="6F560366" w14:textId="31DA55B3">
          <w:pPr>
            <w:rPr>
              <w:sz w:val="10"/>
              <w:szCs w:val="10"/>
            </w:rPr>
          </w:pPr>
        </w:p>
      </w:tc>
      <w:tc>
        <w:tcPr>
          <w:tcW w:w="6220" w:type="dxa"/>
        </w:tcPr>
        <w:p w:rsidR="00380ACF" w:rsidP="00002427" w:rsidRDefault="00380ACF" w14:paraId="236DDD0D" w14:textId="77777777">
          <w:pPr>
            <w:jc w:val="center"/>
            <w:rPr>
              <w:rFonts w:asciiTheme="minorHAnsi" w:hAnsiTheme="minorHAnsi" w:cstheme="minorHAnsi"/>
              <w:color w:val="525252" w:themeColor="accent3" w:themeShade="80"/>
              <w:sz w:val="28"/>
              <w:szCs w:val="24"/>
            </w:rPr>
          </w:pPr>
        </w:p>
        <w:p w:rsidRPr="00A42963" w:rsidR="00A42963" w:rsidP="00A42963" w:rsidRDefault="00A42963" w14:paraId="2BBAF2B0" w14:textId="77777777">
          <w:pPr>
            <w:jc w:val="center"/>
            <w:rPr>
              <w:rFonts w:asciiTheme="minorHAnsi" w:hAnsiTheme="minorHAnsi" w:cstheme="minorHAnsi"/>
              <w:b/>
              <w:color w:val="024C41"/>
              <w:sz w:val="32"/>
              <w:szCs w:val="36"/>
              <w:lang w:val="en-US"/>
            </w:rPr>
          </w:pPr>
          <w:proofErr w:type="spellStart"/>
          <w:r w:rsidRPr="00A42963">
            <w:rPr>
              <w:rFonts w:asciiTheme="minorHAnsi" w:hAnsiTheme="minorHAnsi" w:cstheme="minorHAnsi"/>
              <w:b/>
              <w:color w:val="024C41"/>
              <w:sz w:val="32"/>
              <w:szCs w:val="36"/>
              <w:lang w:val="en-US"/>
            </w:rPr>
            <w:t>SusTainable</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dAta-dRiven</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manufacTuring</w:t>
          </w:r>
          <w:proofErr w:type="spellEnd"/>
        </w:p>
        <w:p w:rsidRPr="00A42963" w:rsidR="00A42963" w:rsidP="00A42963" w:rsidRDefault="00A42963" w14:paraId="3DFD2533" w14:textId="77777777">
          <w:pPr>
            <w:jc w:val="center"/>
            <w:rPr>
              <w:rFonts w:asciiTheme="minorHAnsi" w:hAnsiTheme="minorHAnsi" w:cstheme="minorHAnsi"/>
              <w:b/>
              <w:color w:val="525252" w:themeColor="accent3" w:themeShade="80"/>
              <w:sz w:val="16"/>
              <w:szCs w:val="20"/>
              <w:lang w:val="en-US"/>
            </w:rPr>
          </w:pPr>
        </w:p>
        <w:p w:rsidRPr="00A42963" w:rsidR="00A42963" w:rsidP="00A42963" w:rsidRDefault="00A42963" w14:paraId="3388F882" w14:textId="77777777">
          <w:pPr>
            <w:jc w:val="center"/>
            <w:rPr>
              <w:rFonts w:asciiTheme="minorHAnsi" w:hAnsiTheme="minorHAnsi" w:cstheme="minorHAnsi"/>
              <w:b/>
              <w:color w:val="00A98E"/>
              <w:sz w:val="24"/>
              <w:szCs w:val="32"/>
            </w:rPr>
          </w:pPr>
          <w:r w:rsidRPr="00A42963">
            <w:rPr>
              <w:rFonts w:asciiTheme="minorHAnsi" w:hAnsiTheme="minorHAnsi" w:cstheme="minorHAnsi"/>
              <w:b/>
              <w:color w:val="00A98E"/>
              <w:sz w:val="24"/>
              <w:szCs w:val="32"/>
            </w:rPr>
            <w:t>Accordo Innovazione DM 31/12/2021</w:t>
          </w:r>
        </w:p>
        <w:p w:rsidRPr="008862C9" w:rsidR="00380ACF" w:rsidP="00A42963" w:rsidRDefault="00A42963" w14:paraId="0D1DF9C7" w14:textId="28B26B0B">
          <w:pPr>
            <w:jc w:val="center"/>
            <w:rPr>
              <w:rFonts w:asciiTheme="minorHAnsi" w:hAnsiTheme="minorHAnsi" w:cstheme="minorHAnsi"/>
              <w:b/>
              <w:color w:val="595959"/>
              <w:szCs w:val="24"/>
              <w:lang w:val="en-US"/>
            </w:rPr>
          </w:pPr>
          <w:r w:rsidRPr="00A42963">
            <w:rPr>
              <w:rFonts w:asciiTheme="minorHAnsi" w:hAnsiTheme="minorHAnsi" w:cstheme="minorHAnsi"/>
              <w:b/>
              <w:color w:val="00A98E"/>
              <w:sz w:val="24"/>
              <w:szCs w:val="32"/>
            </w:rPr>
            <w:t>Prog. n. F/310087/01-05/X56</w:t>
          </w:r>
        </w:p>
      </w:tc>
    </w:tr>
  </w:tbl>
  <w:p w:rsidRPr="00002427" w:rsidR="00A45435" w:rsidP="00087A59" w:rsidRDefault="00A45435" w14:paraId="7DD20812" w14:textId="77777777">
    <w:pPr>
      <w:pStyle w:val="Intestazion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BD5014"/>
    <w:multiLevelType w:val="hybridMultilevel"/>
    <w:tmpl w:val="93769E98"/>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1" w15:restartNumberingAfterBreak="0">
    <w:nsid w:val="14121B98"/>
    <w:multiLevelType w:val="hybridMultilevel"/>
    <w:tmpl w:val="AD8680F6"/>
    <w:lvl w:ilvl="0" w:tplc="8AC64D14">
      <w:start w:val="1"/>
      <w:numFmt w:val="bullet"/>
      <w:pStyle w:val="cElencoPuntato"/>
      <w:lvlText w:val=""/>
      <w:lvlJc w:val="left"/>
      <w:pPr>
        <w:tabs>
          <w:tab w:val="num" w:pos="720"/>
        </w:tabs>
        <w:ind w:left="720" w:hanging="360"/>
      </w:pPr>
      <w:rPr>
        <w:rFonts w:hint="default" w:ascii="Symbol" w:hAnsi="Symbol"/>
      </w:rPr>
    </w:lvl>
    <w:lvl w:ilvl="1" w:tplc="C91830AC">
      <w:start w:val="1"/>
      <w:numFmt w:val="decimal"/>
      <w:pStyle w:val="cElencoNumerato"/>
      <w:lvlText w:val="%2."/>
      <w:lvlJc w:val="left"/>
      <w:pPr>
        <w:tabs>
          <w:tab w:val="num" w:pos="1440"/>
        </w:tabs>
        <w:ind w:left="1440" w:hanging="360"/>
      </w:pPr>
      <w:rPr>
        <w:rFonts w:hint="default"/>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cs="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cs="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220557A6"/>
    <w:multiLevelType w:val="hybridMultilevel"/>
    <w:tmpl w:val="7F88E97C"/>
    <w:lvl w:ilvl="0" w:tplc="0410000F">
      <w:start w:val="1"/>
      <w:numFmt w:val="decimal"/>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 w15:restartNumberingAfterBreak="0">
    <w:nsid w:val="2D960A9C"/>
    <w:multiLevelType w:val="hybridMultilevel"/>
    <w:tmpl w:val="93769E98"/>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4" w15:restartNumberingAfterBreak="0">
    <w:nsid w:val="2DF2637A"/>
    <w:multiLevelType w:val="hybridMultilevel"/>
    <w:tmpl w:val="2244106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 w15:restartNumberingAfterBreak="0">
    <w:nsid w:val="475E36B0"/>
    <w:multiLevelType w:val="hybridMultilevel"/>
    <w:tmpl w:val="85B4CF3C"/>
    <w:lvl w:ilvl="0" w:tplc="0410001B">
      <w:start w:val="1"/>
      <w:numFmt w:val="low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F5123DF"/>
    <w:multiLevelType w:val="hybridMultilevel"/>
    <w:tmpl w:val="BF0CD84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869414988">
    <w:abstractNumId w:val="1"/>
  </w:num>
  <w:num w:numId="2" w16cid:durableId="191889600">
    <w:abstractNumId w:val="0"/>
  </w:num>
  <w:num w:numId="3" w16cid:durableId="1405685383">
    <w:abstractNumId w:val="3"/>
  </w:num>
  <w:num w:numId="4" w16cid:durableId="905260640">
    <w:abstractNumId w:val="6"/>
  </w:num>
  <w:num w:numId="5" w16cid:durableId="453256951">
    <w:abstractNumId w:val="2"/>
  </w:num>
  <w:num w:numId="6" w16cid:durableId="522670935">
    <w:abstractNumId w:val="4"/>
  </w:num>
  <w:num w:numId="7" w16cid:durableId="1079059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CE5"/>
    <w:rsid w:val="00001033"/>
    <w:rsid w:val="00002427"/>
    <w:rsid w:val="00006006"/>
    <w:rsid w:val="00024280"/>
    <w:rsid w:val="00052384"/>
    <w:rsid w:val="00064C8D"/>
    <w:rsid w:val="0008606B"/>
    <w:rsid w:val="00087A59"/>
    <w:rsid w:val="000A188F"/>
    <w:rsid w:val="000B3532"/>
    <w:rsid w:val="000B5364"/>
    <w:rsid w:val="000E0F4B"/>
    <w:rsid w:val="00100C27"/>
    <w:rsid w:val="0010451F"/>
    <w:rsid w:val="001051CE"/>
    <w:rsid w:val="0010645D"/>
    <w:rsid w:val="00113341"/>
    <w:rsid w:val="00127BBC"/>
    <w:rsid w:val="001449AE"/>
    <w:rsid w:val="001462FF"/>
    <w:rsid w:val="00146F78"/>
    <w:rsid w:val="0015016E"/>
    <w:rsid w:val="001510E5"/>
    <w:rsid w:val="001554A8"/>
    <w:rsid w:val="001653F0"/>
    <w:rsid w:val="001822C7"/>
    <w:rsid w:val="00191ADB"/>
    <w:rsid w:val="001A0748"/>
    <w:rsid w:val="001C44BF"/>
    <w:rsid w:val="001E600D"/>
    <w:rsid w:val="00222544"/>
    <w:rsid w:val="00227AC2"/>
    <w:rsid w:val="002975EB"/>
    <w:rsid w:val="002A5642"/>
    <w:rsid w:val="002B45C4"/>
    <w:rsid w:val="002E15C9"/>
    <w:rsid w:val="002E47CA"/>
    <w:rsid w:val="002E484B"/>
    <w:rsid w:val="002F7338"/>
    <w:rsid w:val="00315AA6"/>
    <w:rsid w:val="003322CF"/>
    <w:rsid w:val="00343A1A"/>
    <w:rsid w:val="00347BBE"/>
    <w:rsid w:val="00350A3F"/>
    <w:rsid w:val="00370626"/>
    <w:rsid w:val="00371FD0"/>
    <w:rsid w:val="00380ACF"/>
    <w:rsid w:val="0038210E"/>
    <w:rsid w:val="00382ABE"/>
    <w:rsid w:val="00383857"/>
    <w:rsid w:val="00383873"/>
    <w:rsid w:val="00385DCD"/>
    <w:rsid w:val="00387C8F"/>
    <w:rsid w:val="003A3863"/>
    <w:rsid w:val="003A57CA"/>
    <w:rsid w:val="003C3A0D"/>
    <w:rsid w:val="003C64CC"/>
    <w:rsid w:val="003C78BD"/>
    <w:rsid w:val="003D56D6"/>
    <w:rsid w:val="003E42C0"/>
    <w:rsid w:val="003F4647"/>
    <w:rsid w:val="0040212E"/>
    <w:rsid w:val="00414D72"/>
    <w:rsid w:val="00426722"/>
    <w:rsid w:val="00432469"/>
    <w:rsid w:val="00434775"/>
    <w:rsid w:val="00442016"/>
    <w:rsid w:val="00443BED"/>
    <w:rsid w:val="00450950"/>
    <w:rsid w:val="00450A34"/>
    <w:rsid w:val="00450E87"/>
    <w:rsid w:val="0047034A"/>
    <w:rsid w:val="004710B2"/>
    <w:rsid w:val="004916F7"/>
    <w:rsid w:val="00493606"/>
    <w:rsid w:val="00493E90"/>
    <w:rsid w:val="004B09C4"/>
    <w:rsid w:val="004E415B"/>
    <w:rsid w:val="004E44AC"/>
    <w:rsid w:val="004F0C5E"/>
    <w:rsid w:val="004F0D85"/>
    <w:rsid w:val="004F32C6"/>
    <w:rsid w:val="004F52C7"/>
    <w:rsid w:val="005020E1"/>
    <w:rsid w:val="00506E16"/>
    <w:rsid w:val="0052090E"/>
    <w:rsid w:val="00530C1B"/>
    <w:rsid w:val="00562094"/>
    <w:rsid w:val="005635AE"/>
    <w:rsid w:val="0057172B"/>
    <w:rsid w:val="0058302C"/>
    <w:rsid w:val="005A3044"/>
    <w:rsid w:val="005A5BFE"/>
    <w:rsid w:val="005B40DA"/>
    <w:rsid w:val="005B52BF"/>
    <w:rsid w:val="005B5379"/>
    <w:rsid w:val="005B6BE3"/>
    <w:rsid w:val="005C62FD"/>
    <w:rsid w:val="005E6551"/>
    <w:rsid w:val="005E7218"/>
    <w:rsid w:val="005F7F0A"/>
    <w:rsid w:val="0061475E"/>
    <w:rsid w:val="00615811"/>
    <w:rsid w:val="00625C20"/>
    <w:rsid w:val="0063488E"/>
    <w:rsid w:val="00634A47"/>
    <w:rsid w:val="00641534"/>
    <w:rsid w:val="00642610"/>
    <w:rsid w:val="00655FC3"/>
    <w:rsid w:val="006870C1"/>
    <w:rsid w:val="006C6880"/>
    <w:rsid w:val="006C6D64"/>
    <w:rsid w:val="006F4EFB"/>
    <w:rsid w:val="006F5C0B"/>
    <w:rsid w:val="006F7023"/>
    <w:rsid w:val="00720738"/>
    <w:rsid w:val="00725F1C"/>
    <w:rsid w:val="00730651"/>
    <w:rsid w:val="00730942"/>
    <w:rsid w:val="00755FC1"/>
    <w:rsid w:val="007646A3"/>
    <w:rsid w:val="00783232"/>
    <w:rsid w:val="00792B4F"/>
    <w:rsid w:val="00796574"/>
    <w:rsid w:val="007D40B1"/>
    <w:rsid w:val="007F6F05"/>
    <w:rsid w:val="0081034F"/>
    <w:rsid w:val="0083544C"/>
    <w:rsid w:val="0083750A"/>
    <w:rsid w:val="0084603E"/>
    <w:rsid w:val="00846290"/>
    <w:rsid w:val="0085429B"/>
    <w:rsid w:val="008629CF"/>
    <w:rsid w:val="008862C9"/>
    <w:rsid w:val="00893C53"/>
    <w:rsid w:val="008A5A0D"/>
    <w:rsid w:val="008B7110"/>
    <w:rsid w:val="008C7ABE"/>
    <w:rsid w:val="008F5B7D"/>
    <w:rsid w:val="008F7966"/>
    <w:rsid w:val="00924708"/>
    <w:rsid w:val="0097184C"/>
    <w:rsid w:val="00973674"/>
    <w:rsid w:val="00992EC6"/>
    <w:rsid w:val="00993B29"/>
    <w:rsid w:val="009A3651"/>
    <w:rsid w:val="009A6504"/>
    <w:rsid w:val="009B40B9"/>
    <w:rsid w:val="009B5D8D"/>
    <w:rsid w:val="009D4F69"/>
    <w:rsid w:val="009F0CC0"/>
    <w:rsid w:val="009F6E03"/>
    <w:rsid w:val="00A031DD"/>
    <w:rsid w:val="00A107D3"/>
    <w:rsid w:val="00A17053"/>
    <w:rsid w:val="00A265D6"/>
    <w:rsid w:val="00A3371E"/>
    <w:rsid w:val="00A4172F"/>
    <w:rsid w:val="00A42963"/>
    <w:rsid w:val="00A45435"/>
    <w:rsid w:val="00A52CEE"/>
    <w:rsid w:val="00A550B9"/>
    <w:rsid w:val="00A67E40"/>
    <w:rsid w:val="00A72558"/>
    <w:rsid w:val="00A914BD"/>
    <w:rsid w:val="00AA3622"/>
    <w:rsid w:val="00AB1E29"/>
    <w:rsid w:val="00AC7E41"/>
    <w:rsid w:val="00AE28DE"/>
    <w:rsid w:val="00AF5714"/>
    <w:rsid w:val="00B1109C"/>
    <w:rsid w:val="00B2460F"/>
    <w:rsid w:val="00B30CF7"/>
    <w:rsid w:val="00B34DCE"/>
    <w:rsid w:val="00B52762"/>
    <w:rsid w:val="00B613C9"/>
    <w:rsid w:val="00B70282"/>
    <w:rsid w:val="00B70A7C"/>
    <w:rsid w:val="00B71BC6"/>
    <w:rsid w:val="00B751DC"/>
    <w:rsid w:val="00B75822"/>
    <w:rsid w:val="00B76C04"/>
    <w:rsid w:val="00B80B8C"/>
    <w:rsid w:val="00B83568"/>
    <w:rsid w:val="00B8550D"/>
    <w:rsid w:val="00B86FB9"/>
    <w:rsid w:val="00B91BC2"/>
    <w:rsid w:val="00BA013B"/>
    <w:rsid w:val="00BA6AFC"/>
    <w:rsid w:val="00BA7CD5"/>
    <w:rsid w:val="00BB2626"/>
    <w:rsid w:val="00BE07DF"/>
    <w:rsid w:val="00BE3462"/>
    <w:rsid w:val="00BE7CC2"/>
    <w:rsid w:val="00BF0D90"/>
    <w:rsid w:val="00C04F39"/>
    <w:rsid w:val="00C05E87"/>
    <w:rsid w:val="00C10053"/>
    <w:rsid w:val="00C209DC"/>
    <w:rsid w:val="00C231E0"/>
    <w:rsid w:val="00C27F1C"/>
    <w:rsid w:val="00C57075"/>
    <w:rsid w:val="00C8188E"/>
    <w:rsid w:val="00CA6DE6"/>
    <w:rsid w:val="00CB0E79"/>
    <w:rsid w:val="00CE26FC"/>
    <w:rsid w:val="00CF2A77"/>
    <w:rsid w:val="00D00B54"/>
    <w:rsid w:val="00D13170"/>
    <w:rsid w:val="00D2509B"/>
    <w:rsid w:val="00D311C2"/>
    <w:rsid w:val="00D37CF8"/>
    <w:rsid w:val="00D42E90"/>
    <w:rsid w:val="00D50B33"/>
    <w:rsid w:val="00D651DA"/>
    <w:rsid w:val="00D74CD3"/>
    <w:rsid w:val="00D93A8C"/>
    <w:rsid w:val="00D94EF4"/>
    <w:rsid w:val="00D97864"/>
    <w:rsid w:val="00DA23F0"/>
    <w:rsid w:val="00DB1A5B"/>
    <w:rsid w:val="00DC1BE9"/>
    <w:rsid w:val="00DE103F"/>
    <w:rsid w:val="00DE2135"/>
    <w:rsid w:val="00DE3725"/>
    <w:rsid w:val="00DE3A80"/>
    <w:rsid w:val="00DE7D27"/>
    <w:rsid w:val="00DF70B0"/>
    <w:rsid w:val="00E00C2B"/>
    <w:rsid w:val="00E14603"/>
    <w:rsid w:val="00E15F0D"/>
    <w:rsid w:val="00E34E57"/>
    <w:rsid w:val="00E551CC"/>
    <w:rsid w:val="00E611F1"/>
    <w:rsid w:val="00E64474"/>
    <w:rsid w:val="00E72CA7"/>
    <w:rsid w:val="00E84486"/>
    <w:rsid w:val="00E924E9"/>
    <w:rsid w:val="00EB1C73"/>
    <w:rsid w:val="00EC0D9B"/>
    <w:rsid w:val="00EE5CAC"/>
    <w:rsid w:val="00F17E66"/>
    <w:rsid w:val="00F21F66"/>
    <w:rsid w:val="00F232FF"/>
    <w:rsid w:val="00F34BF3"/>
    <w:rsid w:val="00F406F1"/>
    <w:rsid w:val="00F560E0"/>
    <w:rsid w:val="00F6345D"/>
    <w:rsid w:val="00F85C74"/>
    <w:rsid w:val="00F92042"/>
    <w:rsid w:val="00F976DC"/>
    <w:rsid w:val="00FA2CE5"/>
    <w:rsid w:val="00FC24C7"/>
    <w:rsid w:val="00FC3370"/>
    <w:rsid w:val="00FD34F7"/>
    <w:rsid w:val="00FD6B54"/>
    <w:rsid w:val="00FF0C55"/>
    <w:rsid w:val="1775785A"/>
    <w:rsid w:val="1956D9D2"/>
    <w:rsid w:val="23A1DAF1"/>
    <w:rsid w:val="23DA3E87"/>
    <w:rsid w:val="2CCD05E7"/>
    <w:rsid w:val="4663C8B5"/>
    <w:rsid w:val="55E9D4E7"/>
    <w:rsid w:val="70697FB7"/>
    <w:rsid w:val="7191D35C"/>
    <w:rsid w:val="76E979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A5BCCB"/>
  <w15:chartTrackingRefBased/>
  <w15:docId w15:val="{8246964D-62D7-48E0-80E5-947F3535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e" w:default="1">
    <w:name w:val="Normal"/>
    <w:qFormat/>
    <w:rsid w:val="00A42963"/>
    <w:rPr>
      <w:rFonts w:ascii="Arial Narrow" w:hAnsi="Arial Narrow"/>
      <w:sz w:val="22"/>
      <w:szCs w:val="22"/>
    </w:rPr>
  </w:style>
  <w:style w:type="character" w:styleId="Carpredefinitoparagrafo" w:default="1">
    <w:name w:val="Default Paragraph Font"/>
    <w:uiPriority w:val="1"/>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Intestazione">
    <w:name w:val="header"/>
    <w:basedOn w:val="Normale"/>
    <w:rsid w:val="0083544C"/>
    <w:pPr>
      <w:tabs>
        <w:tab w:val="center" w:pos="4819"/>
        <w:tab w:val="right" w:pos="9638"/>
      </w:tabs>
    </w:pPr>
  </w:style>
  <w:style w:type="paragraph" w:styleId="Pidipagina">
    <w:name w:val="footer"/>
    <w:basedOn w:val="Normale"/>
    <w:link w:val="PidipaginaCarattere"/>
    <w:uiPriority w:val="99"/>
    <w:rsid w:val="0083544C"/>
    <w:pPr>
      <w:tabs>
        <w:tab w:val="center" w:pos="4819"/>
        <w:tab w:val="right" w:pos="9638"/>
      </w:tabs>
    </w:pPr>
  </w:style>
  <w:style w:type="character" w:styleId="Collegamentoipertestuale">
    <w:name w:val="Hyperlink"/>
    <w:basedOn w:val="Carpredefinitoparagrafo"/>
    <w:rsid w:val="00383873"/>
    <w:rPr>
      <w:color w:val="0000FF"/>
      <w:u w:val="single"/>
    </w:rPr>
  </w:style>
  <w:style w:type="paragraph" w:styleId="cIndirizzo" w:customStyle="1">
    <w:name w:val="cIndirizzo"/>
    <w:basedOn w:val="Normale"/>
    <w:next w:val="Normale"/>
    <w:rsid w:val="00893C53"/>
    <w:pPr>
      <w:ind w:left="6804"/>
    </w:pPr>
  </w:style>
  <w:style w:type="paragraph" w:styleId="cCorteseAttenzione" w:customStyle="1">
    <w:name w:val="cCorteseAttenzione"/>
    <w:basedOn w:val="Normale"/>
    <w:next w:val="cIndirizzo"/>
    <w:rsid w:val="00893C53"/>
    <w:pPr>
      <w:ind w:left="6804"/>
    </w:pPr>
    <w:rPr>
      <w:i/>
    </w:rPr>
  </w:style>
  <w:style w:type="paragraph" w:styleId="cRagioneSociale" w:customStyle="1">
    <w:name w:val="cRagioneSociale"/>
    <w:basedOn w:val="Normale"/>
    <w:next w:val="cCorteseAttenzione"/>
    <w:rsid w:val="00E14603"/>
    <w:pPr>
      <w:spacing w:before="480"/>
      <w:ind w:left="6804"/>
    </w:pPr>
    <w:rPr>
      <w:b/>
    </w:rPr>
  </w:style>
  <w:style w:type="paragraph" w:styleId="cOggetto" w:customStyle="1">
    <w:name w:val="cOggetto"/>
    <w:basedOn w:val="Normale"/>
    <w:next w:val="Normale"/>
    <w:rsid w:val="00893C53"/>
    <w:pPr>
      <w:spacing w:before="480" w:after="360"/>
    </w:pPr>
  </w:style>
  <w:style w:type="paragraph" w:styleId="cElencoPuntato" w:customStyle="1">
    <w:name w:val="cElencoPuntato"/>
    <w:basedOn w:val="Normale"/>
    <w:rsid w:val="00893C53"/>
    <w:pPr>
      <w:numPr>
        <w:numId w:val="1"/>
      </w:numPr>
      <w:tabs>
        <w:tab w:val="clear" w:pos="720"/>
        <w:tab w:val="num" w:pos="360"/>
      </w:tabs>
      <w:ind w:left="360" w:hanging="180"/>
    </w:pPr>
  </w:style>
  <w:style w:type="paragraph" w:styleId="cElencoNumerato" w:customStyle="1">
    <w:name w:val="cElencoNumerato"/>
    <w:basedOn w:val="Normale"/>
    <w:rsid w:val="00893C53"/>
    <w:pPr>
      <w:numPr>
        <w:ilvl w:val="1"/>
        <w:numId w:val="1"/>
      </w:numPr>
      <w:tabs>
        <w:tab w:val="clear" w:pos="1440"/>
        <w:tab w:val="num" w:pos="360"/>
      </w:tabs>
      <w:ind w:left="360" w:hanging="180"/>
    </w:pPr>
  </w:style>
  <w:style w:type="paragraph" w:styleId="cSaluto" w:customStyle="1">
    <w:name w:val="cSaluto"/>
    <w:basedOn w:val="Normale"/>
    <w:next w:val="Normale"/>
    <w:rsid w:val="00DE103F"/>
    <w:pPr>
      <w:spacing w:after="120"/>
    </w:pPr>
    <w:rPr>
      <w:i/>
    </w:rPr>
  </w:style>
  <w:style w:type="paragraph" w:styleId="cFunzioneFirmatario" w:customStyle="1">
    <w:name w:val="cFunzioneFirmatario"/>
    <w:basedOn w:val="Normale"/>
    <w:next w:val="Normale"/>
    <w:rsid w:val="00D00B54"/>
    <w:pPr>
      <w:ind w:left="6804"/>
    </w:pPr>
    <w:rPr>
      <w:i/>
    </w:rPr>
  </w:style>
  <w:style w:type="paragraph" w:styleId="cFirmatario" w:customStyle="1">
    <w:name w:val="cFirmatario"/>
    <w:basedOn w:val="Normale"/>
    <w:next w:val="cFunzioneFirmatario"/>
    <w:rsid w:val="00D00B54"/>
    <w:pPr>
      <w:spacing w:before="480"/>
      <w:ind w:left="6804"/>
    </w:pPr>
  </w:style>
  <w:style w:type="table" w:styleId="Grigliatabella">
    <w:name w:val="Table Grid"/>
    <w:basedOn w:val="Tabellanormale"/>
    <w:rsid w:val="00B751D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umeropagina">
    <w:name w:val="page number"/>
    <w:basedOn w:val="Carpredefinitoparagrafo"/>
    <w:rsid w:val="00B751DC"/>
  </w:style>
  <w:style w:type="paragraph" w:styleId="Paragrafoelenco">
    <w:name w:val="List Paragraph"/>
    <w:basedOn w:val="Normale"/>
    <w:uiPriority w:val="34"/>
    <w:qFormat/>
    <w:rsid w:val="00CA6DE6"/>
    <w:pPr>
      <w:ind w:left="720"/>
      <w:contextualSpacing/>
    </w:pPr>
  </w:style>
  <w:style w:type="character" w:styleId="PidipaginaCarattere" w:customStyle="1">
    <w:name w:val="Piè di pagina Carattere"/>
    <w:basedOn w:val="Carpredefinitoparagrafo"/>
    <w:link w:val="Pidipagina"/>
    <w:uiPriority w:val="99"/>
    <w:rsid w:val="00370626"/>
    <w:rPr>
      <w:rFonts w:ascii="Arial Narrow" w:hAnsi="Arial Narrow"/>
      <w:sz w:val="22"/>
      <w:szCs w:val="22"/>
    </w:rPr>
  </w:style>
  <w:style w:type="character" w:styleId="Collegamentovisitato">
    <w:name w:val="FollowedHyperlink"/>
    <w:basedOn w:val="Carpredefinitoparagrafo"/>
    <w:rsid w:val="00F560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ceramichegresmalt.sharepoint.com/sites/progettistartvolt/Documenti%20condivisi/S4.Attivit&#224;%20di%20R&amp;S%20-%20OR/1.Piano%20di%20Sviluppo%20Finale/START_Piano_di_Sviluppo_all4_integrato.pdf?CT=1689066917148&amp;OR=ItemsView" TargetMode="Externa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image" Target="media/rp76_fig1.png" Id="rIdFig1" /><Relationship Type="http://schemas.openxmlformats.org/officeDocument/2006/relationships/image" Target="media/rp76_fig2.png" Id="rIdFig2"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COMMERCIALE%20FIORANO\Tesi\2010\Alessandro%20Vitto\Autorizzazione%20Alessandro.dot" TargetMode="External"/></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2.xml><?xml version="1.0" encoding="utf-8"?>
<ct:contentTypeSchema xmlns:ct="http://schemas.microsoft.com/office/2006/metadata/contentType" xmlns:ma="http://schemas.microsoft.com/office/2006/metadata/properties/metaAttributes" ct:_="" ma:_="" ma:contentTypeName="Documento" ma:contentTypeID="0x0101000CC961CE0EB86C4BAF5FBA22B52F24DB" ma:contentTypeVersion="17" ma:contentTypeDescription="Creare un nuovo documento." ma:contentTypeScope="" ma:versionID="0a5f7229cbb106ba2abe7c95b092b442">
  <xsd:schema xmlns:xsd="http://www.w3.org/2001/XMLSchema" xmlns:xs="http://www.w3.org/2001/XMLSchema" xmlns:p="http://schemas.microsoft.com/office/2006/metadata/properties" xmlns:ns2="56f694ce-0d8d-4140-af7b-51105567e791" xmlns:ns3="ad955218-927d-446f-bd94-718ac5e6255c" targetNamespace="http://schemas.microsoft.com/office/2006/metadata/properties" ma:root="true" ma:fieldsID="5e0b6d1355d1909234ea1c3671f66232" ns2:_="" ns3:_="">
    <xsd:import namespace="56f694ce-0d8d-4140-af7b-51105567e791"/>
    <xsd:import namespace="ad955218-927d-446f-bd94-718ac5e6255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f694ce-0d8d-4140-af7b-51105567e7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 immagine" ma:readOnly="false" ma:fieldId="{5cf76f15-5ced-4ddc-b409-7134ff3c332f}" ma:taxonomyMulti="true" ma:sspId="a3126849-ed39-4324-a057-c3f9becfe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955218-927d-446f-bd94-718ac5e6255c"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element name="TaxCatchAll" ma:index="22" nillable="true" ma:displayName="Taxonomy Catch All Column" ma:hidden="true" ma:list="{2aca5ff2-35fa-4634-855e-35521b5f5a05}" ma:internalName="TaxCatchAll" ma:showField="CatchAllData" ma:web="ad955218-927d-446f-bd94-718ac5e625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6f694ce-0d8d-4140-af7b-51105567e791">
      <Terms xmlns="http://schemas.microsoft.com/office/infopath/2007/PartnerControls"/>
    </lcf76f155ced4ddcb4097134ff3c332f>
    <TaxCatchAll xmlns="ad955218-927d-446f-bd94-718ac5e6255c" xsi:nil="true"/>
  </documentManagement>
</p:properties>
</file>

<file path=customXml/itemProps1.xml><?xml version="1.0" encoding="utf-8"?>
<ds:datastoreItem xmlns:ds="http://schemas.openxmlformats.org/officeDocument/2006/customXml" ds:itemID="{BB0AA0DE-F95E-48A6-A386-1FF17D0AB3F2}">
  <ds:schemaRefs>
    <ds:schemaRef ds:uri="http://schemas.openxmlformats.org/officeDocument/2006/bibliography"/>
  </ds:schemaRefs>
</ds:datastoreItem>
</file>

<file path=customXml/itemProps2.xml><?xml version="1.0" encoding="utf-8"?>
<ds:datastoreItem xmlns:ds="http://schemas.openxmlformats.org/officeDocument/2006/customXml" ds:itemID="{F5A8B1E8-67FC-48F3-80DE-6E09F3797C2A}"/>
</file>

<file path=customXml/itemProps3.xml><?xml version="1.0" encoding="utf-8"?>
<ds:datastoreItem xmlns:ds="http://schemas.openxmlformats.org/officeDocument/2006/customXml" ds:itemID="{CC107ABC-960D-44AD-BFCA-9ECF2E83289D}">
  <ds:schemaRefs>
    <ds:schemaRef ds:uri="http://schemas.microsoft.com/sharepoint/v3/contenttype/forms"/>
  </ds:schemaRefs>
</ds:datastoreItem>
</file>

<file path=customXml/itemProps4.xml><?xml version="1.0" encoding="utf-8"?>
<ds:datastoreItem xmlns:ds="http://schemas.openxmlformats.org/officeDocument/2006/customXml" ds:itemID="{673B02D6-3A44-4F96-A66F-28D9C110DA91}">
  <ds:schemaRefs>
    <ds:schemaRef ds:uri="http://schemas.openxmlformats.org/package/2006/metadata/core-properties"/>
    <ds:schemaRef ds:uri="http://purl.org/dc/dcmitype/"/>
    <ds:schemaRef ds:uri="http://schemas.microsoft.com/office/2006/metadata/properties"/>
    <ds:schemaRef ds:uri="http://schemas.microsoft.com/office/2006/documentManagement/types"/>
    <ds:schemaRef ds:uri="http://schemas.microsoft.com/office/infopath/2007/PartnerControls"/>
    <ds:schemaRef ds:uri="ad955218-927d-446f-bd94-718ac5e6255c"/>
    <ds:schemaRef ds:uri="56f694ce-0d8d-4140-af7b-51105567e791"/>
    <ds:schemaRef ds:uri="http://www.w3.org/XML/1998/namespace"/>
    <ds:schemaRef ds:uri="http://purl.org/dc/terms/"/>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Autorizzazione Alessandro</ap:Template>
  <ap:Application>Microsoft Word for the web</ap:Application>
  <ap:DocSecurity>0</ap:DocSecurity>
  <ap:ScaleCrop>false</ap:ScaleCrop>
  <ap:Company>Proelia Sistemi Srl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Ragione Sociale</dc:title>
  <dc:subject/>
  <dc:creator>Settembre Davide</dc:creator>
  <cp:keywords/>
  <dc:description/>
  <cp:lastModifiedBy>Luca Iattici</cp:lastModifiedBy>
  <cp:revision>81</cp:revision>
  <cp:lastPrinted>2018-04-19T13:54:00Z</cp:lastPrinted>
  <dcterms:created xsi:type="dcterms:W3CDTF">2018-04-19T13:56:00Z</dcterms:created>
  <dcterms:modified xsi:type="dcterms:W3CDTF">2025-09-25T14:00:07Z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0x0101000CC961CE0EB86C4BAF5FBA22B52F24DB</vt:lpwstr>
  </property>
  <property fmtid="{D5CDD505-2E9C-101B-9397-08002B2CF9AE}" pid="3" name="MediaServiceImageTags">
    <vt:lpwstr/>
  </property>
  <property fmtid="{D5CDD505-2E9C-101B-9397-08002B2CF9AE}" pid="5" name="docLang">
    <vt:lpwstr>it</vt:lpwstr>
  </property>
</Properties>
</file>