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Xd22a4796d1bf4d665863163c6a409c1942ade90"/>
    <w:p>
      <w:pPr>
        <w:pStyle w:val="Heading1"/>
      </w:pPr>
      <w:r>
        <w:t xml:space="preserve">RP 8.6 — Report sulla valutazione d’impatto del progetto</w:t>
      </w:r>
    </w:p>
    <w:p>
      <w:pPr>
        <w:pStyle w:val="FirstParagraph"/>
      </w:pPr>
      <w:r>
        <w:rPr>
          <w:iCs/>
          <w:i/>
        </w:rPr>
        <w:t xml:space="preserve">Simulazione dell’impatto e modello analitico per la valutazione ex‑post</w:t>
      </w:r>
    </w:p>
    <w:p>
      <w:pPr>
        <w:pStyle w:val="BodyText"/>
      </w:pPr>
      <w:r>
        <w:rPr>
          <w:bCs/>
          <w:b/>
        </w:rPr>
        <w:t xml:space="preserve">Progetto:</w:t>
      </w:r>
      <w:r>
        <w:t xml:space="preserve"> </w:t>
      </w:r>
      <w:r>
        <w:t xml:space="preserve">START |</w:t>
      </w:r>
      <w:r>
        <w:t xml:space="preserve"> </w:t>
      </w:r>
      <w:r>
        <w:rPr>
          <w:iCs/>
          <w:i/>
        </w:rPr>
        <w:t xml:space="preserve">SusTainable dAta-dRiven manufacTuring</w:t>
      </w:r>
      <w:r>
        <w:t xml:space="preserve"> </w:t>
      </w:r>
      <w:r>
        <w:t xml:space="preserve">— DM 31 dicembre 2021, Accordi per l’Innovazione (MIMIT)</w:t>
      </w:r>
      <w:r>
        <w:t xml:space="preserve"> </w:t>
      </w:r>
      <w:r>
        <w:rPr>
          <w:bCs/>
          <w:b/>
        </w:rPr>
        <w:t xml:space="preserve">Obiettivo Realizzativo:</w:t>
      </w:r>
      <w:r>
        <w:t xml:space="preserve"> </w:t>
      </w:r>
      <w:r>
        <w:t xml:space="preserve">OR 8 — Project management, misurazione dei risultati e analisi degli scostamenti (Sviluppo Sperimentale)</w:t>
      </w:r>
      <w:r>
        <w:t xml:space="preserve"> </w:t>
      </w:r>
      <w:r>
        <w:rPr>
          <w:bCs/>
          <w:b/>
        </w:rPr>
        <w:t xml:space="preserve">Attività:</w:t>
      </w:r>
      <w:r>
        <w:t xml:space="preserve"> </w:t>
      </w:r>
      <w:r>
        <w:t xml:space="preserve">8.6 — Assessment dell’impatto di START</w:t>
      </w:r>
      <w:r>
        <w:t xml:space="preserve"> </w:t>
      </w:r>
      <w:r>
        <w:rPr>
          <w:bCs/>
          <w:b/>
        </w:rPr>
        <w:t xml:space="preserve">Risultato parziale / KPI:</w:t>
      </w:r>
      <w:r>
        <w:t xml:space="preserve"> </w:t>
      </w:r>
      <w:r>
        <w:t xml:space="preserve">Report sulla valutazione d’impatto —</w:t>
      </w:r>
      <w:r>
        <w:t xml:space="preserve"> </w:t>
      </w:r>
      <w:r>
        <w:rPr>
          <w:iCs/>
          <w:i/>
        </w:rPr>
        <w:t xml:space="preserve">Analisi / Matrice input‑output</w:t>
      </w:r>
      <w:r>
        <w:t xml:space="preserve"> </w:t>
      </w:r>
      <w:r>
        <w:t xml:space="preserve">(baseline: Nessuna informazione → obiettivo: Analisi effettuata)</w:t>
      </w:r>
      <w:r>
        <w:t xml:space="preserve"> </w:t>
      </w:r>
      <w:r>
        <w:rPr>
          <w:bCs/>
          <w:b/>
        </w:rPr>
        <w:t xml:space="preserve">Risultato finale di OR:</w:t>
      </w:r>
      <w:r>
        <w:t xml:space="preserve"> </w:t>
      </w:r>
      <w:r>
        <w:t xml:space="preserve">RF 8 — Piano di Coordinamento del Progetto START</w:t>
      </w:r>
      <w:r>
        <w:t xml:space="preserve"> </w:t>
      </w:r>
      <w:r>
        <w:rPr>
          <w:bCs/>
          <w:b/>
        </w:rPr>
        <w:t xml:space="preserve">Responsabilità:</w:t>
      </w:r>
      <w:r>
        <w:t xml:space="preserve"> </w:t>
      </w:r>
      <w:r>
        <w:t xml:space="preserve">Gresmalt — Capofila (in collaborazione con le Università), Resp. progetto Davide Settembre Blundo</w:t>
      </w:r>
      <w:r>
        <w:t xml:space="preserve"> </w:t>
      </w:r>
      <w:r>
        <w:rPr>
          <w:bCs/>
          <w:b/>
        </w:rPr>
        <w:t xml:space="preserve">Versione del documento:</w:t>
      </w:r>
      <w:r>
        <w:t xml:space="preserve"> </w:t>
      </w:r>
      <w:r>
        <w:t xml:space="preserve">R1.0 —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07.08.2026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Natura di questa relazione.</w:t>
      </w:r>
      <w:r>
        <w:t xml:space="preserve"> </w:t>
      </w:r>
      <w:r>
        <w:t xml:space="preserve">In assenza dei dati macroeconomici regionali (problema progettuale</w:t>
      </w:r>
      <w:r>
        <w:t xml:space="preserve"> </w:t>
      </w:r>
      <w:r>
        <w:t xml:space="preserve">n. 6), l’attività 8.6 è impostata come</w:t>
      </w:r>
      <w:r>
        <w:t xml:space="preserve"> </w:t>
      </w:r>
      <w:r>
        <w:rPr>
          <w:bCs/>
          <w:b/>
        </w:rPr>
        <w:t xml:space="preserve">simulazione dell’impatto potenziale</w:t>
      </w:r>
      <w:r>
        <w:t xml:space="preserve"> </w:t>
      </w:r>
      <w:r>
        <w:t xml:space="preserve">e, soprattutto, come</w:t>
      </w:r>
      <w:r>
        <w:t xml:space="preserve"> </w:t>
      </w:r>
      <w:r>
        <w:rPr>
          <w:bCs/>
          <w:b/>
        </w:rPr>
        <w:t xml:space="preserve">predisposizione e validazione del modello analitico</w:t>
      </w:r>
      <w:r>
        <w:t xml:space="preserve"> </w:t>
      </w:r>
      <w:r>
        <w:t xml:space="preserve">input‑output da applicare</w:t>
      </w:r>
      <w:r>
        <w:t xml:space="preserve"> </w:t>
      </w:r>
      <w:r>
        <w:rPr>
          <w:bCs/>
          <w:b/>
        </w:rPr>
        <w:t xml:space="preserve">ex‑post</w:t>
      </w:r>
      <w:r>
        <w:t xml:space="preserve"> </w:t>
      </w:r>
      <w:r>
        <w:t xml:space="preserve">— nei</w:t>
      </w:r>
      <w:r>
        <w:t xml:space="preserve"> </w:t>
      </w:r>
      <w:r>
        <w:t xml:space="preserve">mesi e negli anni successivi alla chiusura del progetto — con i consuntivi degli investimenti e le</w:t>
      </w:r>
      <w:r>
        <w:t xml:space="preserve"> </w:t>
      </w:r>
      <w:r>
        <w:t xml:space="preserve">tavole input‑output regionali ISTAT. Il deliverable è quindi lo</w:t>
      </w:r>
      <w:r>
        <w:t xml:space="preserve"> </w:t>
      </w:r>
      <w:r>
        <w:rPr>
          <w:bCs/>
          <w:b/>
        </w:rPr>
        <w:t xml:space="preserve">strumento</w:t>
      </w:r>
      <w:r>
        <w:t xml:space="preserve"> </w:t>
      </w:r>
      <w:r>
        <w:t xml:space="preserve">(matrice/modello</w:t>
      </w:r>
      <w:r>
        <w:t xml:space="preserve"> </w:t>
      </w:r>
      <w:r>
        <w:t xml:space="preserve">riproducibile + protocollo di misurazione), coerente con la logica di «analisi degli scostamenti»</w:t>
      </w:r>
      <w:r>
        <w:t xml:space="preserve"> </w:t>
      </w:r>
      <w:r>
        <w:t xml:space="preserve">dell’OR 8; i valori riportati sono l’esito di una</w:t>
      </w:r>
      <w:r>
        <w:t xml:space="preserve"> </w:t>
      </w:r>
      <w:r>
        <w:rPr>
          <w:bCs/>
          <w:b/>
        </w:rPr>
        <w:t xml:space="preserve">simulazione con dati rappresentativi</w:t>
      </w:r>
      <w:r>
        <w:t xml:space="preserve"> </w:t>
      </w:r>
      <w:r>
        <w:t xml:space="preserve">e servono</w:t>
      </w:r>
      <w:r>
        <w:t xml:space="preserve"> </w:t>
      </w:r>
      <w:r>
        <w:t xml:space="preserve">a dimostrare l’operatività del modello e l’ordine di grandezza degli effetti attesi,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costituiscono una misura consuntiva dell’impatto.</w:t>
      </w:r>
    </w:p>
    <w:bookmarkStart w:id="24" w:name="introduzione"/>
    <w:p>
      <w:pPr>
        <w:pStyle w:val="Heading2"/>
      </w:pPr>
      <w:r>
        <w:t xml:space="preserve">1. Introduzione</w:t>
      </w:r>
    </w:p>
    <w:bookmarkStart w:id="20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L’OR 8 attribuisce a START una finalità dichiarata come</w:t>
      </w:r>
      <w:r>
        <w:t xml:space="preserve"> </w:t>
      </w:r>
      <w:r>
        <w:rPr>
          <w:bCs/>
          <w:b/>
        </w:rPr>
        <w:t xml:space="preserve">inedita per i progetti di R&amp;S a carattere</w:t>
      </w:r>
      <w:r>
        <w:rPr>
          <w:bCs/>
          <w:b/>
        </w:rPr>
        <w:t xml:space="preserve"> </w:t>
      </w:r>
      <w:r>
        <w:rPr>
          <w:bCs/>
          <w:b/>
        </w:rPr>
        <w:t xml:space="preserve">industriale</w:t>
      </w:r>
      <w:r>
        <w:t xml:space="preserve">: la</w:t>
      </w:r>
      <w:r>
        <w:t xml:space="preserve"> </w:t>
      </w:r>
      <w:r>
        <w:rPr>
          <w:bCs/>
          <w:b/>
        </w:rPr>
        <w:t xml:space="preserve">valutazione dell’impatto del progetto sulla società di riferimento e sui</w:t>
      </w:r>
      <w:r>
        <w:rPr>
          <w:bCs/>
          <w:b/>
        </w:rPr>
        <w:t xml:space="preserve"> </w:t>
      </w:r>
      <w:r>
        <w:rPr>
          <w:bCs/>
          <w:b/>
        </w:rPr>
        <w:t xml:space="preserve">territori</w:t>
      </w:r>
      <w:r>
        <w:t xml:space="preserve">. L’attività 8.6, svolta in collaborazione con le Università del partenariato, ne</w:t>
      </w:r>
      <w:r>
        <w:t xml:space="preserve"> </w:t>
      </w:r>
      <w:r>
        <w:t xml:space="preserve">predispone lo strumento: un</w:t>
      </w:r>
      <w:r>
        <w:t xml:space="preserve"> </w:t>
      </w:r>
      <w:r>
        <w:rPr>
          <w:bCs/>
          <w:b/>
        </w:rPr>
        <w:t xml:space="preserve">modello di analisi input‑output</w:t>
      </w:r>
      <w:r>
        <w:t xml:space="preserve"> </w:t>
      </w:r>
      <w:r>
        <w:t xml:space="preserve">— sul modello econometrico di</w:t>
      </w:r>
      <w:r>
        <w:t xml:space="preserve"> </w:t>
      </w:r>
      <w:r>
        <w:rPr>
          <w:bCs/>
          <w:b/>
        </w:rPr>
        <w:t xml:space="preserve">Wassily Leontief</w:t>
      </w:r>
      <w:r>
        <w:t xml:space="preserve"> </w:t>
      </w:r>
      <w:r>
        <w:t xml:space="preserve">— capace di stimare l’impatto diretto, indiretto e indotto dei risultati del</w:t>
      </w:r>
      <w:r>
        <w:t xml:space="preserve"> </w:t>
      </w:r>
      <w:r>
        <w:t xml:space="preserve">progetto sui quattro territori dove operano le attività industriali e di ricerca: l’</w:t>
      </w:r>
      <w:r>
        <w:rPr>
          <w:bCs/>
          <w:b/>
        </w:rPr>
        <w:t xml:space="preserve">Emilia‑Romagna</w:t>
      </w:r>
      <w:r>
        <w:t xml:space="preserve"> </w:t>
      </w:r>
      <w:r>
        <w:t xml:space="preserve">(cuore del distretto ceramico di Sassuolo, sede di Gresmalt e SACMI), la</w:t>
      </w:r>
      <w:r>
        <w:t xml:space="preserve"> </w:t>
      </w:r>
      <w:r>
        <w:rPr>
          <w:bCs/>
          <w:b/>
        </w:rPr>
        <w:t xml:space="preserve">Provincia di Bolzano</w:t>
      </w:r>
      <w:r>
        <w:t xml:space="preserve"> </w:t>
      </w:r>
      <w:r>
        <w:t xml:space="preserve">(Libera Università di Bolzano — concetto globale di Digital Twin e AI), la</w:t>
      </w:r>
      <w:r>
        <w:t xml:space="preserve"> </w:t>
      </w:r>
      <w:r>
        <w:rPr>
          <w:bCs/>
          <w:b/>
        </w:rPr>
        <w:t xml:space="preserve">Sardegna</w:t>
      </w:r>
      <w:r>
        <w:t xml:space="preserve"> </w:t>
      </w:r>
      <w:r>
        <w:t xml:space="preserve">(Università di</w:t>
      </w:r>
      <w:r>
        <w:t xml:space="preserve"> </w:t>
      </w:r>
      <w:r>
        <w:t xml:space="preserve">Sassari — Architectural Design 4.0+ e involucro edilizio ceramico) e la</w:t>
      </w:r>
      <w:r>
        <w:t xml:space="preserve"> </w:t>
      </w:r>
      <w:r>
        <w:rPr>
          <w:bCs/>
          <w:b/>
        </w:rPr>
        <w:t xml:space="preserve">Calabria</w:t>
      </w:r>
      <w:r>
        <w:t xml:space="preserve"> </w:t>
      </w:r>
      <w:r>
        <w:t xml:space="preserve">(Università della</w:t>
      </w:r>
      <w:r>
        <w:t xml:space="preserve"> </w:t>
      </w:r>
      <w:r>
        <w:t xml:space="preserve">Calabria — modelli ML/ANN e diagnostica non distruttiva). Poiché la misura consuntiva richiede dati</w:t>
      </w:r>
      <w:r>
        <w:t xml:space="preserve"> </w:t>
      </w:r>
      <w:r>
        <w:t xml:space="preserve">non ancora disponibili, l’attività si concretizza in una</w:t>
      </w:r>
      <w:r>
        <w:t xml:space="preserve"> </w:t>
      </w:r>
      <w:r>
        <w:rPr>
          <w:bCs/>
          <w:b/>
        </w:rPr>
        <w:t xml:space="preserve">simulazione</w:t>
      </w:r>
      <w:r>
        <w:t xml:space="preserve"> </w:t>
      </w:r>
      <w:r>
        <w:t xml:space="preserve">che valorizza il modello e ne</w:t>
      </w:r>
      <w:r>
        <w:t xml:space="preserve"> </w:t>
      </w:r>
      <w:r>
        <w:t xml:space="preserve">dimostra l’applicazione, lasciandolo pronto per la</w:t>
      </w:r>
      <w:r>
        <w:t xml:space="preserve"> </w:t>
      </w:r>
      <w:r>
        <w:rPr>
          <w:bCs/>
          <w:b/>
        </w:rPr>
        <w:t xml:space="preserve">misurazione ex‑post</w:t>
      </w:r>
      <w:r>
        <w:t xml:space="preserve">.</w:t>
      </w:r>
    </w:p>
    <w:p>
      <w:pPr>
        <w:pStyle w:val="BodyText"/>
      </w:pPr>
      <w:r>
        <w:t xml:space="preserve">I risultati di START — la transizione</w:t>
      </w:r>
      <w:r>
        <w:t xml:space="preserve"> </w:t>
      </w:r>
      <w:r>
        <w:rPr>
          <w:iCs/>
          <w:i/>
        </w:rPr>
        <w:t xml:space="preserve">Smart Factory → Intelligent Factory → Intelligent Industry</w:t>
      </w:r>
      <w:r>
        <w:t xml:space="preserve"> </w:t>
      </w:r>
      <w:r>
        <w:t xml:space="preserve">guidata dall’AI, le quattro impronte di sostenibilità e la contabilità exergetica EEA+, l’architettura</w:t>
      </w:r>
      <w:r>
        <w:t xml:space="preserve"> </w:t>
      </w:r>
      <w:r>
        <w:t xml:space="preserve">Edge‑to‑Cloud, il data‑driven product design, il collaudo in ambiente operativo — attivano produzione,</w:t>
      </w:r>
      <w:r>
        <w:t xml:space="preserve"> </w:t>
      </w:r>
      <w:r>
        <w:t xml:space="preserve">valore aggiunto e occupazione non solo nell’impresa focale ma lungo tutta la filiera locale</w:t>
      </w:r>
      <w:r>
        <w:t xml:space="preserve"> </w:t>
      </w:r>
      <w:r>
        <w:t xml:space="preserve">(estrazione, chimica, logistica, energia, servizi/R&amp;S) e attraverso i consumi indotti dai redditi</w:t>
      </w:r>
      <w:r>
        <w:t xml:space="preserve"> </w:t>
      </w:r>
      <w:r>
        <w:t xml:space="preserve">generati. L’analisi input‑output è lo strumento elettivo per</w:t>
      </w:r>
      <w:r>
        <w:t xml:space="preserve"> </w:t>
      </w:r>
      <w:r>
        <w:rPr>
          <w:bCs/>
          <w:b/>
        </w:rPr>
        <w:t xml:space="preserve">catturare questi effetti a cascata</w:t>
      </w:r>
      <w:r>
        <w:t xml:space="preserve">.</w:t>
      </w:r>
    </w:p>
    <w:bookmarkEnd w:id="20"/>
    <w:bookmarkStart w:id="21" w:name="X875b6fff86041cfb7101b3424e0cff9ff296ee3"/>
    <w:p>
      <w:pPr>
        <w:pStyle w:val="Heading3"/>
      </w:pPr>
      <w:r>
        <w:t xml:space="preserve">1.2 Il problema dei dati, la scelta della simulazione e il legame con la RP 8.5</w:t>
      </w:r>
    </w:p>
    <w:p>
      <w:pPr>
        <w:pStyle w:val="FirstParagraph"/>
      </w:pPr>
      <w:r>
        <w:t xml:space="preserve">L’analisi input‑output di impatto richiede</w:t>
      </w:r>
      <w:r>
        <w:t xml:space="preserve"> </w:t>
      </w:r>
      <w:r>
        <w:rPr>
          <w:bCs/>
          <w:b/>
        </w:rPr>
        <w:t xml:space="preserve">dati macroeconomici su scala regionale</w:t>
      </w:r>
      <w:r>
        <w:t xml:space="preserve"> </w:t>
      </w:r>
      <w:r>
        <w:t xml:space="preserve">(tavole</w:t>
      </w:r>
      <w:r>
        <w:t xml:space="preserve"> </w:t>
      </w:r>
      <w:r>
        <w:t xml:space="preserve">input‑output/SUT, coefficienti settoriali) e</w:t>
      </w:r>
      <w:r>
        <w:t xml:space="preserve"> </w:t>
      </w:r>
      <w:r>
        <w:rPr>
          <w:bCs/>
          <w:b/>
        </w:rPr>
        <w:t xml:space="preserve">consuntivi degli investimenti</w:t>
      </w:r>
      <w:r>
        <w:t xml:space="preserve"> </w:t>
      </w:r>
      <w:r>
        <w:t xml:space="preserve">del progetto,</w:t>
      </w:r>
      <w:r>
        <w:t xml:space="preserve"> </w:t>
      </w:r>
      <w:r>
        <w:rPr>
          <w:bCs/>
          <w:b/>
        </w:rPr>
        <w:t xml:space="preserve">non</w:t>
      </w:r>
      <w:r>
        <w:rPr>
          <w:bCs/>
          <w:b/>
        </w:rPr>
        <w:t xml:space="preserve"> </w:t>
      </w:r>
      <w:r>
        <w:rPr>
          <w:bCs/>
          <w:b/>
        </w:rPr>
        <w:t xml:space="preserve">direttamente disponibili</w:t>
      </w:r>
      <w:r>
        <w:t xml:space="preserve"> </w:t>
      </w:r>
      <w:r>
        <w:t xml:space="preserve">al Team durante la vita del progetto (</w:t>
      </w:r>
      <w:r>
        <w:rPr>
          <w:bCs/>
          <w:b/>
        </w:rPr>
        <w:t xml:space="preserve">problema progettuale n. 6</w:t>
      </w:r>
      <w:r>
        <w:t xml:space="preserve">). Per</w:t>
      </w:r>
      <w:r>
        <w:t xml:space="preserve"> </w:t>
      </w:r>
      <w:r>
        <w:t xml:space="preserve">questo l’attività 8.6</w:t>
      </w:r>
      <w:r>
        <w:t xml:space="preserve"> </w:t>
      </w:r>
      <w:r>
        <w:rPr>
          <w:bCs/>
          <w:b/>
        </w:rPr>
        <w:t xml:space="preserve">non pretende una misura definitiva dell’impatto</w:t>
      </w:r>
      <w:r>
        <w:t xml:space="preserve">, ma: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imposta e valida il modello analitico</w:t>
      </w:r>
      <w:r>
        <w:t xml:space="preserve"> </w:t>
      </w:r>
      <w:r>
        <w:t xml:space="preserve">(matrice dei coefficienti tecnici, inversa di Leontief,</w:t>
      </w:r>
      <w:r>
        <w:t xml:space="preserve"> </w:t>
      </w:r>
      <w:r>
        <w:t xml:space="preserve">moltiplicatori) parametrizzato sulla filiera ceramica;</w:t>
      </w:r>
    </w:p>
    <w:p>
      <w:pPr>
        <w:numPr>
          <w:ilvl w:val="0"/>
          <w:numId w:val="1001"/>
        </w:numPr>
        <w:pStyle w:val="Compact"/>
      </w:pPr>
      <w:r>
        <w:t xml:space="preserve">lo</w:t>
      </w:r>
      <w:r>
        <w:t xml:space="preserve"> </w:t>
      </w:r>
      <w:r>
        <w:rPr>
          <w:bCs/>
          <w:b/>
        </w:rPr>
        <w:t xml:space="preserve">esegue in simulazione</w:t>
      </w:r>
      <w:r>
        <w:t xml:space="preserve"> </w:t>
      </w:r>
      <w:r>
        <w:t xml:space="preserve">con coefficienti</w:t>
      </w:r>
      <w:r>
        <w:t xml:space="preserve"> </w:t>
      </w:r>
      <w:r>
        <w:rPr>
          <w:bCs/>
          <w:b/>
        </w:rPr>
        <w:t xml:space="preserve">rappresentativi</w:t>
      </w:r>
      <w:r>
        <w:t xml:space="preserve">, calibrati sull’ordine di</w:t>
      </w:r>
      <w:r>
        <w:t xml:space="preserve"> </w:t>
      </w:r>
      <w:r>
        <w:t xml:space="preserve">grandezza della filiera, per dimostrarne l’operatività e stimare gli effetti attesi;</w:t>
      </w:r>
    </w:p>
    <w:p>
      <w:pPr>
        <w:numPr>
          <w:ilvl w:val="0"/>
          <w:numId w:val="1001"/>
        </w:numPr>
        <w:pStyle w:val="Compact"/>
      </w:pPr>
      <w:r>
        <w:t xml:space="preserve">definisce il</w:t>
      </w:r>
      <w:r>
        <w:t xml:space="preserve"> </w:t>
      </w:r>
      <w:r>
        <w:rPr>
          <w:bCs/>
          <w:b/>
        </w:rPr>
        <w:t xml:space="preserve">protocollo di applicazione ex‑post</w:t>
      </w:r>
      <w:r>
        <w:t xml:space="preserve"> </w:t>
      </w:r>
      <w:r>
        <w:t xml:space="preserve">(§ 2.5) per ri‑eseguirlo con i dati ufficiali.</w:t>
      </w:r>
    </w:p>
    <w:p>
      <w:pPr>
        <w:pStyle w:val="FirstParagraph"/>
      </w:pPr>
      <w:r>
        <w:t xml:space="preserve">La soluzione prevista in scheda per l’accesso ai dati è, in accordo con il</w:t>
      </w:r>
      <w:r>
        <w:t xml:space="preserve"> </w:t>
      </w:r>
      <w:r>
        <w:rPr>
          <w:bCs/>
          <w:b/>
        </w:rPr>
        <w:t xml:space="preserve">Piano di Stakeholder</w:t>
      </w:r>
      <w:r>
        <w:rPr>
          <w:bCs/>
          <w:b/>
        </w:rPr>
        <w:t xml:space="preserve"> </w:t>
      </w:r>
      <w:r>
        <w:rPr>
          <w:bCs/>
          <w:b/>
        </w:rPr>
        <w:t xml:space="preserve">Engagement (RP 8.5)</w:t>
      </w:r>
      <w:r>
        <w:t xml:space="preserve">, il</w:t>
      </w:r>
      <w:r>
        <w:t xml:space="preserve"> </w:t>
      </w:r>
      <w:r>
        <w:rPr>
          <w:bCs/>
          <w:b/>
        </w:rPr>
        <w:t xml:space="preserve">coinvolgimento delle autorità territoriali</w:t>
      </w:r>
      <w:r>
        <w:t xml:space="preserve"> </w:t>
      </w:r>
      <w:r>
        <w:t xml:space="preserve">(ISTAT, uffici statistici</w:t>
      </w:r>
      <w:r>
        <w:t xml:space="preserve"> </w:t>
      </w:r>
      <w:r>
        <w:t xml:space="preserve">regionali e provinciali):</w:t>
      </w:r>
      <w:r>
        <w:t xml:space="preserve"> </w:t>
      </w:r>
      <w:r>
        <w:rPr>
          <w:bCs/>
          <w:b/>
        </w:rPr>
        <w:t xml:space="preserve">RP 8.5 è quindi il presupposto della misurazione ex‑post</w:t>
      </w:r>
      <w:r>
        <w:t xml:space="preserve"> </w:t>
      </w:r>
      <w:r>
        <w:t xml:space="preserve">qui predisposta.</w:t>
      </w:r>
    </w:p>
    <w:bookmarkEnd w:id="21"/>
    <w:bookmarkStart w:id="22" w:name="baseline"/>
    <w:p>
      <w:pPr>
        <w:pStyle w:val="Heading3"/>
      </w:pPr>
      <w:r>
        <w:t xml:space="preserve">1.3 Baseline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del KPI è</w:t>
      </w:r>
      <w:r>
        <w:t xml:space="preserve"> </w:t>
      </w:r>
      <w:r>
        <w:rPr>
          <w:bCs/>
          <w:b/>
        </w:rPr>
        <w:t xml:space="preserve">«Nessuna informazione»</w:t>
      </w:r>
      <w:r>
        <w:t xml:space="preserve">: prima dell’attività 8.6 non esiste un modello di</w:t>
      </w:r>
      <w:r>
        <w:t xml:space="preserve"> </w:t>
      </w:r>
      <w:r>
        <w:t xml:space="preserve">analisi input‑output dell’impatto territoriale del progetto. L’</w:t>
      </w:r>
      <w:r>
        <w:rPr>
          <w:bCs/>
          <w:b/>
        </w:rPr>
        <w:t xml:space="preserve">obiettivo</w:t>
      </w:r>
      <w:r>
        <w:t xml:space="preserve"> </w:t>
      </w:r>
      <w:r>
        <w:t xml:space="preserve">è l’</w:t>
      </w:r>
      <w:r>
        <w:rPr>
          <w:bCs/>
          <w:b/>
        </w:rPr>
        <w:t xml:space="preserve">analisi</w:t>
      </w:r>
      <w:r>
        <w:rPr>
          <w:bCs/>
          <w:b/>
        </w:rPr>
        <w:t xml:space="preserve"> </w:t>
      </w:r>
      <w:r>
        <w:rPr>
          <w:bCs/>
          <w:b/>
        </w:rPr>
        <w:t xml:space="preserve">effettuata</w:t>
      </w:r>
      <w:r>
        <w:t xml:space="preserve">, intesa qui come il</w:t>
      </w:r>
      <w:r>
        <w:t xml:space="preserve"> </w:t>
      </w:r>
      <w:r>
        <w:rPr>
          <w:bCs/>
          <w:b/>
        </w:rPr>
        <w:t xml:space="preserve">modello (matrice I‑O) impostato ed eseguito in simulazione</w:t>
      </w:r>
      <w:r>
        <w:t xml:space="preserve"> </w:t>
      </w:r>
      <w:r>
        <w:t xml:space="preserve">sulle</w:t>
      </w:r>
      <w:r>
        <w:t xml:space="preserve"> </w:t>
      </w:r>
      <w:r>
        <w:t xml:space="preserve">quattro regioni (output, valore aggiunto, occupazione) e pronto per l’applicazione ex‑post: lo</w:t>
      </w:r>
      <w:r>
        <w:t xml:space="preserve"> </w:t>
      </w:r>
      <w:r>
        <w:rPr>
          <w:iCs/>
          <w:i/>
        </w:rPr>
        <w:t xml:space="preserve">strumento</w:t>
      </w:r>
      <w:r>
        <w:t xml:space="preserve"> </w:t>
      </w:r>
      <w:r>
        <w:t xml:space="preserve">è il risultato, il dato consuntivo verrà dopo.</w:t>
      </w:r>
    </w:p>
    <w:bookmarkEnd w:id="22"/>
    <w:bookmarkStart w:id="23" w:name="scopi-dellattività"/>
    <w:p>
      <w:pPr>
        <w:pStyle w:val="Heading3"/>
      </w:pPr>
      <w:r>
        <w:t xml:space="preserve">1.4 Scopi dell’attività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impostare e validare</w:t>
      </w:r>
      <w:r>
        <w:t xml:space="preserve"> </w:t>
      </w:r>
      <w:r>
        <w:t xml:space="preserve">il modello input‑output di Leontief per la filiera ceramica (coefficienti</w:t>
      </w:r>
      <w:r>
        <w:t xml:space="preserve"> </w:t>
      </w:r>
      <w:r>
        <w:t xml:space="preserve">tecnici, inversa di Leontief, moltiplicatori Tipo I/II);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simulare</w:t>
      </w:r>
      <w:r>
        <w:t xml:space="preserve"> </w:t>
      </w:r>
      <w:r>
        <w:t xml:space="preserve">l’impatto diretto, indiretto e indotto del progetto su Emilia‑Romagna, Provincia di</w:t>
      </w:r>
      <w:r>
        <w:t xml:space="preserve"> </w:t>
      </w:r>
      <w:r>
        <w:t xml:space="preserve">Bolzano, Sardegna e Calabria in termini di output, valore aggiunto (contributo al PIL) e occupazione,</w:t>
      </w:r>
      <w:r>
        <w:t xml:space="preserve"> </w:t>
      </w:r>
      <w:r>
        <w:t xml:space="preserve">con valori rappresentativi;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definire il protocollo di applicazione ex‑post</w:t>
      </w:r>
      <w:r>
        <w:t xml:space="preserve"> </w:t>
      </w:r>
      <w:r>
        <w:t xml:space="preserve">per ri‑eseguire il modello con le tavole I‑O</w:t>
      </w:r>
      <w:r>
        <w:t xml:space="preserve"> </w:t>
      </w:r>
      <w:r>
        <w:t xml:space="preserve">regionali ISTAT e i consuntivi (via RP 8.5), alimentando l’analisi degli scostamenti dell’OR 8;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produrre il Report di valutazione d’impatto</w:t>
      </w:r>
      <w:r>
        <w:t xml:space="preserve"> </w:t>
      </w:r>
      <w:r>
        <w:t xml:space="preserve">(KPI: analisi effettuata) come strumento</w:t>
      </w:r>
      <w:r>
        <w:t xml:space="preserve"> </w:t>
      </w:r>
      <w:r>
        <w:t xml:space="preserve">riproducibile del Piano di Coordinamento (RF 8).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metodologia"/>
    <w:p>
      <w:pPr>
        <w:pStyle w:val="Heading2"/>
      </w:pPr>
      <w:r>
        <w:t xml:space="preserve">2. Metodologia</w:t>
      </w:r>
    </w:p>
    <w:bookmarkStart w:id="28" w:name="il-modello-inputoutput-di-leontief"/>
    <w:p>
      <w:pPr>
        <w:pStyle w:val="Heading3"/>
      </w:pPr>
      <w:r>
        <w:t xml:space="preserve">2.1 Il modello input‑output di Leontief</w:t>
      </w:r>
    </w:p>
    <w:p>
      <w:pPr>
        <w:pStyle w:val="FirstParagraph"/>
      </w:pPr>
      <w:r>
        <w:t xml:space="preserve">L’analisi input‑output rappresenta le interdipendenze tra i settori di un’economia. Data la</w:t>
      </w:r>
      <w:r>
        <w:t xml:space="preserve"> </w:t>
      </w:r>
      <w:r>
        <w:rPr>
          <w:bCs/>
          <w:b/>
        </w:rPr>
        <w:t xml:space="preserve">matrice</w:t>
      </w:r>
      <w:r>
        <w:rPr>
          <w:bCs/>
          <w:b/>
        </w:rPr>
        <w:t xml:space="preserve"> </w:t>
      </w:r>
      <w:r>
        <w:rPr>
          <w:bCs/>
          <w:b/>
        </w:rPr>
        <w:t xml:space="preserve">dei coefficienti tecnici</w:t>
      </w:r>
      <w:r>
        <w:t xml:space="preserve"> </w:t>
      </w:r>
      <w:r>
        <w:t xml:space="preserve">A, dove</w:t>
      </w:r>
      <w:r>
        <w:t xml:space="preserve"> </w:t>
      </w:r>
      <w:r>
        <w:rPr>
          <w:iCs/>
          <w:i/>
        </w:rPr>
        <w:t xml:space="preserve">aᵢⱼ</w:t>
      </w:r>
      <w:r>
        <w:t xml:space="preserve"> </w:t>
      </w:r>
      <w:r>
        <w:t xml:space="preserve">è l’input dal settore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necessario per produrre un’unità di</w:t>
      </w:r>
      <w:r>
        <w:t xml:space="preserve"> </w:t>
      </w:r>
      <w:r>
        <w:t xml:space="preserve">output del settore</w:t>
      </w:r>
      <w:r>
        <w:t xml:space="preserve"> </w:t>
      </w:r>
      <w:r>
        <w:rPr>
          <w:iCs/>
          <w:i/>
        </w:rPr>
        <w:t xml:space="preserve">j</w:t>
      </w:r>
      <w:r>
        <w:t xml:space="preserve">, la produzione totale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che soddisfa una domanda finale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è</w:t>
      </w:r>
      <w:r>
        <w:t xml:space="preserve"> </w:t>
      </w:r>
      <w:r>
        <w:rPr>
          <w:bCs/>
          <w:b/>
        </w:rPr>
        <w:t xml:space="preserve">x = A·x + f</w:t>
      </w:r>
      <w:r>
        <w:t xml:space="preserve">, da cui: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f</m:t>
          </m:r>
          <m:r>
            <m:rPr>
              <m:sty m:val="p"/>
            </m:rPr>
            <m:t>=</m:t>
          </m:r>
          <m:r>
            <m:t>L</m:t>
          </m:r>
          <m:r>
            <m:t> </m:t>
          </m:r>
          <m:r>
            <m:t>f</m:t>
          </m:r>
        </m:oMath>
      </m:oMathPara>
    </w:p>
    <w:p>
      <w:pPr>
        <w:pStyle w:val="FirstParagraph"/>
      </w:pPr>
      <w:r>
        <w:t xml:space="preserve">dove</w:t>
      </w:r>
      <w:r>
        <w:t xml:space="preserve"> </w:t>
      </w:r>
      <w:r>
        <w:rPr>
          <w:bCs/>
          <w:b/>
        </w:rPr>
        <w:t xml:space="preserve">L = (I − A)⁻¹</w:t>
      </w:r>
      <w:r>
        <w:t xml:space="preserve"> </w:t>
      </w:r>
      <w:r>
        <w:t xml:space="preserve">è la</w:t>
      </w:r>
      <w:r>
        <w:t xml:space="preserve"> </w:t>
      </w:r>
      <w:r>
        <w:rPr>
          <w:bCs/>
          <w:b/>
        </w:rPr>
        <w:t xml:space="preserve">matrice inversa di Leontief</w:t>
      </w:r>
      <w:r>
        <w:t xml:space="preserve">. Applicata a una variazione della domanda</w:t>
      </w:r>
      <w:r>
        <w:t xml:space="preserve"> </w:t>
      </w:r>
      <w:r>
        <w:t xml:space="preserve">finale</w:t>
      </w:r>
      <w:r>
        <w:t xml:space="preserve"> </w:t>
      </w:r>
      <w:r>
        <w:rPr>
          <w:bCs/>
          <w:b/>
        </w:rPr>
        <w:t xml:space="preserve">Δf</w:t>
      </w:r>
      <w:r>
        <w:t xml:space="preserve"> </w:t>
      </w:r>
      <w:r>
        <w:t xml:space="preserve">(lo</w:t>
      </w:r>
      <w:r>
        <w:t xml:space="preserve"> </w:t>
      </w:r>
      <w:r>
        <w:rPr>
          <w:iCs/>
          <w:i/>
        </w:rPr>
        <w:t xml:space="preserve">shock</w:t>
      </w:r>
      <w:r>
        <w:t xml:space="preserve"> </w:t>
      </w:r>
      <w:r>
        <w:t xml:space="preserve">del progetto), fornisce la variazione della produzione totale</w:t>
      </w:r>
      <w:r>
        <w:t xml:space="preserve"> </w:t>
      </w:r>
      <w:r>
        <w:rPr>
          <w:bCs/>
          <w:b/>
        </w:rPr>
        <w:t xml:space="preserve">Δx = L·Δf</w:t>
      </w:r>
      <w:r>
        <w:t xml:space="preserve">,</w:t>
      </w:r>
      <w:r>
        <w:t xml:space="preserve"> </w:t>
      </w:r>
      <w:r>
        <w:t xml:space="preserve">che incorpora gli effetti a cascata lungo la filiera (Leontief, 1936; Miller &amp; Blair, 2009). Lo schema</w:t>
      </w:r>
      <w:r>
        <w:t xml:space="preserve"> </w:t>
      </w:r>
      <w:r>
        <w:t xml:space="preserve">del modello è in Figura 1.</w:t>
      </w:r>
    </w:p>
    <w:p>
      <w:pPr>
        <w:pStyle w:val="CaptionedFigure"/>
      </w:pPr>
      <w:r>
        <w:drawing>
          <wp:inline>
            <wp:extent cx="5334000" cy="2260286"/>
            <wp:effectExtent b="0" l="0" r="0" t="0"/>
            <wp:docPr descr="Figura 1 — Schema del modello input‑output di Leontief." title="" id="26" name="Picture"/>
            <a:graphic>
              <a:graphicData uri="http://schemas.openxmlformats.org/drawingml/2006/picture">
                <pic:pic>
                  <pic:nvPicPr>
                    <pic:cNvPr descr="figures/fig_imp1_metod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0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— Schema del modello input‑output di Leontief.</w:t>
      </w:r>
    </w:p>
    <w:p>
      <w:pPr>
        <w:pStyle w:val="BodyText"/>
      </w:pPr>
      <w:r>
        <w:rPr>
          <w:iCs/>
          <w:i/>
        </w:rPr>
        <w:t xml:space="preserve">Figura 1. Dalla domanda finale del progetto, tramite l’inversa di Leontief, all’output attivato e alle sue dimensioni di impatto (valore aggiunto, occupazione).</w:t>
      </w:r>
    </w:p>
    <w:bookmarkEnd w:id="28"/>
    <w:bookmarkStart w:id="29" w:name="X1f7f9320b8f0d2d860612ebc0a098a7f5c74aae"/>
    <w:p>
      <w:pPr>
        <w:pStyle w:val="Heading3"/>
      </w:pPr>
      <w:r>
        <w:t xml:space="preserve">2.2 Effetti diretti, indiretti e indotti; moltiplicatori Tipo I e Tipo II</w:t>
      </w:r>
    </w:p>
    <w:p>
      <w:pPr>
        <w:pStyle w:val="FirstParagraph"/>
      </w:pPr>
      <w:r>
        <w:t xml:space="preserve">L’impatto si scompone in tre componenti: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diretto</w:t>
      </w:r>
      <w:r>
        <w:t xml:space="preserve"> </w:t>
      </w:r>
      <w:r>
        <w:t xml:space="preserve">— la domanda finale attivata dal progetto (Δf);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indiretto</w:t>
      </w:r>
      <w:r>
        <w:t xml:space="preserve"> </w:t>
      </w:r>
      <w:r>
        <w:t xml:space="preserve">— la produzione attivata lungo la</w:t>
      </w:r>
      <w:r>
        <w:t xml:space="preserve"> </w:t>
      </w:r>
      <w:r>
        <w:rPr>
          <w:bCs/>
          <w:b/>
        </w:rPr>
        <w:t xml:space="preserve">filiera dei fornitori</w:t>
      </w:r>
      <w:r>
        <w:t xml:space="preserve"> </w:t>
      </w:r>
      <w:r>
        <w:t xml:space="preserve">(Δx − Δf nel modello</w:t>
      </w:r>
      <w:r>
        <w:t xml:space="preserve"> </w:t>
      </w:r>
      <w:r>
        <w:t xml:space="preserve">aperto);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indotto</w:t>
      </w:r>
      <w:r>
        <w:t xml:space="preserve"> </w:t>
      </w:r>
      <w:r>
        <w:t xml:space="preserve">— la produzione attivata dai</w:t>
      </w:r>
      <w:r>
        <w:t xml:space="preserve"> </w:t>
      </w:r>
      <w:r>
        <w:rPr>
          <w:bCs/>
          <w:b/>
        </w:rPr>
        <w:t xml:space="preserve">consumi delle famiglie</w:t>
      </w:r>
      <w:r>
        <w:t xml:space="preserve"> </w:t>
      </w:r>
      <w:r>
        <w:t xml:space="preserve">finanziati dai redditi da lavoro</w:t>
      </w:r>
      <w:r>
        <w:t xml:space="preserve"> </w:t>
      </w:r>
      <w:r>
        <w:t xml:space="preserve">generati (effetto reddito).</w:t>
      </w:r>
    </w:p>
    <w:p>
      <w:pPr>
        <w:pStyle w:val="BodyText"/>
      </w:pPr>
      <w:r>
        <w:t xml:space="preserve">Di conseguenza si calcolano due famiglie di</w:t>
      </w:r>
      <w:r>
        <w:t xml:space="preserve"> </w:t>
      </w:r>
      <w:r>
        <w:rPr>
          <w:bCs/>
          <w:b/>
        </w:rPr>
        <w:t xml:space="preserve">moltiplicatori</w:t>
      </w:r>
      <w:r>
        <w:t xml:space="preserve"> </w:t>
      </w:r>
      <w:r>
        <w:t xml:space="preserve">di produzione: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 I</w:t>
      </w:r>
      <w:r>
        <w:t xml:space="preserve"> </w:t>
      </w:r>
      <w:r>
        <w:t xml:space="preserve">— modello</w:t>
      </w:r>
      <w:r>
        <w:t xml:space="preserve"> </w:t>
      </w:r>
      <w:r>
        <w:rPr>
          <w:iCs/>
          <w:i/>
        </w:rPr>
        <w:t xml:space="preserve">aperto</w:t>
      </w:r>
      <w:r>
        <w:t xml:space="preserve"> </w:t>
      </w:r>
      <w:r>
        <w:t xml:space="preserve">(diretto + indiretto): somma per colonna della matrice L;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 II</w:t>
      </w:r>
      <w:r>
        <w:t xml:space="preserve"> </w:t>
      </w:r>
      <w:r>
        <w:t xml:space="preserve">— modello</w:t>
      </w:r>
      <w:r>
        <w:t xml:space="preserve"> </w:t>
      </w:r>
      <w:r>
        <w:rPr>
          <w:iCs/>
          <w:i/>
        </w:rPr>
        <w:t xml:space="preserve">chiuso</w:t>
      </w:r>
      <w:r>
        <w:t xml:space="preserve"> </w:t>
      </w:r>
      <w:r>
        <w:t xml:space="preserve">rispetto alle famiglie (diretto + indiretto + indotto): la matrice A</w:t>
      </w:r>
      <w:r>
        <w:t xml:space="preserve"> </w:t>
      </w:r>
      <w:r>
        <w:t xml:space="preserve">è estesa con una riga (redditi da lavoro per unità di output) e una colonna (consumi per unità di</w:t>
      </w:r>
      <w:r>
        <w:t xml:space="preserve"> </w:t>
      </w:r>
      <w:r>
        <w:t xml:space="preserve">reddito), e si ricalcola l’inversa.</w:t>
      </w:r>
    </w:p>
    <w:p>
      <w:pPr>
        <w:pStyle w:val="BodyText"/>
      </w:pPr>
      <w:r>
        <w:t xml:space="preserve">L’impatto su</w:t>
      </w:r>
      <w:r>
        <w:t xml:space="preserve"> </w:t>
      </w:r>
      <w:r>
        <w:rPr>
          <w:bCs/>
          <w:b/>
        </w:rPr>
        <w:t xml:space="preserve">valore aggiunto</w:t>
      </w:r>
      <w:r>
        <w:t xml:space="preserve"> </w:t>
      </w:r>
      <w:r>
        <w:t xml:space="preserve">(contributo al PIL) e</w:t>
      </w:r>
      <w:r>
        <w:t xml:space="preserve"> </w:t>
      </w:r>
      <w:r>
        <w:rPr>
          <w:bCs/>
          <w:b/>
        </w:rPr>
        <w:t xml:space="preserve">occupazione</w:t>
      </w:r>
      <w:r>
        <w:t xml:space="preserve"> </w:t>
      </w:r>
      <w:r>
        <w:t xml:space="preserve">si ottiene applicando all’output</w:t>
      </w:r>
      <w:r>
        <w:t xml:space="preserve"> </w:t>
      </w:r>
      <w:r>
        <w:t xml:space="preserve">attivato i rispettivi coefficienti settoriali (quota di valore aggiunto sull’output; unità di lavoro,</w:t>
      </w:r>
      <w:r>
        <w:t xml:space="preserve"> </w:t>
      </w:r>
      <w:r>
        <w:t xml:space="preserve">ULA, per milione di euro di output).</w:t>
      </w:r>
    </w:p>
    <w:bookmarkEnd w:id="29"/>
    <w:bookmarkStart w:id="30" w:name="X25df3dae0bfd0664772587608435ffbf51459dd"/>
    <w:p>
      <w:pPr>
        <w:pStyle w:val="Heading3"/>
      </w:pPr>
      <w:r>
        <w:t xml:space="preserve">2.3 Settori, coefficienti e shock del progetto (parametri di simulazione)</w:t>
      </w:r>
    </w:p>
    <w:p>
      <w:pPr>
        <w:pStyle w:val="FirstParagraph"/>
      </w:pPr>
      <w:r>
        <w:t xml:space="preserve">Il modello adotta</w:t>
      </w:r>
      <w:r>
        <w:t xml:space="preserve"> </w:t>
      </w:r>
      <w:r>
        <w:rPr>
          <w:bCs/>
          <w:b/>
        </w:rPr>
        <w:t xml:space="preserve">sei settori</w:t>
      </w:r>
      <w:r>
        <w:t xml:space="preserve"> </w:t>
      </w:r>
      <w:r>
        <w:t xml:space="preserve">rappresentativi della filiera ceramica e del suo indotto</w:t>
      </w:r>
      <w:r>
        <w:t xml:space="preserve"> </w:t>
      </w:r>
      <w:r>
        <w:t xml:space="preserve">territoriale: estrazione di minerali non metalliferi; fabbricazione di prodotti ceramici; chimica</w:t>
      </w:r>
      <w:r>
        <w:t xml:space="preserve"> </w:t>
      </w:r>
      <w:r>
        <w:t xml:space="preserve">(smalti, additivi, chemicals); trasporti e logistica; energia; servizi (ICT, R&amp;S, professionali —</w:t>
      </w:r>
      <w:r>
        <w:t xml:space="preserve"> </w:t>
      </w:r>
      <w:r>
        <w:t xml:space="preserve">comparto che in START incorpora l’AI, il digital twin e la progettazione). Lo</w:t>
      </w:r>
      <w:r>
        <w:t xml:space="preserve"> </w:t>
      </w:r>
      <w:r>
        <w:rPr>
          <w:bCs/>
          <w:b/>
        </w:rPr>
        <w:t xml:space="preserve">shock di domanda</w:t>
      </w:r>
      <w:r>
        <w:rPr>
          <w:bCs/>
          <w:b/>
        </w:rPr>
        <w:t xml:space="preserve"> </w:t>
      </w:r>
      <w:r>
        <w:rPr>
          <w:bCs/>
          <w:b/>
        </w:rPr>
        <w:t xml:space="preserve">finale</w:t>
      </w:r>
      <w:r>
        <w:t xml:space="preserve"> </w:t>
      </w:r>
      <w:r>
        <w:t xml:space="preserve">del progetto (investimenti e produzione addizionale abilitata dalla transizione verso</w:t>
      </w:r>
      <w:r>
        <w:t xml:space="preserve"> </w:t>
      </w:r>
      <w:r>
        <w:t xml:space="preserve">l’Intelligent Industry) è</w:t>
      </w:r>
      <w:r>
        <w:t xml:space="preserve"> </w:t>
      </w:r>
      <w:r>
        <w:rPr>
          <w:bCs/>
          <w:b/>
        </w:rPr>
        <w:t xml:space="preserve">differenziato per regione</w:t>
      </w:r>
      <w:r>
        <w:t xml:space="preserve"> </w:t>
      </w:r>
      <w:r>
        <w:t xml:space="preserve">secondo il ruolo del soggetto attuatore:</w:t>
      </w:r>
      <w:r>
        <w:t xml:space="preserve"> </w:t>
      </w:r>
      <w:r>
        <w:t xml:space="preserve">concentrato su ceramica/estrazione/chimica/logistica/energia in</w:t>
      </w:r>
      <w:r>
        <w:t xml:space="preserve"> </w:t>
      </w:r>
      <w:r>
        <w:rPr>
          <w:bCs/>
          <w:b/>
        </w:rPr>
        <w:t xml:space="preserve">Emilia‑Romagna</w:t>
      </w:r>
      <w:r>
        <w:t xml:space="preserve">; orientato a</w:t>
      </w:r>
      <w:r>
        <w:t xml:space="preserve"> </w:t>
      </w:r>
      <w:r>
        <w:t xml:space="preserve">ricerca, ICT/R&amp;S e servizi in</w:t>
      </w:r>
      <w:r>
        <w:t xml:space="preserve"> </w:t>
      </w:r>
      <w:r>
        <w:rPr>
          <w:bCs/>
          <w:b/>
        </w:rPr>
        <w:t xml:space="preserve">Provincia di Bolzano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Calabria</w:t>
      </w:r>
      <w:r>
        <w:t xml:space="preserve">; orientato a</w:t>
      </w:r>
      <w:r>
        <w:t xml:space="preserve"> </w:t>
      </w:r>
      <w:r>
        <w:t xml:space="preserve">servizi/progettazione e applicazione del prodotto ceramico (involucro edilizio) in</w:t>
      </w:r>
      <w:r>
        <w:t xml:space="preserve"> </w:t>
      </w:r>
      <w:r>
        <w:rPr>
          <w:bCs/>
          <w:b/>
        </w:rPr>
        <w:t xml:space="preserve">Sardegna</w:t>
      </w:r>
      <w:r>
        <w:t xml:space="preserve">. Nella</w:t>
      </w:r>
      <w:r>
        <w:t xml:space="preserve"> </w:t>
      </w:r>
      <w:r>
        <w:t xml:space="preserve">simulazione questi parametri sono</w:t>
      </w:r>
      <w:r>
        <w:t xml:space="preserve"> </w:t>
      </w:r>
      <w:r>
        <w:rPr>
          <w:bCs/>
          <w:b/>
        </w:rPr>
        <w:t xml:space="preserve">rappresentativi</w:t>
      </w:r>
      <w:r>
        <w:t xml:space="preserve"> </w:t>
      </w:r>
      <w:r>
        <w:t xml:space="preserve">e costituiscono gli</w:t>
      </w:r>
      <w:r>
        <w:t xml:space="preserve"> </w:t>
      </w:r>
      <w:r>
        <w:rPr>
          <w:iCs/>
          <w:i/>
        </w:rPr>
        <w:t xml:space="preserve">ingressi provvisori</w:t>
      </w:r>
      <w:r>
        <w:t xml:space="preserve"> </w:t>
      </w:r>
      <w:r>
        <w:t xml:space="preserve">del</w:t>
      </w:r>
      <w:r>
        <w:t xml:space="preserve"> </w:t>
      </w:r>
      <w:r>
        <w:t xml:space="preserve">modello, destinati a essere sostituiti in sede di applicazione ex‑post (§ 2.5).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Cs/>
          <w:b/>
        </w:rPr>
        <w:t xml:space="preserve">struttura</w:t>
      </w:r>
      <w:r>
        <w:t xml:space="preserve"> </w:t>
      </w:r>
      <w:r>
        <w:t xml:space="preserve">del modello (settori, matrice A, coefficienti di VA e occupazione) coincide con</w:t>
      </w:r>
      <w:r>
        <w:t xml:space="preserve"> </w:t>
      </w:r>
      <w:r>
        <w:t xml:space="preserve">quella impiegata per il progetto gemello VOLT (RP 9.6): i due progetti insistono sulla stessa</w:t>
      </w:r>
      <w:r>
        <w:t xml:space="preserve"> </w:t>
      </w:r>
      <w:r>
        <w:t xml:space="preserve">industria e sullo stesso distretto ceramico, per cui i coefficienti tecnici della filiera sono i</w:t>
      </w:r>
      <w:r>
        <w:t xml:space="preserve"> </w:t>
      </w:r>
      <w:r>
        <w:t xml:space="preserve">medesimi. Ciò che è stato ricalibrato per START è la</w:t>
      </w:r>
      <w:r>
        <w:t xml:space="preserve"> </w:t>
      </w:r>
      <w:r>
        <w:rPr>
          <w:bCs/>
          <w:b/>
        </w:rPr>
        <w:t xml:space="preserve">ripartizione regionale dello shock</w:t>
      </w:r>
      <w:r>
        <w:t xml:space="preserve"> </w:t>
      </w:r>
      <w:r>
        <w:t xml:space="preserve">sui</w:t>
      </w:r>
      <w:r>
        <w:t xml:space="preserve"> </w:t>
      </w:r>
      <w:r>
        <w:t xml:space="preserve">quattro territori della scheda.</w:t>
      </w:r>
    </w:p>
    <w:bookmarkEnd w:id="30"/>
    <w:bookmarkStart w:id="31" w:name="trattamento-dei-dati-e-riproducibilità"/>
    <w:p>
      <w:pPr>
        <w:pStyle w:val="Heading3"/>
      </w:pPr>
      <w:r>
        <w:t xml:space="preserve">2.4 Trattamento dei dati e riproducibilità</w:t>
      </w:r>
    </w:p>
    <w:p>
      <w:pPr>
        <w:pStyle w:val="FirstParagraph"/>
      </w:pPr>
      <w:r>
        <w:t xml:space="preserve">Coerentemente con il problema n. 6, i coefficienti della matrice A, i coefficienti di valore aggiunto</w:t>
      </w:r>
      <w:r>
        <w:t xml:space="preserve"> </w:t>
      </w:r>
      <w:r>
        <w:t xml:space="preserve">e occupazione e lo shock di domanda finale sono</w:t>
      </w:r>
      <w:r>
        <w:t xml:space="preserve"> </w:t>
      </w:r>
      <w:r>
        <w:rPr>
          <w:bCs/>
          <w:b/>
        </w:rPr>
        <w:t xml:space="preserve">rappresentativi</w:t>
      </w:r>
      <w:r>
        <w:t xml:space="preserve">, calibrati sull’ordine di</w:t>
      </w:r>
      <w:r>
        <w:t xml:space="preserve"> </w:t>
      </w:r>
      <w:r>
        <w:t xml:space="preserve">grandezza della filiera;</w:t>
      </w:r>
      <w:r>
        <w:t xml:space="preserve"> </w:t>
      </w:r>
      <w:r>
        <w:rPr>
          <w:bCs/>
          <w:b/>
        </w:rPr>
        <w:t xml:space="preserve">non contengono dati riservati</w:t>
      </w:r>
      <w:r>
        <w:t xml:space="preserve"> </w:t>
      </w:r>
      <w:r>
        <w:t xml:space="preserve">e vanno</w:t>
      </w:r>
      <w:r>
        <w:t xml:space="preserve"> </w:t>
      </w:r>
      <w:r>
        <w:rPr>
          <w:bCs/>
          <w:b/>
        </w:rPr>
        <w:t xml:space="preserve">consolidati</w:t>
      </w:r>
      <w:r>
        <w:t xml:space="preserve"> </w:t>
      </w:r>
      <w:r>
        <w:t xml:space="preserve">con le</w:t>
      </w:r>
      <w:r>
        <w:t xml:space="preserve"> </w:t>
      </w:r>
      <w:r>
        <w:rPr>
          <w:bCs/>
          <w:b/>
        </w:rPr>
        <w:t xml:space="preserve">tavole</w:t>
      </w:r>
      <w:r>
        <w:rPr>
          <w:bCs/>
          <w:b/>
        </w:rPr>
        <w:t xml:space="preserve"> </w:t>
      </w:r>
      <w:r>
        <w:rPr>
          <w:bCs/>
          <w:b/>
        </w:rPr>
        <w:t xml:space="preserve">input‑output regionali ISTAT</w:t>
      </w:r>
      <w:r>
        <w:t xml:space="preserve"> </w:t>
      </w:r>
      <w:r>
        <w:t xml:space="preserve">(SUT/IO) il cui accesso passa dal coinvolgimento delle autorità</w:t>
      </w:r>
      <w:r>
        <w:t xml:space="preserve"> </w:t>
      </w:r>
      <w:r>
        <w:t xml:space="preserve">territoriali previsto nella RP 8.5. Il modello è codificato e riproducibile (</w:t>
      </w:r>
      <w:r>
        <w:rPr>
          <w:rStyle w:val="VerbatimChar"/>
        </w:rPr>
        <w:t xml:space="preserve">RP8.6/src/impatto.py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RP8.6/run_impatto.py</w:t>
      </w:r>
      <w:r>
        <w:t xml:space="preserve">), con export</w:t>
      </w:r>
      <w:r>
        <w:t xml:space="preserve"> </w:t>
      </w:r>
      <w:r>
        <w:rPr>
          <w:rStyle w:val="VerbatimChar"/>
        </w:rPr>
        <w:t xml:space="preserve">RP8.6/output/impatto_*.csv</w:t>
      </w:r>
      <w:r>
        <w:t xml:space="preserve"> </w:t>
      </w:r>
      <w:r>
        <w:t xml:space="preserve">per il cruscotto Power BI:</w:t>
      </w:r>
      <w:r>
        <w:t xml:space="preserve"> </w:t>
      </w:r>
      <w:r>
        <w:t xml:space="preserve">ri‑eseguirlo con i dati ufficiali è sufficiente a produrre la stima consuntiva senza modificare la</w:t>
      </w:r>
      <w:r>
        <w:t xml:space="preserve"> </w:t>
      </w:r>
      <w:r>
        <w:t xml:space="preserve">struttura analitica.</w:t>
      </w:r>
    </w:p>
    <w:bookmarkEnd w:id="31"/>
    <w:bookmarkStart w:id="32" w:name="protocollo-di-applicazione-expost"/>
    <w:p>
      <w:pPr>
        <w:pStyle w:val="Heading3"/>
      </w:pPr>
      <w:r>
        <w:t xml:space="preserve">2.5 Protocollo di applicazione ex‑post</w:t>
      </w:r>
    </w:p>
    <w:p>
      <w:pPr>
        <w:pStyle w:val="FirstParagraph"/>
      </w:pPr>
      <w:r>
        <w:t xml:space="preserve">Il valore dell’attività 8.6 è il modello e il suo</w:t>
      </w:r>
      <w:r>
        <w:t xml:space="preserve"> </w:t>
      </w:r>
      <w:r>
        <w:rPr>
          <w:bCs/>
          <w:b/>
        </w:rPr>
        <w:t xml:space="preserve">protocollo di applicazione ex‑post</w:t>
      </w:r>
      <w:r>
        <w:t xml:space="preserve">, da attivare</w:t>
      </w:r>
      <w:r>
        <w:t xml:space="preserve"> </w:t>
      </w:r>
      <w:r>
        <w:t xml:space="preserve">nei</w:t>
      </w:r>
      <w:r>
        <w:t xml:space="preserve"> </w:t>
      </w:r>
      <w:r>
        <w:rPr>
          <w:bCs/>
          <w:b/>
        </w:rPr>
        <w:t xml:space="preserve">mesi e anni successivi alla chiusura del progetto</w:t>
      </w:r>
      <w:r>
        <w:t xml:space="preserve"> </w:t>
      </w:r>
      <w:r>
        <w:t xml:space="preserve">secondo quattro passi: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Acquisizione dati</w:t>
      </w:r>
      <w:r>
        <w:t xml:space="preserve"> </w:t>
      </w:r>
      <w:r>
        <w:t xml:space="preserve">— tramite il coinvolgimento delle autorità territoriali (RP 8.5): tavole</w:t>
      </w:r>
      <w:r>
        <w:t xml:space="preserve"> </w:t>
      </w:r>
      <w:r>
        <w:rPr>
          <w:bCs/>
          <w:b/>
        </w:rPr>
        <w:t xml:space="preserve">input‑output regionali ISTAT</w:t>
      </w:r>
      <w:r>
        <w:t xml:space="preserve"> </w:t>
      </w:r>
      <w:r>
        <w:t xml:space="preserve">(SUT/IO) per la matrice A e i coefficienti settoriali;</w:t>
      </w:r>
      <w:r>
        <w:t xml:space="preserve"> </w:t>
      </w:r>
      <w:r>
        <w:rPr>
          <w:bCs/>
          <w:b/>
        </w:rPr>
        <w:t xml:space="preserve">consuntivi degli investimenti</w:t>
      </w:r>
      <w:r>
        <w:t xml:space="preserve"> </w:t>
      </w:r>
      <w:r>
        <w:t xml:space="preserve">e della produzione addizionale del progetto per lo shock di</w:t>
      </w:r>
      <w:r>
        <w:t xml:space="preserve"> </w:t>
      </w:r>
      <w:r>
        <w:t xml:space="preserve">domanda finale reale.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Ricalibrazione</w:t>
      </w:r>
      <w:r>
        <w:t xml:space="preserve"> </w:t>
      </w:r>
      <w:r>
        <w:t xml:space="preserve">— sostituzione dei coefficienti e dello shock rappresentativi con i valori</w:t>
      </w:r>
      <w:r>
        <w:t xml:space="preserve"> </w:t>
      </w:r>
      <w:r>
        <w:t xml:space="preserve">ufficiali, mantenendo invariata la struttura del modello.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Ri‑esecuzione</w:t>
      </w:r>
      <w:r>
        <w:t xml:space="preserve"> </w:t>
      </w:r>
      <w:r>
        <w:t xml:space="preserve">— nuovo calcolo di output, valore aggiunto e occupazione (diretti/indiretti/</w:t>
      </w:r>
      <w:r>
        <w:t xml:space="preserve"> </w:t>
      </w:r>
      <w:r>
        <w:t xml:space="preserve">indotti) e dei moltiplicatori, per ottenere la</w:t>
      </w:r>
      <w:r>
        <w:t xml:space="preserve"> </w:t>
      </w:r>
      <w:r>
        <w:rPr>
          <w:bCs/>
          <w:b/>
        </w:rPr>
        <w:t xml:space="preserve">stima consuntiva</w:t>
      </w:r>
      <w:r>
        <w:t xml:space="preserve"> </w:t>
      </w:r>
      <w:r>
        <w:t xml:space="preserve">dell’impatto.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Analisi degli scostamenti</w:t>
      </w:r>
      <w:r>
        <w:t xml:space="preserve"> </w:t>
      </w:r>
      <w:r>
        <w:t xml:space="preserve">— confronto tra impatto</w:t>
      </w:r>
      <w:r>
        <w:t xml:space="preserve"> </w:t>
      </w:r>
      <w:r>
        <w:rPr>
          <w:bCs/>
          <w:b/>
        </w:rPr>
        <w:t xml:space="preserve">simulato</w:t>
      </w:r>
      <w:r>
        <w:t xml:space="preserve"> </w:t>
      </w:r>
      <w:r>
        <w:t xml:space="preserve">(previsione, questa relazione)</w:t>
      </w:r>
      <w:r>
        <w:t xml:space="preserve"> </w:t>
      </w:r>
      <w:r>
        <w:t xml:space="preserve">e impatto</w:t>
      </w:r>
      <w:r>
        <w:t xml:space="preserve"> </w:t>
      </w:r>
      <w:r>
        <w:rPr>
          <w:bCs/>
          <w:b/>
        </w:rPr>
        <w:t xml:space="preserve">consuntivo</w:t>
      </w:r>
      <w:r>
        <w:t xml:space="preserve"> </w:t>
      </w:r>
      <w:r>
        <w:t xml:space="preserve">(ex‑post), coerentemente con l’oggetto stesso dell’OR 8; gli scostamenti</w:t>
      </w:r>
      <w:r>
        <w:t xml:space="preserve"> </w:t>
      </w:r>
      <w:r>
        <w:t xml:space="preserve">alimentano il Piano di Coordinamento (RF 8).</w:t>
      </w:r>
    </w:p>
    <w:p>
      <w:pPr>
        <w:pStyle w:val="FirstParagraph"/>
      </w:pPr>
      <w:r>
        <w:rPr>
          <w:bCs/>
          <w:b/>
        </w:rPr>
        <w:t xml:space="preserve">Tabella — Stato attuale (simulazione) vs applicazione ex‑post.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 (simulazione, RP 8.6)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Ex‑post (misurazione)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Matrice dei coefficienti tecnici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Rappresentativa (filiera ceramica)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Tavole I‑O regionali ISTAT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 di domanda finale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Stimato (investimenti + produzione attesa)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Consuntivi del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Coefficienti VA / occupazione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Rappresentativi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Contabilità regionale / ISTAT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Impatto</w:t>
            </w:r>
            <w:r>
              <w:t xml:space="preserve"> </w:t>
            </w:r>
            <w:r>
              <w:rPr>
                <w:bCs/>
                <w:b/>
              </w:rPr>
              <w:t xml:space="preserve">potenziale</w:t>
            </w:r>
            <w:r>
              <w:t xml:space="preserve"> </w:t>
            </w:r>
            <w:r>
              <w:t xml:space="preserve">(ordine di grandezza)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Impatto</w:t>
            </w:r>
            <w:r>
              <w:t xml:space="preserve"> </w:t>
            </w:r>
            <w:r>
              <w:rPr>
                <w:bCs/>
                <w:b/>
              </w:rPr>
              <w:t xml:space="preserve">consuntivo</w:t>
            </w:r>
            <w:r>
              <w:t xml:space="preserve"> </w:t>
            </w:r>
            <w:r>
              <w:t xml:space="preserve">verificabile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Validazione del modello, stima attesa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degli scostamenti (OR 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7" w:name="risultati-della-simulazione"/>
    <w:p>
      <w:pPr>
        <w:pStyle w:val="Heading2"/>
      </w:pPr>
      <w:r>
        <w:t xml:space="preserve">3. Risultati della simulazione</w:t>
      </w:r>
    </w:p>
    <w:p>
      <w:pPr>
        <w:pStyle w:val="BlockText"/>
      </w:pPr>
      <w:r>
        <w:t xml:space="preserve">I risultati che seguono sono l’esito della</w:t>
      </w:r>
      <w:r>
        <w:t xml:space="preserve"> </w:t>
      </w:r>
      <w:r>
        <w:rPr>
          <w:bCs/>
          <w:b/>
        </w:rPr>
        <w:t xml:space="preserve">simulazione</w:t>
      </w:r>
      <w:r>
        <w:t xml:space="preserve"> </w:t>
      </w:r>
      <w:r>
        <w:t xml:space="preserve">del modello con parametri</w:t>
      </w:r>
      <w:r>
        <w:t xml:space="preserve"> </w:t>
      </w:r>
      <w:r>
        <w:t xml:space="preserve">rappresentativi (§ 2.3): dimostrano l’operatività dello strumento e l’ordine di grandezza degli</w:t>
      </w:r>
      <w:r>
        <w:t xml:space="preserve"> </w:t>
      </w:r>
      <w:r>
        <w:t xml:space="preserve">effetti attesi, e saranno riprodotti con i dati ufficiali secondo il protocollo ex‑post (§ 2.5).</w:t>
      </w:r>
      <w:r>
        <w:t xml:space="preserve"> </w:t>
      </w:r>
      <w:r>
        <w:t xml:space="preserve">I</w:t>
      </w:r>
      <w:r>
        <w:t xml:space="preserve"> </w:t>
      </w:r>
      <w:r>
        <w:rPr>
          <w:bCs/>
          <w:b/>
        </w:rPr>
        <w:t xml:space="preserve">moltiplicatori</w:t>
      </w:r>
      <w:r>
        <w:t xml:space="preserve"> </w:t>
      </w:r>
      <w:r>
        <w:t xml:space="preserve">(§ 3.1) sono la componente più robusta del modello, perché dipendono dalla</w:t>
      </w:r>
      <w:r>
        <w:t xml:space="preserve"> </w:t>
      </w:r>
      <w:r>
        <w:t xml:space="preserve">struttura dei coefficienti tecnici più che dall’entità dello shock.</w:t>
      </w:r>
    </w:p>
    <w:bookmarkStart w:id="37" w:name="Xe7213f91dbf3baeb0d6144d3c3eb5010600b4cc"/>
    <w:p>
      <w:pPr>
        <w:pStyle w:val="Heading3"/>
      </w:pPr>
      <w:r>
        <w:t xml:space="preserve">3.1 Moltiplicatori di produzione della filiera</w:t>
      </w:r>
    </w:p>
    <w:p>
      <w:pPr>
        <w:pStyle w:val="FirstParagraph"/>
      </w:pPr>
      <w:r>
        <w:t xml:space="preserve">I moltiplicatori di produzione per settore (Figura 2) misurano l’output totale attivato in regione per</w:t>
      </w:r>
      <w:r>
        <w:t xml:space="preserve"> </w:t>
      </w:r>
      <w:r>
        <w:t xml:space="preserve">ogni euro di domanda finale. Il settore</w:t>
      </w:r>
      <w:r>
        <w:t xml:space="preserve"> </w:t>
      </w:r>
      <w:r>
        <w:rPr>
          <w:bCs/>
          <w:b/>
        </w:rPr>
        <w:t xml:space="preserve">ceramico</w:t>
      </w:r>
      <w:r>
        <w:t xml:space="preserve"> </w:t>
      </w:r>
      <w:r>
        <w:t xml:space="preserve">ha il moltiplicatore più elevato (</w:t>
      </w:r>
      <w:r>
        <w:rPr>
          <w:bCs/>
          <w:b/>
        </w:rPr>
        <w:t xml:space="preserve">1,75</w:t>
      </w:r>
      <w:r>
        <w:t xml:space="preserve"> </w:t>
      </w:r>
      <w:r>
        <w:t xml:space="preserve">di</w:t>
      </w:r>
      <w:r>
        <w:t xml:space="preserve"> </w:t>
      </w:r>
      <w:r>
        <w:t xml:space="preserve">Tipo I,</w:t>
      </w:r>
      <w:r>
        <w:t xml:space="preserve"> </w:t>
      </w:r>
      <w:r>
        <w:rPr>
          <w:bCs/>
          <w:b/>
        </w:rPr>
        <w:t xml:space="preserve">2,03</w:t>
      </w:r>
      <w:r>
        <w:t xml:space="preserve"> </w:t>
      </w:r>
      <w:r>
        <w:t xml:space="preserve">di Tipo II), coerentemente con la sua posizione di</w:t>
      </w:r>
      <w:r>
        <w:t xml:space="preserve"> </w:t>
      </w:r>
      <w:r>
        <w:rPr>
          <w:iCs/>
          <w:i/>
        </w:rPr>
        <w:t xml:space="preserve">cuore</w:t>
      </w:r>
      <w:r>
        <w:t xml:space="preserve"> </w:t>
      </w:r>
      <w:r>
        <w:t xml:space="preserve">della filiera e con la</w:t>
      </w:r>
      <w:r>
        <w:t xml:space="preserve"> </w:t>
      </w:r>
      <w:r>
        <w:t xml:space="preserve">ricchezza dei legami a monte (estrazione, chimica, energia, logistica); seguono chimica (1,40/1,62) ed</w:t>
      </w:r>
      <w:r>
        <w:t xml:space="preserve"> </w:t>
      </w:r>
      <w:r>
        <w:t xml:space="preserve">estrazione (1,29/1,52). L’inclusione dell’effetto indotto (Tipo II) accresce sensibilmente i</w:t>
      </w:r>
      <w:r>
        <w:t xml:space="preserve"> </w:t>
      </w:r>
      <w:r>
        <w:t xml:space="preserve">moltiplicatori dei settori a maggiore intensità di lavoro (servizi: da 1,22 a 1,56).</w:t>
      </w:r>
    </w:p>
    <w:p>
      <w:pPr>
        <w:pStyle w:val="CaptionedFigure"/>
      </w:pPr>
      <w:r>
        <w:drawing>
          <wp:inline>
            <wp:extent cx="5334000" cy="2879705"/>
            <wp:effectExtent b="0" l="0" r="0" t="0"/>
            <wp:docPr descr="Figura 2 — Moltiplicatori di produzione per settore (Tipo I e Tipo II)." title="" id="35" name="Picture"/>
            <a:graphic>
              <a:graphicData uri="http://schemas.openxmlformats.org/drawingml/2006/picture">
                <pic:pic>
                  <pic:nvPicPr>
                    <pic:cNvPr descr="figures/fig_imp2_moltiplicatori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9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— Moltiplicatori di produzione per settore (Tipo I e Tipo II).</w:t>
      </w:r>
    </w:p>
    <w:p>
      <w:pPr>
        <w:pStyle w:val="BodyText"/>
      </w:pPr>
      <w:r>
        <w:rPr>
          <w:iCs/>
          <w:i/>
        </w:rPr>
        <w:t xml:space="preserve">Figura 2. Moltiplicatori di produzione: il settore ceramico traina l’attivazione dell’output regionale.</w:t>
      </w:r>
    </w:p>
    <w:p>
      <w:pPr>
        <w:pStyle w:val="BodyText"/>
      </w:pPr>
      <w:r>
        <w:rPr>
          <w:bCs/>
          <w:b/>
        </w:rPr>
        <w:t xml:space="preserve">Tabella 1 — Moltiplicatori di produzione per settore.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 I (aperto)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 II (chiuso)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Estrazione minerali non metalliferi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Fabbricazione prodotti ceramici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Chimica (smalti, additivi, chemicals)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Trasporti e logistica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Energia (gas, elettricità)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Servizi (ICT, R&amp;S, professionali)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</w:t>
            </w:r>
          </w:p>
        </w:tc>
      </w:tr>
    </w:tbl>
    <w:bookmarkEnd w:id="37"/>
    <w:bookmarkStart w:id="41" w:name="impatto-simulato-sulloutput-per-regione"/>
    <w:p>
      <w:pPr>
        <w:pStyle w:val="Heading3"/>
      </w:pPr>
      <w:r>
        <w:t xml:space="preserve">3.2 Impatto simulato sull’output per regione</w:t>
      </w:r>
    </w:p>
    <w:p>
      <w:pPr>
        <w:pStyle w:val="FirstParagraph"/>
      </w:pPr>
      <w:r>
        <w:t xml:space="preserve">Nella simulazione (Figura 3), in</w:t>
      </w:r>
      <w:r>
        <w:t xml:space="preserve"> </w:t>
      </w:r>
      <w:r>
        <w:rPr>
          <w:bCs/>
          <w:b/>
        </w:rPr>
        <w:t xml:space="preserve">Emilia‑Romagna</w:t>
      </w:r>
      <w:r>
        <w:t xml:space="preserve"> </w:t>
      </w:r>
      <w:r>
        <w:t xml:space="preserve">i</w:t>
      </w:r>
      <w:r>
        <w:t xml:space="preserve"> </w:t>
      </w:r>
      <w:r>
        <w:rPr>
          <w:bCs/>
          <w:b/>
        </w:rPr>
        <w:t xml:space="preserve">42,0 M€</w:t>
      </w:r>
      <w:r>
        <w:t xml:space="preserve"> </w:t>
      </w:r>
      <w:r>
        <w:t xml:space="preserve">di domanda finale diretta</w:t>
      </w:r>
      <w:r>
        <w:t xml:space="preserve"> </w:t>
      </w:r>
      <w:r>
        <w:t xml:space="preserve">attiverebbero complessivamente</w:t>
      </w:r>
      <w:r>
        <w:t xml:space="preserve"> </w:t>
      </w:r>
      <w:r>
        <w:rPr>
          <w:bCs/>
          <w:b/>
        </w:rPr>
        <w:t xml:space="preserve">75,1 M€</w:t>
      </w:r>
      <w:r>
        <w:t xml:space="preserve"> </w:t>
      </w:r>
      <w:r>
        <w:t xml:space="preserve">di output (indiretto 22,2 M€; indotto 10,8 M€), con un</w:t>
      </w:r>
      <w:r>
        <w:t xml:space="preserve"> </w:t>
      </w:r>
      <w:r>
        <w:rPr>
          <w:bCs/>
          <w:b/>
        </w:rPr>
        <w:t xml:space="preserve">moltiplicatore di 1,79</w:t>
      </w:r>
      <w:r>
        <w:t xml:space="preserve">. Nelle tre regioni della ricerca lo shock è più contenuto e orientato a</w:t>
      </w:r>
      <w:r>
        <w:t xml:space="preserve"> </w:t>
      </w:r>
      <w:r>
        <w:t xml:space="preserve">settori (servizi, R&amp;S) con legami a monte meno intensi rispetto al core ceramico, con moltiplicatori</w:t>
      </w:r>
      <w:r>
        <w:t xml:space="preserve"> </w:t>
      </w:r>
      <w:r>
        <w:t xml:space="preserve">compresi tra 1,58 e 1,66:</w:t>
      </w:r>
      <w:r>
        <w:t xml:space="preserve"> </w:t>
      </w:r>
      <w:r>
        <w:rPr>
          <w:bCs/>
          <w:b/>
        </w:rPr>
        <w:t xml:space="preserve">Sardegna</w:t>
      </w:r>
      <w:r>
        <w:t xml:space="preserve"> </w:t>
      </w:r>
      <w:r>
        <w:t xml:space="preserve">9,0 →</w:t>
      </w:r>
      <w:r>
        <w:t xml:space="preserve"> </w:t>
      </w:r>
      <w:r>
        <w:rPr>
          <w:bCs/>
          <w:b/>
        </w:rPr>
        <w:t xml:space="preserve">14,9 M€</w:t>
      </w:r>
      <w:r>
        <w:t xml:space="preserve"> </w:t>
      </w:r>
      <w:r>
        <w:t xml:space="preserve">(×1,66),</w:t>
      </w:r>
      <w:r>
        <w:t xml:space="preserve"> </w:t>
      </w:r>
      <w:r>
        <w:rPr>
          <w:bCs/>
          <w:b/>
        </w:rPr>
        <w:t xml:space="preserve">Provincia di Bolzano</w:t>
      </w:r>
      <w:r>
        <w:t xml:space="preserve"> </w:t>
      </w:r>
      <w:r>
        <w:t xml:space="preserve">9,0 →</w:t>
      </w:r>
      <w:r>
        <w:t xml:space="preserve"> </w:t>
      </w:r>
      <w:r>
        <w:rPr>
          <w:bCs/>
          <w:b/>
        </w:rPr>
        <w:t xml:space="preserve">14,3 M€</w:t>
      </w:r>
      <w:r>
        <w:t xml:space="preserve"> </w:t>
      </w:r>
      <w:r>
        <w:t xml:space="preserve">(×1,58),</w:t>
      </w:r>
      <w:r>
        <w:t xml:space="preserve"> </w:t>
      </w:r>
      <w:r>
        <w:rPr>
          <w:bCs/>
          <w:b/>
        </w:rPr>
        <w:t xml:space="preserve">Calabria</w:t>
      </w:r>
      <w:r>
        <w:t xml:space="preserve"> </w:t>
      </w:r>
      <w:r>
        <w:t xml:space="preserve">8,0 →</w:t>
      </w:r>
      <w:r>
        <w:t xml:space="preserve"> </w:t>
      </w:r>
      <w:r>
        <w:rPr>
          <w:bCs/>
          <w:b/>
        </w:rPr>
        <w:t xml:space="preserve">12,8 M€</w:t>
      </w:r>
      <w:r>
        <w:t xml:space="preserve"> </w:t>
      </w:r>
      <w:r>
        <w:t xml:space="preserve">(×1,60). Complessivamente,</w:t>
      </w:r>
      <w:r>
        <w:t xml:space="preserve"> </w:t>
      </w:r>
      <w:r>
        <w:rPr>
          <w:bCs/>
          <w:b/>
        </w:rPr>
        <w:t xml:space="preserve">68,0 M€</w:t>
      </w:r>
      <w:r>
        <w:t xml:space="preserve"> </w:t>
      </w:r>
      <w:r>
        <w:t xml:space="preserve">di domanda</w:t>
      </w:r>
      <w:r>
        <w:t xml:space="preserve"> </w:t>
      </w:r>
      <w:r>
        <w:t xml:space="preserve">diretta attiverebbero</w:t>
      </w:r>
      <w:r>
        <w:t xml:space="preserve"> </w:t>
      </w:r>
      <w:r>
        <w:rPr>
          <w:bCs/>
          <w:b/>
        </w:rPr>
        <w:t xml:space="preserve">~117 M€</w:t>
      </w:r>
      <w:r>
        <w:t xml:space="preserve"> </w:t>
      </w:r>
      <w:r>
        <w:t xml:space="preserve">di output totale (moltiplicatore medio</w:t>
      </w:r>
      <w:r>
        <w:t xml:space="preserve"> </w:t>
      </w:r>
      <w:r>
        <w:rPr>
          <w:bCs/>
          <w:b/>
        </w:rPr>
        <w:t xml:space="preserve">1,72</w:t>
      </w:r>
      <w:r>
        <w:t xml:space="preserve">).</w:t>
      </w:r>
    </w:p>
    <w:p>
      <w:pPr>
        <w:pStyle w:val="CaptionedFigure"/>
      </w:pPr>
      <w:r>
        <w:drawing>
          <wp:inline>
            <wp:extent cx="5334000" cy="3121504"/>
            <wp:effectExtent b="0" l="0" r="0" t="0"/>
            <wp:docPr descr="Figura 3 — Simulazione dell’impatto sull’output per regione (diretto / indiretto / indotto)." title="" id="39" name="Picture"/>
            <a:graphic>
              <a:graphicData uri="http://schemas.openxmlformats.org/drawingml/2006/picture">
                <pic:pic>
                  <pic:nvPicPr>
                    <pic:cNvPr descr="figures/fig_imp3_regioni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— Simulazione dell’impatto sull’output per regione (diretto / indiretto / indotto).</w:t>
      </w:r>
    </w:p>
    <w:p>
      <w:pPr>
        <w:pStyle w:val="BodyText"/>
      </w:pPr>
      <w:r>
        <w:rPr>
          <w:iCs/>
          <w:i/>
        </w:rPr>
        <w:t xml:space="preserve">Figura 3. Simulazione dell’output attivato per regione, scomposto in diretto, indiretto (filiera) e indotto (consumi). Valori rappresentativi.</w:t>
      </w:r>
    </w:p>
    <w:bookmarkEnd w:id="41"/>
    <w:bookmarkStart w:id="45" w:name="X00bd97bcd1447da4606c0ce12c671c075d81cda"/>
    <w:p>
      <w:pPr>
        <w:pStyle w:val="Heading3"/>
      </w:pPr>
      <w:r>
        <w:t xml:space="preserve">3.3 Impatto simulato su valore aggiunto e occupazione</w:t>
      </w:r>
    </w:p>
    <w:p>
      <w:pPr>
        <w:pStyle w:val="FirstParagraph"/>
      </w:pPr>
      <w:r>
        <w:t xml:space="preserve">L’output attivato si tradurrebbe in</w:t>
      </w:r>
      <w:r>
        <w:t xml:space="preserve"> </w:t>
      </w:r>
      <w:r>
        <w:rPr>
          <w:bCs/>
          <w:b/>
        </w:rPr>
        <w:t xml:space="preserve">valore aggiunto</w:t>
      </w:r>
      <w:r>
        <w:t xml:space="preserve"> </w:t>
      </w:r>
      <w:r>
        <w:t xml:space="preserve">(contributo al PIL regionale) e</w:t>
      </w:r>
      <w:r>
        <w:t xml:space="preserve"> </w:t>
      </w:r>
      <w:r>
        <w:rPr>
          <w:bCs/>
          <w:b/>
        </w:rPr>
        <w:t xml:space="preserve">occupazione</w:t>
      </w:r>
      <w:r>
        <w:t xml:space="preserve"> </w:t>
      </w:r>
      <w:r>
        <w:t xml:space="preserve">(Figura 4):</w:t>
      </w:r>
      <w:r>
        <w:t xml:space="preserve"> </w:t>
      </w:r>
      <w:r>
        <w:rPr>
          <w:bCs/>
          <w:b/>
        </w:rPr>
        <w:t xml:space="preserve">35,1 M€</w:t>
      </w:r>
      <w:r>
        <w:t xml:space="preserve"> </w:t>
      </w:r>
      <w:r>
        <w:t xml:space="preserve">di valore aggiunto e</w:t>
      </w:r>
      <w:r>
        <w:t xml:space="preserve"> </w:t>
      </w:r>
      <w:r>
        <w:rPr>
          <w:bCs/>
          <w:b/>
        </w:rPr>
        <w:t xml:space="preserve">~365 ULA</w:t>
      </w:r>
      <w:r>
        <w:t xml:space="preserve"> </w:t>
      </w:r>
      <w:r>
        <w:t xml:space="preserve">in Emilia‑Romagna;</w:t>
      </w:r>
      <w:r>
        <w:t xml:space="preserve"> </w:t>
      </w:r>
      <w:r>
        <w:rPr>
          <w:bCs/>
          <w:b/>
        </w:rPr>
        <w:t xml:space="preserve">7,8 M€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~80 ULA</w:t>
      </w:r>
      <w:r>
        <w:t xml:space="preserve"> </w:t>
      </w:r>
      <w:r>
        <w:t xml:space="preserve">in Provincia di Bolzano;</w:t>
      </w:r>
      <w:r>
        <w:t xml:space="preserve"> </w:t>
      </w:r>
      <w:r>
        <w:rPr>
          <w:bCs/>
          <w:b/>
        </w:rPr>
        <w:t xml:space="preserve">7,7 M€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~80 ULA</w:t>
      </w:r>
      <w:r>
        <w:t xml:space="preserve"> </w:t>
      </w:r>
      <w:r>
        <w:t xml:space="preserve">in Sardegna;</w:t>
      </w:r>
      <w:r>
        <w:t xml:space="preserve"> </w:t>
      </w:r>
      <w:r>
        <w:rPr>
          <w:bCs/>
          <w:b/>
        </w:rPr>
        <w:t xml:space="preserve">6,9 M€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~71 ULA</w:t>
      </w:r>
      <w:r>
        <w:t xml:space="preserve"> </w:t>
      </w:r>
      <w:r>
        <w:t xml:space="preserve">in Calabria. In</w:t>
      </w:r>
      <w:r>
        <w:t xml:space="preserve"> </w:t>
      </w:r>
      <w:r>
        <w:t xml:space="preserve">totale la simulazione stima</w:t>
      </w:r>
      <w:r>
        <w:t xml:space="preserve"> </w:t>
      </w:r>
      <w:r>
        <w:rPr>
          <w:bCs/>
          <w:b/>
        </w:rPr>
        <w:t xml:space="preserve">~57,6 M€</w:t>
      </w:r>
      <w:r>
        <w:t xml:space="preserve"> </w:t>
      </w:r>
      <w:r>
        <w:t xml:space="preserve">di valore aggiunto e</w:t>
      </w:r>
      <w:r>
        <w:t xml:space="preserve"> </w:t>
      </w:r>
      <w:r>
        <w:rPr>
          <w:bCs/>
          <w:b/>
        </w:rPr>
        <w:t xml:space="preserve">~596 ULA</w:t>
      </w:r>
      <w:r>
        <w:t xml:space="preserve"> </w:t>
      </w:r>
      <w:r>
        <w:t xml:space="preserve">attivati sui quattro</w:t>
      </w:r>
      <w:r>
        <w:t xml:space="preserve"> </w:t>
      </w:r>
      <w:r>
        <w:t xml:space="preserve">territori.</w:t>
      </w:r>
    </w:p>
    <w:p>
      <w:pPr>
        <w:pStyle w:val="CaptionedFigure"/>
      </w:pPr>
      <w:r>
        <w:drawing>
          <wp:inline>
            <wp:extent cx="5334000" cy="2382335"/>
            <wp:effectExtent b="0" l="0" r="0" t="0"/>
            <wp:docPr descr="Figura 4 — Simulazione dell’impatto su valore aggiunto e occupazione per regione." title="" id="43" name="Picture"/>
            <a:graphic>
              <a:graphicData uri="http://schemas.openxmlformats.org/drawingml/2006/picture">
                <pic:pic>
                  <pic:nvPicPr>
                    <pic:cNvPr descr="figures/fig_imp4_impatto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 — Simulazione dell’impatto su valore aggiunto e occupazione per regione.</w:t>
      </w:r>
    </w:p>
    <w:p>
      <w:pPr>
        <w:pStyle w:val="BodyText"/>
      </w:pPr>
      <w:r>
        <w:rPr>
          <w:iCs/>
          <w:i/>
        </w:rPr>
        <w:t xml:space="preserve">Figura 4. Simulazione del contributo al valore aggiunto (sinistra) e dell’occupazione attivata (destra), scomposti in diretto/indiretto/indotto. Valori rappresentativi.</w:t>
      </w:r>
    </w:p>
    <w:p>
      <w:pPr>
        <w:pStyle w:val="BodyText"/>
      </w:pPr>
      <w:r>
        <w:rPr>
          <w:bCs/>
          <w:b/>
        </w:rPr>
        <w:t xml:space="preserve">Tabella 2 — Sintesi della simulazione (valori rappresentativi, per anno a regime).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Domanda diretta (M€)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Output totale (M€)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Moltiplicatore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Valore aggiunto (M€)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Occupazione (ULA)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Emilia‑Romagna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Provincia di Bolzano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Sardegna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Calabria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68,0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117,1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1,72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57,6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596</w:t>
            </w:r>
          </w:p>
        </w:tc>
      </w:tr>
    </w:tbl>
    <w:bookmarkEnd w:id="45"/>
    <w:bookmarkStart w:id="46" w:name="verifica-del-kpi"/>
    <w:p>
      <w:pPr>
        <w:pStyle w:val="Heading3"/>
      </w:pPr>
      <w:r>
        <w:t xml:space="preserve">3.4 Verifica del KPI</w:t>
      </w:r>
    </w:p>
    <w:p>
      <w:pPr>
        <w:pStyle w:val="FirstParagraph"/>
      </w:pPr>
      <w:r>
        <w:rPr>
          <w:bCs/>
          <w:b/>
        </w:rPr>
        <w:t xml:space="preserve">Tabella 3 — Verifica del KPI di scheda (baseline Nessuna informazione → obiettivo Analisi effettuata).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 del deliverable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Obiettivo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Matrice / modello input‑output (Leontief) impostato e validato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Nessuna informazione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Analisi effettuata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prodotto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Analisi eseguita in simulazione sulle 4 regioni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Nessuna informazione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Analisi effettuata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eseguita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Protocollo di applicazione ex‑post definito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Nessuna informazione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Analisi effettuata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definito</w:t>
            </w:r>
          </w:p>
        </w:tc>
      </w:tr>
    </w:tbl>
    <w:p>
      <w:pPr>
        <w:pStyle w:val="BodyText"/>
      </w:pPr>
      <w:r>
        <w:t xml:space="preserve">Il KPI</w:t>
      </w:r>
      <w:r>
        <w:t xml:space="preserve"> </w:t>
      </w:r>
      <w:r>
        <w:rPr>
          <w:bCs/>
          <w:b/>
        </w:rPr>
        <w:t xml:space="preserve">«Analisi effettuata»</w:t>
      </w:r>
      <w:r>
        <w:t xml:space="preserve"> </w:t>
      </w:r>
      <w:r>
        <w:t xml:space="preserve">è raggiunto nel senso proprio dell’attività: lo</w:t>
      </w:r>
      <w:r>
        <w:t xml:space="preserve"> </w:t>
      </w:r>
      <w:r>
        <w:rPr>
          <w:bCs/>
          <w:b/>
        </w:rPr>
        <w:t xml:space="preserve">strumento di analisi</w:t>
      </w:r>
      <w:r>
        <w:rPr>
          <w:bCs/>
          <w:b/>
        </w:rPr>
        <w:t xml:space="preserve"> </w:t>
      </w:r>
      <w:r>
        <w:rPr>
          <w:bCs/>
          <w:b/>
        </w:rPr>
        <w:t xml:space="preserve">input‑output (matrice I‑O) è impostato, validato ed eseguito in simulazione</w:t>
      </w:r>
      <w:r>
        <w:t xml:space="preserve"> </w:t>
      </w:r>
      <w:r>
        <w:t xml:space="preserve">sulle quattro regioni, ed</w:t>
      </w:r>
      <w:r>
        <w:t xml:space="preserve"> </w:t>
      </w:r>
      <w:r>
        <w:t xml:space="preserve">è corredato del protocollo per la sua applicazione ex‑post. La misura consuntiva dell’impatto seguirà</w:t>
      </w:r>
      <w:r>
        <w:t xml:space="preserve"> </w:t>
      </w:r>
      <w:r>
        <w:t xml:space="preserve">con i dati ufficiali, secondo il § 2.5.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discussione-e-conclusioni"/>
    <w:p>
      <w:pPr>
        <w:pStyle w:val="Heading2"/>
      </w:pPr>
      <w:r>
        <w:t xml:space="preserve">4. Discussione e conclusioni</w:t>
      </w:r>
    </w:p>
    <w:bookmarkStart w:id="48" w:name="discussione-critica"/>
    <w:p>
      <w:pPr>
        <w:pStyle w:val="Heading3"/>
      </w:pPr>
      <w:r>
        <w:t xml:space="preserve">4.1 Discussione critica</w:t>
      </w:r>
    </w:p>
    <w:p>
      <w:pPr>
        <w:pStyle w:val="FirstParagraph"/>
      </w:pPr>
      <w:r>
        <w:t xml:space="preserve">La simulazione mostra che l’impatto potenziale del progetto</w:t>
      </w:r>
      <w:r>
        <w:t xml:space="preserve"> </w:t>
      </w:r>
      <w:r>
        <w:rPr>
          <w:bCs/>
          <w:b/>
        </w:rPr>
        <w:t xml:space="preserve">eccederebbe sensibilmente lo shock</w:t>
      </w:r>
      <w:r>
        <w:rPr>
          <w:bCs/>
          <w:b/>
        </w:rPr>
        <w:t xml:space="preserve"> </w:t>
      </w:r>
      <w:r>
        <w:rPr>
          <w:bCs/>
          <w:b/>
        </w:rPr>
        <w:t xml:space="preserve">diretto</w:t>
      </w:r>
      <w:r>
        <w:t xml:space="preserve">: ogni euro di domanda finale attiva ~1,72 € di output complessivo, con un contributo</w:t>
      </w:r>
      <w:r>
        <w:t xml:space="preserve"> </w:t>
      </w:r>
      <w:r>
        <w:t xml:space="preserve">rilevante degli effetti indiretti (filiera) e indotti (consumi). La differenza tra le regioni non è un</w:t>
      </w:r>
      <w:r>
        <w:t xml:space="preserve"> </w:t>
      </w:r>
      <w:r>
        <w:t xml:space="preserve">artefatto ma il riflesso della</w:t>
      </w:r>
      <w:r>
        <w:t xml:space="preserve"> </w:t>
      </w:r>
      <w:r>
        <w:rPr>
          <w:bCs/>
          <w:b/>
        </w:rPr>
        <w:t xml:space="preserve">struttura della filiera</w:t>
      </w:r>
      <w:r>
        <w:t xml:space="preserve">: l’Emilia‑Romagna, sede del core ceramico,</w:t>
      </w:r>
      <w:r>
        <w:t xml:space="preserve"> </w:t>
      </w:r>
      <w:r>
        <w:t xml:space="preserve">presenta il moltiplicatore più elevato (1,79) perché il settore ceramico attiva a monte estrazione,</w:t>
      </w:r>
      <w:r>
        <w:t xml:space="preserve"> </w:t>
      </w:r>
      <w:r>
        <w:t xml:space="preserve">chimica, energia e logistica locali; le tre regioni della ricerca (1,58–1,66) attivano soprattutto</w:t>
      </w:r>
      <w:r>
        <w:t xml:space="preserve"> </w:t>
      </w:r>
      <w:r>
        <w:t xml:space="preserve">servizi e R&amp;S, con legami a monte meno intensi ma comunque superiori all’unità — un risultato</w:t>
      </w:r>
      <w:r>
        <w:t xml:space="preserve"> </w:t>
      </w:r>
      <w:r>
        <w:rPr>
          <w:bCs/>
          <w:b/>
        </w:rPr>
        <w:t xml:space="preserve">strutturale</w:t>
      </w:r>
      <w:r>
        <w:t xml:space="preserve"> </w:t>
      </w:r>
      <w:r>
        <w:t xml:space="preserve">che dipende dai coefficienti tecnici e resta valido a prescindere dalla taratura dello</w:t>
      </w:r>
      <w:r>
        <w:t xml:space="preserve"> </w:t>
      </w:r>
      <w:r>
        <w:t xml:space="preserve">shock. Vanno però ribaditi i limiti che motivano la natura di simulazione: (i) i</w:t>
      </w:r>
      <w:r>
        <w:t xml:space="preserve"> </w:t>
      </w:r>
      <w:r>
        <w:rPr>
          <w:bCs/>
          <w:b/>
        </w:rPr>
        <w:t xml:space="preserve">coefficienti sono</w:t>
      </w:r>
      <w:r>
        <w:rPr>
          <w:bCs/>
          <w:b/>
        </w:rPr>
        <w:t xml:space="preserve"> </w:t>
      </w:r>
      <w:r>
        <w:rPr>
          <w:bCs/>
          <w:b/>
        </w:rPr>
        <w:t xml:space="preserve">rappresentativi</w:t>
      </w:r>
      <w:r>
        <w:t xml:space="preserve"> </w:t>
      </w:r>
      <w:r>
        <w:t xml:space="preserve">e vanno sostituiti con le tavole I‑O regionali ufficiali (§ 2.5); (ii) l’analisi I‑O</w:t>
      </w:r>
      <w:r>
        <w:t xml:space="preserve"> </w:t>
      </w:r>
      <w:r>
        <w:t xml:space="preserve">assume</w:t>
      </w:r>
      <w:r>
        <w:t xml:space="preserve"> </w:t>
      </w:r>
      <w:r>
        <w:rPr>
          <w:bCs/>
          <w:b/>
        </w:rPr>
        <w:t xml:space="preserve">coefficienti tecnici fissi</w:t>
      </w:r>
      <w:r>
        <w:t xml:space="preserve"> </w:t>
      </w:r>
      <w:r>
        <w:t xml:space="preserve">e rendimenti costanti di scala, ipotesi ragionevole per impatti</w:t>
      </w:r>
      <w:r>
        <w:t xml:space="preserve"> </w:t>
      </w:r>
      <w:r>
        <w:t xml:space="preserve">marginali come quelli di un progetto ma non per grandi shock strutturali. È proprio per questo che il</w:t>
      </w:r>
      <w:r>
        <w:t xml:space="preserve"> </w:t>
      </w:r>
      <w:r>
        <w:t xml:space="preserve">deliverable è impostato come</w:t>
      </w:r>
      <w:r>
        <w:t xml:space="preserve"> </w:t>
      </w:r>
      <w:r>
        <w:rPr>
          <w:bCs/>
          <w:b/>
        </w:rPr>
        <w:t xml:space="preserve">modello da applicare ex‑post</w:t>
      </w:r>
      <w:r>
        <w:t xml:space="preserve">, non come misura definitiva: i numeri</w:t>
      </w:r>
      <w:r>
        <w:t xml:space="preserve"> </w:t>
      </w:r>
      <w:r>
        <w:t xml:space="preserve">odierni sono una</w:t>
      </w:r>
      <w:r>
        <w:t xml:space="preserve"> </w:t>
      </w:r>
      <w:r>
        <w:rPr>
          <w:iCs/>
          <w:i/>
        </w:rPr>
        <w:t xml:space="preserve">previsione</w:t>
      </w:r>
      <w:r>
        <w:t xml:space="preserve">, il valore duraturo è lo</w:t>
      </w:r>
      <w:r>
        <w:t xml:space="preserve"> </w:t>
      </w:r>
      <w:r>
        <w:rPr>
          <w:iCs/>
          <w:i/>
        </w:rPr>
        <w:t xml:space="preserve">strumento</w:t>
      </w:r>
      <w:r>
        <w:t xml:space="preserve">.</w:t>
      </w:r>
    </w:p>
    <w:bookmarkEnd w:id="48"/>
    <w:bookmarkStart w:id="49" w:name="Xd3d8ceffe01bd0e09e52fef5b8914e923152cb5"/>
    <w:p>
      <w:pPr>
        <w:pStyle w:val="Heading3"/>
      </w:pPr>
      <w:r>
        <w:t xml:space="preserve">4.2 Interdipendenze con altre attività e contributo a RF 8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RP 8.5 (Stakeholder Engagement)</w:t>
      </w:r>
      <w:r>
        <w:t xml:space="preserve"> </w:t>
      </w:r>
      <w:r>
        <w:t xml:space="preserve">— è il</w:t>
      </w:r>
      <w:r>
        <w:t xml:space="preserve"> </w:t>
      </w:r>
      <w:r>
        <w:rPr>
          <w:bCs/>
          <w:b/>
        </w:rPr>
        <w:t xml:space="preserve">presupposto operativo</w:t>
      </w:r>
      <w:r>
        <w:t xml:space="preserve"> </w:t>
      </w:r>
      <w:r>
        <w:t xml:space="preserve">di questa analisi: il</w:t>
      </w:r>
      <w:r>
        <w:t xml:space="preserve"> </w:t>
      </w:r>
      <w:r>
        <w:t xml:space="preserve">coinvolgimento delle autorità territoriali delle quattro regioni è la via di accesso ai dati</w:t>
      </w:r>
      <w:r>
        <w:t xml:space="preserve"> </w:t>
      </w:r>
      <w:r>
        <w:t xml:space="preserve">macroeconomici regionali che risolvono il problema n. 6 e permettono di consolidare i coefficienti</w:t>
      </w:r>
      <w:r>
        <w:t xml:space="preserve"> </w:t>
      </w:r>
      <w:r>
        <w:t xml:space="preserve">del modello.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Risultati tecnici (OR 1–OR 7)</w:t>
      </w:r>
      <w:r>
        <w:t xml:space="preserve"> </w:t>
      </w:r>
      <w:r>
        <w:t xml:space="preserve">— il concetto di Digital Twin e l’AI (OR1), i modelli predittivi di</w:t>
      </w:r>
      <w:r>
        <w:t xml:space="preserve"> </w:t>
      </w:r>
      <w:r>
        <w:t xml:space="preserve">qualità e la NDT (OR2), l’involucro edilizio intelligente (OR3), il framework e il controllo</w:t>
      </w:r>
      <w:r>
        <w:t xml:space="preserve"> </w:t>
      </w:r>
      <w:r>
        <w:t xml:space="preserve">predittivo AI (OR4–OR5), la modellazione dell’Intelligent Industry e il product design (OR6), il</w:t>
      </w:r>
      <w:r>
        <w:t xml:space="preserve"> </w:t>
      </w:r>
      <w:r>
        <w:t xml:space="preserve">collaudo in ambiente operativo (OR7) definiscono la</w:t>
      </w:r>
      <w:r>
        <w:t xml:space="preserve"> </w:t>
      </w:r>
      <w:r>
        <w:rPr>
          <w:bCs/>
          <w:b/>
        </w:rPr>
        <w:t xml:space="preserve">sostanza economica</w:t>
      </w:r>
      <w:r>
        <w:t xml:space="preserve"> </w:t>
      </w:r>
      <w:r>
        <w:t xml:space="preserve">dello shock di domanda</w:t>
      </w:r>
      <w:r>
        <w:t xml:space="preserve"> </w:t>
      </w:r>
      <w:r>
        <w:t xml:space="preserve">finale (investimenti e produzione addizionale) qui valutato.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RF 8 (Piano di Coordinamento)</w:t>
      </w:r>
      <w:r>
        <w:t xml:space="preserve"> </w:t>
      </w:r>
      <w:r>
        <w:t xml:space="preserve">— la valutazione d’impatto è la componente di</w:t>
      </w:r>
      <w:r>
        <w:t xml:space="preserve"> </w:t>
      </w:r>
      <w:r>
        <w:rPr>
          <w:bCs/>
          <w:b/>
        </w:rPr>
        <w:t xml:space="preserve">misurazione dei</w:t>
      </w:r>
      <w:r>
        <w:rPr>
          <w:bCs/>
          <w:b/>
        </w:rPr>
        <w:t xml:space="preserve"> </w:t>
      </w:r>
      <w:r>
        <w:rPr>
          <w:bCs/>
          <w:b/>
        </w:rPr>
        <w:t xml:space="preserve">risultati sui territori</w:t>
      </w:r>
      <w:r>
        <w:t xml:space="preserve"> </w:t>
      </w:r>
      <w:r>
        <w:t xml:space="preserve">del Piano di Coordinamento, e realizza la finalità inedita dell’OR 8.</w:t>
      </w:r>
    </w:p>
    <w:bookmarkEnd w:id="49"/>
    <w:bookmarkStart w:id="50" w:name="X76edcf1af8cd26072153b698b980e8b0ef68e1a"/>
    <w:p>
      <w:pPr>
        <w:pStyle w:val="Heading3"/>
      </w:pPr>
      <w:r>
        <w:t xml:space="preserve">4.3 Implicazioni operative rispetto alle Finalità del progetto</w:t>
      </w:r>
    </w:p>
    <w:p>
      <w:pPr>
        <w:pStyle w:val="FirstParagraph"/>
      </w:pPr>
      <w:r>
        <w:t xml:space="preserve">Disporre di un modello per stimare l’impatto territoriale traduce in</w:t>
      </w:r>
      <w:r>
        <w:t xml:space="preserve"> </w:t>
      </w:r>
      <w:r>
        <w:rPr>
          <w:bCs/>
          <w:b/>
        </w:rPr>
        <w:t xml:space="preserve">numeri argomentabili</w:t>
      </w:r>
      <w:r>
        <w:t xml:space="preserve"> </w:t>
      </w:r>
      <w:r>
        <w:t xml:space="preserve">la</w:t>
      </w:r>
      <w:r>
        <w:t xml:space="preserve"> </w:t>
      </w:r>
      <w:r>
        <w:t xml:space="preserve">Finalità di START di guidare la transizione dell’industria ceramica verso una produzione</w:t>
      </w:r>
      <w:r>
        <w:t xml:space="preserve"> </w:t>
      </w:r>
      <w:r>
        <w:rPr>
          <w:bCs/>
          <w:b/>
        </w:rPr>
        <w:t xml:space="preserve">data‑driven e sostenibile</w:t>
      </w:r>
      <w:r>
        <w:t xml:space="preserve"> </w:t>
      </w:r>
      <w:r>
        <w:t xml:space="preserve">e di rafforzarne la competitività. Già in forma di simulazione i</w:t>
      </w:r>
      <w:r>
        <w:t xml:space="preserve"> </w:t>
      </w:r>
      <w:r>
        <w:t xml:space="preserve">risultati forniscono elementi per il dialogo con le istituzioni (regioni, provincia autonoma, comuni,</w:t>
      </w:r>
      <w:r>
        <w:t xml:space="preserve"> </w:t>
      </w:r>
      <w:r>
        <w:t xml:space="preserve">associazioni di distretto) e per la rendicontazione dell’Accordo per l’Innovazione, mostrando l’ordine</w:t>
      </w:r>
      <w:r>
        <w:t xml:space="preserve"> </w:t>
      </w:r>
      <w:r>
        <w:t xml:space="preserve">di grandezza con cui gli effetti del progetto — occupazione e valore aggiunto attivati, moltiplicatori</w:t>
      </w:r>
      <w:r>
        <w:t xml:space="preserve"> </w:t>
      </w:r>
      <w:r>
        <w:t xml:space="preserve">di filiera — ricadrebbero sui</w:t>
      </w:r>
      <w:r>
        <w:t xml:space="preserve"> </w:t>
      </w:r>
      <w:r>
        <w:rPr>
          <w:bCs/>
          <w:b/>
        </w:rPr>
        <w:t xml:space="preserve">territori di riferimento</w:t>
      </w:r>
      <w:r>
        <w:t xml:space="preserve"> </w:t>
      </w:r>
      <w:r>
        <w:t xml:space="preserve">(distretto ceramico emiliano e poli di</w:t>
      </w:r>
      <w:r>
        <w:t xml:space="preserve"> </w:t>
      </w:r>
      <w:r>
        <w:t xml:space="preserve">ricerca di Bolzano, Sardegna e Calabria). L’applicazione ex‑post trasformerà questa stima in evidenza</w:t>
      </w:r>
      <w:r>
        <w:t xml:space="preserve"> </w:t>
      </w:r>
      <w:r>
        <w:t xml:space="preserve">consuntiva, dando all’OR 8 la sua «misurazione dei risultati sui territori».</w:t>
      </w:r>
    </w:p>
    <w:bookmarkEnd w:id="50"/>
    <w:bookmarkStart w:id="51" w:name="limiti-e-sviluppi"/>
    <w:p>
      <w:pPr>
        <w:pStyle w:val="Heading3"/>
      </w:pPr>
      <w:r>
        <w:t xml:space="preserve">4.4 Limiti e sviluppi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Applicazione ex‑post (sviluppo principale).</w:t>
      </w:r>
      <w:r>
        <w:t xml:space="preserve"> </w:t>
      </w:r>
      <w:r>
        <w:t xml:space="preserve">Eseguire il protocollo del § 2.5: sostituire i</w:t>
      </w:r>
      <w:r>
        <w:t xml:space="preserve"> </w:t>
      </w:r>
      <w:r>
        <w:t xml:space="preserve">coefficienti rappresentativi con le</w:t>
      </w:r>
      <w:r>
        <w:t xml:space="preserve"> </w:t>
      </w:r>
      <w:r>
        <w:rPr>
          <w:bCs/>
          <w:b/>
        </w:rPr>
        <w:t xml:space="preserve">tavole I‑O regionali ISTAT</w:t>
      </w:r>
      <w:r>
        <w:t xml:space="preserve"> </w:t>
      </w:r>
      <w:r>
        <w:t xml:space="preserve">(via autorità territoriali,</w:t>
      </w:r>
      <w:r>
        <w:t xml:space="preserve"> </w:t>
      </w:r>
      <w:r>
        <w:t xml:space="preserve">RP 8.5) e con i</w:t>
      </w:r>
      <w:r>
        <w:t xml:space="preserve"> </w:t>
      </w:r>
      <w:r>
        <w:rPr>
          <w:bCs/>
          <w:b/>
        </w:rPr>
        <w:t xml:space="preserve">consuntivi degli investimenti</w:t>
      </w:r>
      <w:r>
        <w:t xml:space="preserve">, per passare dalla stima simulata alla misura.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Analisi degli scostamenti.</w:t>
      </w:r>
      <w:r>
        <w:t xml:space="preserve"> </w:t>
      </w:r>
      <w:r>
        <w:t xml:space="preserve">Nella logica propria dell’OR 8, confrontare l’impatto</w:t>
      </w:r>
      <w:r>
        <w:t xml:space="preserve"> </w:t>
      </w:r>
      <w:r>
        <w:rPr>
          <w:bCs/>
          <w:b/>
        </w:rPr>
        <w:t xml:space="preserve">simulato</w:t>
      </w:r>
      <w:r>
        <w:t xml:space="preserve"> </w:t>
      </w:r>
      <w:r>
        <w:t xml:space="preserve">(questa relazione) con quello</w:t>
      </w:r>
      <w:r>
        <w:t xml:space="preserve"> </w:t>
      </w:r>
      <w:r>
        <w:rPr>
          <w:bCs/>
          <w:b/>
        </w:rPr>
        <w:t xml:space="preserve">consuntivo</w:t>
      </w:r>
      <w:r>
        <w:t xml:space="preserve"> </w:t>
      </w:r>
      <w:r>
        <w:t xml:space="preserve">ex‑post, alimentando l’analisi degli scostamenti del</w:t>
      </w:r>
      <w:r>
        <w:t xml:space="preserve"> </w:t>
      </w:r>
      <w:r>
        <w:t xml:space="preserve">Piano di Coordinamento.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Estensione ambientale.</w:t>
      </w:r>
      <w:r>
        <w:t xml:space="preserve"> </w:t>
      </w:r>
      <w:r>
        <w:t xml:space="preserve">Affiancare all’analisi economica un modulo</w:t>
      </w:r>
      <w:r>
        <w:t xml:space="preserve"> </w:t>
      </w:r>
      <w:r>
        <w:rPr>
          <w:bCs/>
          <w:b/>
        </w:rPr>
        <w:t xml:space="preserve">input‑output ambientale</w:t>
      </w:r>
      <w:r>
        <w:t xml:space="preserve"> </w:t>
      </w:r>
      <w:r>
        <w:t xml:space="preserve">(emissioni, energia, exergia) per stimare anche l’impatto di decarbonizzazione e circolarità,</w:t>
      </w:r>
      <w:r>
        <w:t xml:space="preserve"> </w:t>
      </w:r>
      <w:r>
        <w:t xml:space="preserve">agganciandolo alle impronte e alla contabilità EEA+/TSI del progetto (OR6).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Robustezza della simulazione.</w:t>
      </w:r>
      <w:r>
        <w:t xml:space="preserve"> </w:t>
      </w:r>
      <w:r>
        <w:t xml:space="preserve">Corredare il modello di</w:t>
      </w:r>
      <w:r>
        <w:t xml:space="preserve"> </w:t>
      </w:r>
      <w:r>
        <w:rPr>
          <w:bCs/>
          <w:b/>
        </w:rPr>
        <w:t xml:space="preserve">analisi di sensitività</w:t>
      </w:r>
      <w:r>
        <w:t xml:space="preserve"> </w:t>
      </w:r>
      <w:r>
        <w:t xml:space="preserve">sui parametri</w:t>
      </w:r>
      <w:r>
        <w:t xml:space="preserve"> </w:t>
      </w:r>
      <w:r>
        <w:t xml:space="preserve">rappresentativi (intervalli di plausibilità dei moltiplicatori), in attesa dei dati ufficiali.</w:t>
      </w:r>
    </w:p>
    <w:bookmarkEnd w:id="51"/>
    <w:bookmarkStart w:id="52" w:name="conclusioni"/>
    <w:p>
      <w:pPr>
        <w:pStyle w:val="Heading3"/>
      </w:pPr>
      <w:r>
        <w:t xml:space="preserve">4.5 Conclusioni</w:t>
      </w:r>
    </w:p>
    <w:p>
      <w:pPr>
        <w:pStyle w:val="FirstParagraph"/>
      </w:pPr>
      <w:r>
        <w:t xml:space="preserve">L’attività 8.6 ha</w:t>
      </w:r>
      <w:r>
        <w:t xml:space="preserve"> </w:t>
      </w:r>
      <w:r>
        <w:rPr>
          <w:bCs/>
          <w:b/>
        </w:rPr>
        <w:t xml:space="preserve">impostato, validato ed eseguito in simulazione</w:t>
      </w:r>
      <w:r>
        <w:t xml:space="preserve"> </w:t>
      </w:r>
      <w:r>
        <w:t xml:space="preserve">il modello di analisi input‑output</w:t>
      </w:r>
      <w:r>
        <w:t xml:space="preserve"> </w:t>
      </w:r>
      <w:r>
        <w:t xml:space="preserve">dell’impatto del progetto START su Emilia‑Romagna, Provincia di Bolzano, Sardegna e Calabria, e ne ha</w:t>
      </w:r>
      <w:r>
        <w:t xml:space="preserve"> </w:t>
      </w:r>
      <w:r>
        <w:t xml:space="preserve">definito il</w:t>
      </w:r>
      <w:r>
        <w:t xml:space="preserve"> </w:t>
      </w:r>
      <w:r>
        <w:rPr>
          <w:bCs/>
          <w:b/>
        </w:rPr>
        <w:t xml:space="preserve">protocollo di applicazione ex‑post</w:t>
      </w:r>
      <w:r>
        <w:t xml:space="preserve"> </w:t>
      </w:r>
      <w:r>
        <w:t xml:space="preserve">(KPI: baseline Nessuna informazione → obiettivo</w:t>
      </w:r>
      <w:r>
        <w:t xml:space="preserve"> </w:t>
      </w:r>
      <w:r>
        <w:t xml:space="preserve">Analisi effettuata, raggiunto nel senso di</w:t>
      </w:r>
      <w:r>
        <w:t xml:space="preserve"> </w:t>
      </w:r>
      <w:r>
        <w:rPr>
          <w:iCs/>
          <w:i/>
        </w:rPr>
        <w:t xml:space="preserve">strumento predisposto ed eseguito</w:t>
      </w:r>
      <w:r>
        <w:t xml:space="preserve">). La simulazione con</w:t>
      </w:r>
      <w:r>
        <w:t xml:space="preserve"> </w:t>
      </w:r>
      <w:r>
        <w:t xml:space="preserve">valori rappresentativi stima un impatto potenziale di</w:t>
      </w:r>
      <w:r>
        <w:t xml:space="preserve"> </w:t>
      </w:r>
      <w:r>
        <w:rPr>
          <w:bCs/>
          <w:b/>
        </w:rPr>
        <w:t xml:space="preserve">~117 M€ di output</w:t>
      </w:r>
      <w:r>
        <w:t xml:space="preserve">,</w:t>
      </w:r>
      <w:r>
        <w:t xml:space="preserve"> </w:t>
      </w:r>
      <w:r>
        <w:rPr>
          <w:bCs/>
          <w:b/>
        </w:rPr>
        <w:t xml:space="preserve">~57,6 M€ di valore</w:t>
      </w:r>
      <w:r>
        <w:rPr>
          <w:bCs/>
          <w:b/>
        </w:rPr>
        <w:t xml:space="preserve"> </w:t>
      </w:r>
      <w:r>
        <w:rPr>
          <w:bCs/>
          <w:b/>
        </w:rPr>
        <w:t xml:space="preserve">aggiunto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~596 ULA</w:t>
      </w:r>
      <w:r>
        <w:t xml:space="preserve"> </w:t>
      </w:r>
      <w:r>
        <w:t xml:space="preserve">sui quattro territori (moltiplicatore medio 1,72), con l’Emilia‑Romagna</w:t>
      </w:r>
      <w:r>
        <w:t xml:space="preserve"> </w:t>
      </w:r>
      <w:r>
        <w:t xml:space="preserve">trainata dal core ceramico. Il valore del deliverable è però soprattutto il</w:t>
      </w:r>
      <w:r>
        <w:t xml:space="preserve"> </w:t>
      </w:r>
      <w:r>
        <w:rPr>
          <w:bCs/>
          <w:b/>
        </w:rPr>
        <w:t xml:space="preserve">modello riproducibile</w:t>
      </w:r>
      <w:r>
        <w:t xml:space="preserve">,</w:t>
      </w:r>
      <w:r>
        <w:t xml:space="preserve"> </w:t>
      </w:r>
      <w:r>
        <w:t xml:space="preserve">pronto a essere ri‑eseguito con i dati regionali ufficiali — il cui accesso è abilitato dal Piano di</w:t>
      </w:r>
      <w:r>
        <w:t xml:space="preserve"> </w:t>
      </w:r>
      <w:r>
        <w:t xml:space="preserve">Stakeholder Engagement (RP 8.5) — nei</w:t>
      </w:r>
      <w:r>
        <w:t xml:space="preserve"> </w:t>
      </w:r>
      <w:r>
        <w:rPr>
          <w:bCs/>
          <w:b/>
        </w:rPr>
        <w:t xml:space="preserve">mesi e anni successivi alla chiusura del progetto</w:t>
      </w:r>
      <w:r>
        <w:t xml:space="preserve">. Così</w:t>
      </w:r>
      <w:r>
        <w:t xml:space="preserve"> </w:t>
      </w:r>
      <w:r>
        <w:t xml:space="preserve">l’attività contribuisce al</w:t>
      </w:r>
      <w:r>
        <w:t xml:space="preserve"> </w:t>
      </w:r>
      <w:r>
        <w:rPr>
          <w:bCs/>
          <w:b/>
        </w:rPr>
        <w:t xml:space="preserve">RF 8 (Piano di Coordinamento del Progetto START)</w:t>
      </w:r>
      <w:r>
        <w:t xml:space="preserve"> </w:t>
      </w:r>
      <w:r>
        <w:t xml:space="preserve">e mette l’OR 8 nelle</w:t>
      </w:r>
      <w:r>
        <w:t xml:space="preserve"> </w:t>
      </w:r>
      <w:r>
        <w:t xml:space="preserve">condizioni di realizzare la sua finalità inedita:</w:t>
      </w:r>
      <w:r>
        <w:t xml:space="preserve"> </w:t>
      </w:r>
      <w:r>
        <w:rPr>
          <w:bCs/>
          <w:b/>
        </w:rPr>
        <w:t xml:space="preserve">misurare l’impatto del progetto sulla società e sui</w:t>
      </w:r>
      <w:r>
        <w:rPr>
          <w:bCs/>
          <w:b/>
        </w:rPr>
        <w:t xml:space="preserve"> </w:t>
      </w:r>
      <w:r>
        <w:rPr>
          <w:bCs/>
          <w:b/>
        </w:rPr>
        <w:t xml:space="preserve">territori</w:t>
      </w:r>
      <w:r>
        <w:t xml:space="preserve"> </w:t>
      </w:r>
      <w:r>
        <w:t xml:space="preserve">di riferimento, per differenza tra previsione e consuntivo.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ppendice-a-riproducibilità"/>
    <w:p>
      <w:pPr>
        <w:pStyle w:val="Heading2"/>
      </w:pPr>
      <w:r>
        <w:t xml:space="preserve">Appendice A — Riproducibilità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     </w:t>
      </w:r>
      <w:r>
        <w:rPr>
          <w:rStyle w:val="CommentTok"/>
        </w:rPr>
        <w:t xml:space="preserve"># numpy, pandas, matplotlib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RP8.6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run_impatto.py                    </w:t>
      </w:r>
      <w:r>
        <w:rPr>
          <w:rStyle w:val="CommentTok"/>
        </w:rPr>
        <w:t xml:space="preserve"># moltiplicatori, impatto per regione, KPI + output/impatto_*.csv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scripts/gen_figures_impatto.py    </w:t>
      </w:r>
      <w:r>
        <w:rPr>
          <w:rStyle w:val="CommentTok"/>
        </w:rPr>
        <w:t xml:space="preserve"># rigenera le figure della relazione</w:t>
      </w:r>
    </w:p>
    <w:p>
      <w:pPr>
        <w:pStyle w:val="FirstParagraph"/>
      </w:pPr>
      <w:r>
        <w:t xml:space="preserve">Modello input‑output (inversa di Leontief, moltiplicatori Tipo I/II, impatti):</w:t>
      </w:r>
      <w:r>
        <w:t xml:space="preserve"> </w:t>
      </w:r>
      <w:r>
        <w:rPr>
          <w:rStyle w:val="VerbatimChar"/>
        </w:rPr>
        <w:t xml:space="preserve">RP8.6/src/impatto.py</w:t>
      </w:r>
      <w:r>
        <w:t xml:space="preserve">.</w:t>
      </w:r>
      <w:r>
        <w:t xml:space="preserve"> </w:t>
      </w:r>
      <w:r>
        <w:t xml:space="preserve">Runner:</w:t>
      </w:r>
      <w:r>
        <w:t xml:space="preserve"> </w:t>
      </w:r>
      <w:r>
        <w:rPr>
          <w:rStyle w:val="VerbatimChar"/>
        </w:rPr>
        <w:t xml:space="preserve">RP8.6/run_impatto.py</w:t>
      </w:r>
      <w:r>
        <w:t xml:space="preserve">. Figure:</w:t>
      </w:r>
      <w:r>
        <w:t xml:space="preserve"> </w:t>
      </w:r>
      <w:r>
        <w:rPr>
          <w:rStyle w:val="VerbatimChar"/>
        </w:rPr>
        <w:t xml:space="preserve">RP8.6/docs/figures/fig_imp*.png</w:t>
      </w:r>
      <w:r>
        <w:t xml:space="preserve">. Nota di inquadramento:</w:t>
      </w:r>
      <w:r>
        <w:t xml:space="preserve"> </w:t>
      </w:r>
      <w:r>
        <w:rPr>
          <w:rStyle w:val="VerbatimChar"/>
        </w:rPr>
        <w:t xml:space="preserve">RP8.6/docs/RP8.5-8.6_Contesto_Preliminare.md</w:t>
      </w:r>
      <w:r>
        <w:t xml:space="preserve">.</w:t>
      </w:r>
    </w:p>
    <w:bookmarkEnd w:id="54"/>
    <w:bookmarkStart w:id="55" w:name="appendice-b-riferimenti"/>
    <w:p>
      <w:pPr>
        <w:pStyle w:val="Heading2"/>
      </w:pPr>
      <w:r>
        <w:t xml:space="preserve">Appendice B — Riferimenti</w:t>
      </w:r>
    </w:p>
    <w:p>
      <w:pPr>
        <w:pStyle w:val="FirstParagraph"/>
      </w:pPr>
      <w:r>
        <w:rPr>
          <w:bCs/>
          <w:b/>
        </w:rPr>
        <w:t xml:space="preserve">Documenti di progetto.</w:t>
      </w:r>
      <w:r>
        <w:t xml:space="preserve"> </w:t>
      </w:r>
      <w:r>
        <w:t xml:space="preserve">Piano di Sviluppo START (Allegato 4, OR 8, attività 8.6); scheda KPI RP 8.6</w:t>
      </w:r>
      <w:r>
        <w:t xml:space="preserve"> </w:t>
      </w:r>
      <w:r>
        <w:t xml:space="preserve">(Analisi/Matrice input‑output, baseline Nessuna informazione → Analisi effettuata); problema</w:t>
      </w:r>
      <w:r>
        <w:t xml:space="preserve"> </w:t>
      </w:r>
      <w:r>
        <w:t xml:space="preserve">progettuale n. 6 (dati macroeconomici regionali → coinvolgimento autorità territoriali); RP 8.5 (Piano</w:t>
      </w:r>
      <w:r>
        <w:t xml:space="preserve"> </w:t>
      </w:r>
      <w:r>
        <w:t xml:space="preserve">di Stakeholder Engagement); risultati OR 1–OR 7 (Digital Twin/AI, impronte ed EEA+, E2C, Intelligent</w:t>
      </w:r>
      <w:r>
        <w:t xml:space="preserve"> </w:t>
      </w:r>
      <w:r>
        <w:t xml:space="preserve">Factory/Industry, product design, collaudo). Impostazione metodologica gemella: progetto VOLT, RP 9.6.</w:t>
      </w:r>
    </w:p>
    <w:p>
      <w:pPr>
        <w:pStyle w:val="BodyText"/>
      </w:pPr>
      <w:r>
        <w:rPr>
          <w:bCs/>
          <w:b/>
        </w:rPr>
        <w:t xml:space="preserve">Letteratura.</w:t>
      </w:r>
      <w:r>
        <w:t xml:space="preserve"> </w:t>
      </w:r>
      <w:r>
        <w:t xml:space="preserve">- Leontief, W. (1936).</w:t>
      </w:r>
      <w:r>
        <w:t xml:space="preserve"> </w:t>
      </w:r>
      <w:r>
        <w:rPr>
          <w:iCs/>
          <w:i/>
        </w:rPr>
        <w:t xml:space="preserve">Quantitative input and output relations in the economic systems of the United</w:t>
      </w:r>
      <w:r>
        <w:rPr>
          <w:iCs/>
          <w:i/>
        </w:rPr>
        <w:t xml:space="preserve"> </w:t>
      </w:r>
      <w:r>
        <w:rPr>
          <w:iCs/>
          <w:i/>
        </w:rPr>
        <w:t xml:space="preserve">States.</w:t>
      </w:r>
      <w:r>
        <w:t xml:space="preserve"> </w:t>
      </w:r>
      <w:r>
        <w:t xml:space="preserve">The Review of Economics and Statistics, 18(3), 105–125.</w:t>
      </w:r>
      <w:r>
        <w:t xml:space="preserve"> </w:t>
      </w:r>
      <w:r>
        <w:t xml:space="preserve">- Miller, R. E., &amp; Blair, P. D. (2009).</w:t>
      </w:r>
      <w:r>
        <w:t xml:space="preserve"> </w:t>
      </w:r>
      <w:r>
        <w:rPr>
          <w:iCs/>
          <w:i/>
        </w:rPr>
        <w:t xml:space="preserve">Input‑Output Analysis: Foundations and Extensions</w:t>
      </w:r>
      <w:r>
        <w:t xml:space="preserve"> </w:t>
      </w:r>
      <w:r>
        <w:t xml:space="preserve">(2nd ed.).</w:t>
      </w:r>
      <w:r>
        <w:t xml:space="preserve"> </w:t>
      </w:r>
      <w:r>
        <w:t xml:space="preserve">Cambridge University Press.</w:t>
      </w:r>
      <w:r>
        <w:t xml:space="preserve"> </w:t>
      </w:r>
      <w:r>
        <w:t xml:space="preserve">- Dietzenbacher, E., &amp; Lahr, M. L. (Eds.) (2004).</w:t>
      </w:r>
      <w:r>
        <w:t xml:space="preserve"> </w:t>
      </w:r>
      <w:r>
        <w:rPr>
          <w:iCs/>
          <w:i/>
        </w:rPr>
        <w:t xml:space="preserve">Wassily Leontief and Input‑Output Economics.</w:t>
      </w:r>
      <w:r>
        <w:t xml:space="preserve"> </w:t>
      </w:r>
      <w:r>
        <w:t xml:space="preserve">Cambridge University Press.</w:t>
      </w:r>
      <w:r>
        <w:t xml:space="preserve"> </w:t>
      </w:r>
      <w:r>
        <w:t xml:space="preserve">- ISTAT.</w:t>
      </w:r>
      <w:r>
        <w:t xml:space="preserve"> </w:t>
      </w:r>
      <w:r>
        <w:rPr>
          <w:iCs/>
          <w:i/>
        </w:rPr>
        <w:t xml:space="preserve">Tavole delle risorse e degli impieghi (SUT) e tavole input‑output</w:t>
      </w:r>
      <w:r>
        <w:t xml:space="preserve"> </w:t>
      </w:r>
      <w:r>
        <w:t xml:space="preserve">(fonte di consolidamento</w:t>
      </w:r>
      <w:r>
        <w:t xml:space="preserve"> </w:t>
      </w:r>
      <w:r>
        <w:t xml:space="preserve">dei coefficienti regionali).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2026-08-07T15:07:58Z</dcterms:created>
  <dcterms:modified xsi:type="dcterms:W3CDTF">2026-08-07T15:07:58Z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