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Pr="008B7110" w:rsidR="00A265D6" w:rsidP="00A265D6" w:rsidRDefault="00A265D6" w14:paraId="1C580B53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95B76C0" w14:textId="1018BFC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2081E780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A265D6" w:rsidP="00A265D6" w:rsidRDefault="00A265D6" w14:paraId="2DA1F45C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8B7110" w:rsidR="003C64CC" w:rsidP="00A265D6" w:rsidRDefault="003C64CC" w14:paraId="30067E77" w14:textId="77777777">
      <w:pPr>
        <w:spacing w:line="360" w:lineRule="auto"/>
        <w:jc w:val="center"/>
        <w:rPr>
          <w:rFonts w:asciiTheme="minorHAnsi" w:hAnsiTheme="minorHAnsi"/>
          <w:b/>
          <w:caps/>
          <w:sz w:val="44"/>
        </w:rPr>
      </w:pPr>
    </w:p>
    <w:p w:rsidRPr="00F560E0" w:rsidR="00A265D6" w:rsidP="23A1DAF1" w:rsidRDefault="006C6D64" w14:paraId="7E02FF58" w14:textId="0CEBC6ED">
      <w:pPr>
        <w:spacing w:line="360" w:lineRule="auto"/>
        <w:jc w:val="center"/>
        <w:rPr>
          <w:rFonts w:asciiTheme="minorHAnsi" w:hAnsiTheme="minorHAnsi"/>
          <w:b/>
          <w:bCs/>
          <w:caps/>
          <w:color w:val="024C41"/>
          <w:sz w:val="72"/>
          <w:szCs w:val="56"/>
        </w:rPr>
      </w:pPr>
      <w:r w:rsidRPr="00F560E0">
        <w:rPr>
          <w:rFonts w:asciiTheme="minorHAnsi" w:hAnsiTheme="minorHAnsi"/>
          <w:b/>
          <w:bCs/>
          <w:caps/>
          <w:color w:val="024C41"/>
          <w:sz w:val="72"/>
          <w:szCs w:val="56"/>
        </w:rPr>
        <w:t>ASSESSMENT DELL'IMPATTO DI START</w:t>
      </w:r>
    </w:p>
    <w:p w:rsidRPr="00F560E0" w:rsidR="23A1DAF1" w:rsidP="23A1DAF1" w:rsidRDefault="00002427" w14:paraId="67411CDB" w14:textId="40AB4836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Relazione Parziale N°: RP 8.6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9952A4B" w14:textId="3812BA9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Versione del Documento: V1.0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F560E0" w:rsidR="23A1DAF1" w:rsidP="23A1DAF1" w:rsidRDefault="006C6D64" w14:paraId="0435DB43" w14:textId="24829324">
      <w:pPr>
        <w:jc w:val="center"/>
        <w:rPr>
          <w:rFonts w:ascii="Calibri" w:hAnsi="Calibri" w:eastAsia="Calibri" w:cs="Calibri"/>
          <w:b/>
          <w:color w:val="00A98E"/>
          <w:sz w:val="40"/>
          <w:szCs w:val="40"/>
        </w:rPr>
      </w:pP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Data di Revisione del Documento: 07.08.2026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</w:p>
    <w:p w:rsidRPr="00F560E0" w:rsidR="23A1DAF1" w:rsidP="23A1DAF1" w:rsidRDefault="006C6D64" w14:paraId="603630B3" w14:textId="17A94853">
      <w:pPr>
        <w:spacing w:line="360" w:lineRule="auto"/>
        <w:jc w:val="center"/>
        <w:rPr>
          <w:rFonts w:ascii="Calibri" w:hAnsi="Calibri" w:eastAsia="Calibri" w:cs="Calibri"/>
          <w:b/>
          <w:color w:val="00A98E"/>
          <w:sz w:val="44"/>
          <w:szCs w:val="44"/>
        </w:rPr>
      </w:pPr>
      <w:proofErr w:type="gramStart"/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  <w:t>Responsabilità: Gresmalt - Capofila (in collaborazione con le Università)</w:t>
      </w:r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  <w:proofErr w:type="gramEnd"/>
      <w:r w:rsidRPr="00F560E0" w:rsidR="23A1DAF1">
        <w:rPr>
          <w:rFonts w:ascii="Calibri" w:hAnsi="Calibri" w:eastAsia="Calibri" w:cs="Calibri"/>
          <w:b/>
          <w:color w:val="00A98E"/>
          <w:sz w:val="40"/>
          <w:szCs w:val="40"/>
        </w:rPr>
      </w:r>
      <w:r w:rsidRPr="00F560E0">
        <w:rPr>
          <w:rFonts w:ascii="Calibri" w:hAnsi="Calibri" w:eastAsia="Calibri" w:cs="Calibri"/>
          <w:b/>
          <w:color w:val="00A98E"/>
          <w:sz w:val="40"/>
          <w:szCs w:val="40"/>
        </w:rPr>
      </w:r>
    </w:p>
    <w:p w:rsidRPr="008B7110" w:rsidR="00562094" w:rsidP="003C64CC" w:rsidRDefault="00562094" w14:paraId="003B6F2C" w14:textId="2971AB6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8C95DEC" w14:textId="3024CF7F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5020E1" w:rsidP="003C64CC" w:rsidRDefault="005020E1" w14:paraId="0F390DC9" w14:textId="4144E5CE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003C64CC" w:rsidRDefault="001554A8" w14:paraId="0B30E4E2" w14:textId="77777777">
      <w:pPr>
        <w:spacing w:line="360" w:lineRule="auto"/>
        <w:jc w:val="center"/>
        <w:rPr>
          <w:rFonts w:asciiTheme="minorHAnsi" w:hAnsiTheme="minorHAnsi"/>
          <w:sz w:val="44"/>
        </w:rPr>
      </w:pPr>
    </w:p>
    <w:p w:rsidRPr="008B7110" w:rsidR="001554A8" w:rsidP="23A1DAF1" w:rsidRDefault="001554A8" w14:paraId="4D4FE911" w14:textId="77777777">
      <w:pPr>
        <w:spacing w:line="360" w:lineRule="auto"/>
        <w:jc w:val="both"/>
        <w:rPr>
          <w:rFonts w:asciiTheme="minorHAnsi" w:hAnsiTheme="minorHAnsi"/>
          <w:b/>
          <w:bCs/>
          <w:color w:val="2F5496" w:themeColor="accent1" w:themeShade="BF"/>
          <w:sz w:val="36"/>
          <w:szCs w:val="36"/>
        </w:rPr>
      </w:pPr>
    </w:p>
    <w:p>
      <w:pPr>
        <w:spacing w:after="20"/>
      </w:pPr>
      <w:r>
        <w:rPr>
          <w:rFonts w:ascii="Calibri" w:hAnsi="Calibri"/>
          <w:b/>
          <w:color w:val="024C41"/>
          <w:sz w:val="21"/>
        </w:rPr>
        <w:t xml:space="preserve">Progetto: </w:t>
      </w:r>
      <w:r>
        <w:rPr>
          <w:rFonts w:ascii="Calibri" w:hAnsi="Calibri"/>
          <w:sz w:val="21"/>
        </w:rPr>
        <w:t>START — SusTainable dAta-dRiven manufacTuring (DM 31/12/2021, Accordi per l'Innovazione — MIMIT)</w:t>
      </w:r>
    </w:p>
    <w:p>
      <w:pPr>
        <w:spacing w:after="20"/>
      </w:pPr>
      <w:r>
        <w:rPr>
          <w:rFonts w:ascii="Calibri" w:hAnsi="Calibri"/>
          <w:b/>
          <w:color w:val="024C41"/>
          <w:sz w:val="21"/>
        </w:rPr>
        <w:t xml:space="preserve">Obiettivo Realizzativo: </w:t>
      </w:r>
      <w:r>
        <w:rPr>
          <w:rFonts w:ascii="Calibri" w:hAnsi="Calibri"/>
          <w:sz w:val="21"/>
        </w:rPr>
        <w:t>OR 8 — Project management, misurazione dei risultati e analisi degli scostamenti (Sviluppo Sperimentale)</w:t>
      </w:r>
    </w:p>
    <w:p>
      <w:pPr>
        <w:spacing w:after="20"/>
      </w:pPr>
      <w:r>
        <w:rPr>
          <w:rFonts w:ascii="Calibri" w:hAnsi="Calibri"/>
          <w:b/>
          <w:color w:val="024C41"/>
          <w:sz w:val="21"/>
        </w:rPr>
        <w:t xml:space="preserve">Attività: </w:t>
      </w:r>
      <w:r>
        <w:rPr>
          <w:rFonts w:ascii="Calibri" w:hAnsi="Calibri"/>
          <w:sz w:val="21"/>
        </w:rPr>
        <w:t>8.6 — Assessment dell'impatto di START</w:t>
      </w:r>
    </w:p>
    <w:p>
      <w:pPr>
        <w:spacing w:after="20"/>
      </w:pPr>
      <w:r>
        <w:rPr>
          <w:rFonts w:ascii="Calibri" w:hAnsi="Calibri"/>
          <w:b/>
          <w:color w:val="024C41"/>
          <w:sz w:val="21"/>
        </w:rPr>
        <w:t xml:space="preserve">Risultato parziale / KPI: </w:t>
      </w:r>
      <w:r>
        <w:rPr>
          <w:rFonts w:ascii="Calibri" w:hAnsi="Calibri"/>
          <w:sz w:val="21"/>
        </w:rPr>
        <w:t>Report sulla valutazione d'impatto — Analisi / Matrice input-output (baseline: Nessuna informazione → obiettivo: Analisi effettuata)</w:t>
      </w:r>
    </w:p>
    <w:p>
      <w:pPr>
        <w:spacing w:after="20"/>
      </w:pPr>
      <w:r>
        <w:rPr>
          <w:rFonts w:ascii="Calibri" w:hAnsi="Calibri"/>
          <w:b/>
          <w:color w:val="024C41"/>
          <w:sz w:val="21"/>
        </w:rPr>
        <w:t xml:space="preserve">Risultato finale di OR: </w:t>
      </w:r>
      <w:r>
        <w:rPr>
          <w:rFonts w:ascii="Calibri" w:hAnsi="Calibri"/>
          <w:sz w:val="21"/>
        </w:rPr>
        <w:t>RF 8 — Piano di Coordinamento del Progetto START</w:t>
      </w:r>
    </w:p>
    <w:p>
      <w:pPr>
        <w:spacing w:after="80"/>
      </w:pPr>
    </w:p>
    <w:p>
      <w:pPr>
        <w:spacing w:before="80" w:after="160"/>
        <w:ind w:left="227" w:right="227"/>
        <w:jc w:val="both"/>
      </w:pPr>
      <w:r>
        <w:rPr>
          <w:rFonts w:ascii="Calibri" w:hAnsi="Calibri"/>
          <w:b w:val="0"/>
          <w:i/>
          <w:color w:val="333333"/>
          <w:sz w:val="20"/>
        </w:rPr>
        <w:t>Natura di questa relazione. In assenza dei dati macroeconomici regionali (problema progettuale n. 6), l'attività 8.6 è impostata come simulazione dell'impatto potenziale e, soprattutto, come predisposizione e validazione del modello analitico input-output da applicare ex-post — nei mesi e negli anni successivi alla chiusura del progetto — con i consuntivi degli investimenti e le tavole input-output regionali ISTAT. Il deliverable è quindi lo strumento (matrice/modello riproducibile + protocollo di misurazione); i valori riportati sono l'esito di una simulazione con dati rappresentativi e servono a dimostrare l'operatività del modello e l'ordine di grandezza degli effetti attesi, non costituiscono una misura consuntiva dell'impatto.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1. INTRODUZIONE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1.1 Background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L'OR 8 attribuisce a START una finalità dichiarata come </w:t>
      </w:r>
      <w:r>
        <w:rPr>
          <w:rFonts w:ascii="Calibri" w:hAnsi="Calibri"/>
          <w:b/>
          <w:sz w:val="22"/>
        </w:rPr>
        <w:t>inedita per i progetti di R&amp;S a carattere industriale</w:t>
      </w:r>
      <w:r>
        <w:rPr>
          <w:rFonts w:ascii="Calibri" w:hAnsi="Calibri"/>
          <w:b w:val="0"/>
          <w:sz w:val="22"/>
        </w:rPr>
        <w:t xml:space="preserve">: la </w:t>
      </w:r>
      <w:r>
        <w:rPr>
          <w:rFonts w:ascii="Calibri" w:hAnsi="Calibri"/>
          <w:b/>
          <w:sz w:val="22"/>
        </w:rPr>
        <w:t>valutazione dell'impatto del progetto sulla società di riferimento e sui territori</w:t>
      </w:r>
      <w:r>
        <w:rPr>
          <w:rFonts w:ascii="Calibri" w:hAnsi="Calibri"/>
          <w:b w:val="0"/>
          <w:sz w:val="22"/>
        </w:rPr>
        <w:t xml:space="preserve">. L'attività 8.6, svolta in collaborazione con le Università del partenariato, ne predispone lo strumento: un </w:t>
      </w:r>
      <w:r>
        <w:rPr>
          <w:rFonts w:ascii="Calibri" w:hAnsi="Calibri"/>
          <w:b/>
          <w:sz w:val="22"/>
        </w:rPr>
        <w:t>modello di analisi input-output</w:t>
      </w:r>
      <w:r>
        <w:rPr>
          <w:rFonts w:ascii="Calibri" w:hAnsi="Calibri"/>
          <w:b w:val="0"/>
          <w:sz w:val="22"/>
        </w:rPr>
        <w:t xml:space="preserve"> — sul modello econometrico di </w:t>
      </w:r>
      <w:r>
        <w:rPr>
          <w:rFonts w:ascii="Calibri" w:hAnsi="Calibri"/>
          <w:b/>
          <w:sz w:val="22"/>
        </w:rPr>
        <w:t>Wassily Leontief</w:t>
      </w:r>
      <w:r>
        <w:rPr>
          <w:rFonts w:ascii="Calibri" w:hAnsi="Calibri"/>
          <w:b w:val="0"/>
          <w:sz w:val="22"/>
        </w:rPr>
        <w:t xml:space="preserve"> — capace di stimare l'impatto diretto, indiretto e indotto dei risultati del progetto sui quattro territori dove operano le attività industriali e di ricerca: l'</w:t>
      </w:r>
      <w:r>
        <w:rPr>
          <w:rFonts w:ascii="Calibri" w:hAnsi="Calibri"/>
          <w:b/>
          <w:sz w:val="22"/>
        </w:rPr>
        <w:t>Emilia-Romagna</w:t>
      </w:r>
      <w:r>
        <w:rPr>
          <w:rFonts w:ascii="Calibri" w:hAnsi="Calibri"/>
          <w:b w:val="0"/>
          <w:sz w:val="22"/>
        </w:rPr>
        <w:t xml:space="preserve"> (distretto ceramico di Sassuolo, sede di Gresmalt e SACMI), la </w:t>
      </w:r>
      <w:r>
        <w:rPr>
          <w:rFonts w:ascii="Calibri" w:hAnsi="Calibri"/>
          <w:b/>
          <w:sz w:val="22"/>
        </w:rPr>
        <w:t>Provincia di Bolzano</w:t>
      </w:r>
      <w:r>
        <w:rPr>
          <w:rFonts w:ascii="Calibri" w:hAnsi="Calibri"/>
          <w:b w:val="0"/>
          <w:sz w:val="22"/>
        </w:rPr>
        <w:t xml:space="preserve"> (Libera Università di Bolzano — Digital Twin e AI), la </w:t>
      </w:r>
      <w:r>
        <w:rPr>
          <w:rFonts w:ascii="Calibri" w:hAnsi="Calibri"/>
          <w:b/>
          <w:sz w:val="22"/>
        </w:rPr>
        <w:t>Sardegna</w:t>
      </w:r>
      <w:r>
        <w:rPr>
          <w:rFonts w:ascii="Calibri" w:hAnsi="Calibri"/>
          <w:b w:val="0"/>
          <w:sz w:val="22"/>
        </w:rPr>
        <w:t xml:space="preserve"> (Università di Sassari — Architectural Design 4.0+ e involucro edilizio ceramico) e la </w:t>
      </w:r>
      <w:r>
        <w:rPr>
          <w:rFonts w:ascii="Calibri" w:hAnsi="Calibri"/>
          <w:b/>
          <w:sz w:val="22"/>
        </w:rPr>
        <w:t>Calabria</w:t>
      </w:r>
      <w:r>
        <w:rPr>
          <w:rFonts w:ascii="Calibri" w:hAnsi="Calibri"/>
          <w:b w:val="0"/>
          <w:sz w:val="22"/>
        </w:rPr>
        <w:t xml:space="preserve"> (Università della Calabria — modelli ML/ANN e diagnostica non distruttiva). Poiché la misura consuntiva richiede dati non ancora disponibili, l'attività si concretizza in una </w:t>
      </w:r>
      <w:r>
        <w:rPr>
          <w:rFonts w:ascii="Calibri" w:hAnsi="Calibri"/>
          <w:b/>
          <w:sz w:val="22"/>
        </w:rPr>
        <w:t>simulazione</w:t>
      </w:r>
      <w:r>
        <w:rPr>
          <w:rFonts w:ascii="Calibri" w:hAnsi="Calibri"/>
          <w:b w:val="0"/>
          <w:sz w:val="22"/>
        </w:rPr>
        <w:t xml:space="preserve"> che valorizza il modello e ne dimostra l'applicazione, lasciandolo pronto per la </w:t>
      </w:r>
      <w:r>
        <w:rPr>
          <w:rFonts w:ascii="Calibri" w:hAnsi="Calibri"/>
          <w:b/>
          <w:sz w:val="22"/>
        </w:rPr>
        <w:t>misurazione ex-post</w:t>
      </w:r>
      <w:r>
        <w:rPr>
          <w:rFonts w:ascii="Calibri" w:hAnsi="Calibri"/>
          <w:b w:val="0"/>
          <w:sz w:val="22"/>
        </w:rPr>
        <w:t>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 risultati di START — la transizione *Smart Factory → Intelligent Factory → Intelligent Industry* guidata dall'AI, le quattro impronte di sostenibilità e la contabilità exergetica EEA+, l'architettura Edge-to-Cloud, il data-driven product design, il collaudo in ambiente operativo — attivano produzione, valore aggiunto e occupazione non solo nell'impresa focale ma lungo tutta la filiera locale (estrazione, chimica, logistica, energia, servizi/R&amp;S) e attraverso i consumi indotti dai redditi generati. L'analisi input-output è lo strumento elettivo per </w:t>
      </w:r>
      <w:r>
        <w:rPr>
          <w:rFonts w:ascii="Calibri" w:hAnsi="Calibri"/>
          <w:b/>
          <w:sz w:val="22"/>
        </w:rPr>
        <w:t>catturare questi effetti a cascata</w:t>
      </w:r>
      <w:r>
        <w:rPr>
          <w:rFonts w:ascii="Calibri" w:hAnsi="Calibri"/>
          <w:b w:val="0"/>
          <w:sz w:val="22"/>
        </w:rPr>
        <w:t>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1.2 Il problema dei dati, la scelta della simulazione e il legame con la RP 8.5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L'analisi input-output di impatto richiede </w:t>
      </w:r>
      <w:r>
        <w:rPr>
          <w:rFonts w:ascii="Calibri" w:hAnsi="Calibri"/>
          <w:b/>
          <w:sz w:val="22"/>
        </w:rPr>
        <w:t>dati macroeconomici su scala regionale</w:t>
      </w:r>
      <w:r>
        <w:rPr>
          <w:rFonts w:ascii="Calibri" w:hAnsi="Calibri"/>
          <w:b w:val="0"/>
          <w:sz w:val="22"/>
        </w:rPr>
        <w:t xml:space="preserve"> (tavole input-output/SUT, coefficienti settoriali) e </w:t>
      </w:r>
      <w:r>
        <w:rPr>
          <w:rFonts w:ascii="Calibri" w:hAnsi="Calibri"/>
          <w:b/>
          <w:sz w:val="22"/>
        </w:rPr>
        <w:t>consuntivi degli investimenti</w:t>
      </w:r>
      <w:r>
        <w:rPr>
          <w:rFonts w:ascii="Calibri" w:hAnsi="Calibri"/>
          <w:b w:val="0"/>
          <w:sz w:val="22"/>
        </w:rPr>
        <w:t xml:space="preserve"> del progetto, </w:t>
      </w:r>
      <w:r>
        <w:rPr>
          <w:rFonts w:ascii="Calibri" w:hAnsi="Calibri"/>
          <w:b/>
          <w:sz w:val="22"/>
        </w:rPr>
        <w:t>non direttamente disponibili</w:t>
      </w:r>
      <w:r>
        <w:rPr>
          <w:rFonts w:ascii="Calibri" w:hAnsi="Calibri"/>
          <w:b w:val="0"/>
          <w:sz w:val="22"/>
        </w:rPr>
        <w:t xml:space="preserve"> al Team durante la vita del progetto (</w:t>
      </w:r>
      <w:r>
        <w:rPr>
          <w:rFonts w:ascii="Calibri" w:hAnsi="Calibri"/>
          <w:b/>
          <w:sz w:val="22"/>
        </w:rPr>
        <w:t>problema progettuale n. 6</w:t>
      </w:r>
      <w:r>
        <w:rPr>
          <w:rFonts w:ascii="Calibri" w:hAnsi="Calibri"/>
          <w:b w:val="0"/>
          <w:sz w:val="22"/>
        </w:rPr>
        <w:t xml:space="preserve">). Per questo l'attività 8.6 non pretende una misura definitiva dell'impatto, ma: (1) </w:t>
      </w:r>
      <w:r>
        <w:rPr>
          <w:rFonts w:ascii="Calibri" w:hAnsi="Calibri"/>
          <w:b/>
          <w:sz w:val="22"/>
        </w:rPr>
        <w:t>imposta e valida il modello analitico</w:t>
      </w:r>
      <w:r>
        <w:rPr>
          <w:rFonts w:ascii="Calibri" w:hAnsi="Calibri"/>
          <w:b w:val="0"/>
          <w:sz w:val="22"/>
        </w:rPr>
        <w:t xml:space="preserve"> parametrizzato sulla filiera ceramica; (2) lo </w:t>
      </w:r>
      <w:r>
        <w:rPr>
          <w:rFonts w:ascii="Calibri" w:hAnsi="Calibri"/>
          <w:b/>
          <w:sz w:val="22"/>
        </w:rPr>
        <w:t>esegue in simulazione</w:t>
      </w:r>
      <w:r>
        <w:rPr>
          <w:rFonts w:ascii="Calibri" w:hAnsi="Calibri"/>
          <w:b w:val="0"/>
          <w:sz w:val="22"/>
        </w:rPr>
        <w:t xml:space="preserve"> con coefficienti rappresentativi; (3) definisce il </w:t>
      </w:r>
      <w:r>
        <w:rPr>
          <w:rFonts w:ascii="Calibri" w:hAnsi="Calibri"/>
          <w:b/>
          <w:sz w:val="22"/>
        </w:rPr>
        <w:t>protocollo di applicazione ex-post</w:t>
      </w:r>
      <w:r>
        <w:rPr>
          <w:rFonts w:ascii="Calibri" w:hAnsi="Calibri"/>
          <w:b w:val="0"/>
          <w:sz w:val="22"/>
        </w:rPr>
        <w:t xml:space="preserve"> (§ 2.5). La soluzione prevista in scheda per l'accesso ai dati è, in accordo con il </w:t>
      </w:r>
      <w:r>
        <w:rPr>
          <w:rFonts w:ascii="Calibri" w:hAnsi="Calibri"/>
          <w:b/>
          <w:sz w:val="22"/>
        </w:rPr>
        <w:t>Piano di Stakeholder Engagement (RP 8.5)</w:t>
      </w:r>
      <w:r>
        <w:rPr>
          <w:rFonts w:ascii="Calibri" w:hAnsi="Calibri"/>
          <w:b w:val="0"/>
          <w:sz w:val="22"/>
        </w:rPr>
        <w:t xml:space="preserve">, il </w:t>
      </w:r>
      <w:r>
        <w:rPr>
          <w:rFonts w:ascii="Calibri" w:hAnsi="Calibri"/>
          <w:b/>
          <w:sz w:val="22"/>
        </w:rPr>
        <w:t>coinvolgimento delle autorità territoriali</w:t>
      </w:r>
      <w:r>
        <w:rPr>
          <w:rFonts w:ascii="Calibri" w:hAnsi="Calibri"/>
          <w:b w:val="0"/>
          <w:sz w:val="22"/>
        </w:rPr>
        <w:t xml:space="preserve"> (ISTAT, uffici statistici regionali e provinciali): </w:t>
      </w:r>
      <w:r>
        <w:rPr>
          <w:rFonts w:ascii="Calibri" w:hAnsi="Calibri"/>
          <w:b/>
          <w:sz w:val="22"/>
        </w:rPr>
        <w:t>RP 8.5 è quindi il presupposto della misurazione ex-post</w:t>
      </w:r>
      <w:r>
        <w:rPr>
          <w:rFonts w:ascii="Calibri" w:hAnsi="Calibri"/>
          <w:b w:val="0"/>
          <w:sz w:val="22"/>
        </w:rPr>
        <w:t xml:space="preserve"> qui predisposta.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1.3 Baseline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</w:t>
      </w:r>
      <w:r>
        <w:rPr>
          <w:rFonts w:ascii="Calibri" w:hAnsi="Calibri"/>
          <w:b/>
          <w:sz w:val="22"/>
        </w:rPr>
        <w:t>baseline</w:t>
      </w:r>
      <w:r>
        <w:rPr>
          <w:rFonts w:ascii="Calibri" w:hAnsi="Calibri"/>
          <w:b w:val="0"/>
          <w:sz w:val="22"/>
        </w:rPr>
        <w:t xml:space="preserve"> del KPI è </w:t>
      </w:r>
      <w:r>
        <w:rPr>
          <w:rFonts w:ascii="Calibri" w:hAnsi="Calibri"/>
          <w:b/>
          <w:sz w:val="22"/>
        </w:rPr>
        <w:t>«Nessuna informazione»</w:t>
      </w:r>
      <w:r>
        <w:rPr>
          <w:rFonts w:ascii="Calibri" w:hAnsi="Calibri"/>
          <w:b w:val="0"/>
          <w:sz w:val="22"/>
        </w:rPr>
        <w:t>: prima dell'attività 8.6 non esiste un modello di analisi input-output dell'impatto territoriale del progetto. L'</w:t>
      </w:r>
      <w:r>
        <w:rPr>
          <w:rFonts w:ascii="Calibri" w:hAnsi="Calibri"/>
          <w:b/>
          <w:sz w:val="22"/>
        </w:rPr>
        <w:t>obiettivo</w:t>
      </w:r>
      <w:r>
        <w:rPr>
          <w:rFonts w:ascii="Calibri" w:hAnsi="Calibri"/>
          <w:b w:val="0"/>
          <w:sz w:val="22"/>
        </w:rPr>
        <w:t xml:space="preserve"> è l'</w:t>
      </w:r>
      <w:r>
        <w:rPr>
          <w:rFonts w:ascii="Calibri" w:hAnsi="Calibri"/>
          <w:b/>
          <w:sz w:val="22"/>
        </w:rPr>
        <w:t>analisi effettuata</w:t>
      </w:r>
      <w:r>
        <w:rPr>
          <w:rFonts w:ascii="Calibri" w:hAnsi="Calibri"/>
          <w:b w:val="0"/>
          <w:sz w:val="22"/>
        </w:rPr>
        <w:t xml:space="preserve">, intesa qui come il </w:t>
      </w:r>
      <w:r>
        <w:rPr>
          <w:rFonts w:ascii="Calibri" w:hAnsi="Calibri"/>
          <w:b/>
          <w:sz w:val="22"/>
        </w:rPr>
        <w:t>modello (matrice I-O) impostato ed eseguito in simulazione</w:t>
      </w:r>
      <w:r>
        <w:rPr>
          <w:rFonts w:ascii="Calibri" w:hAnsi="Calibri"/>
          <w:b w:val="0"/>
          <w:sz w:val="22"/>
        </w:rPr>
        <w:t xml:space="preserve"> sulle quattro regioni e pronto per l'applicazione ex-post: lo strumento è il risultato, il dato consuntivo verrà dopo.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1.4 Scopi dell'attività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impostare e validare</w:t>
      </w:r>
      <w:r>
        <w:rPr>
          <w:rFonts w:ascii="Calibri" w:hAnsi="Calibri"/>
          <w:b w:val="0"/>
          <w:sz w:val="22"/>
        </w:rPr>
        <w:t xml:space="preserve"> il modello input-output di Leontief per la filiera ceramica (coefficienti tecnici, inversa di Leontief, moltiplicatori Tipo I/II);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simulare</w:t>
      </w:r>
      <w:r>
        <w:rPr>
          <w:rFonts w:ascii="Calibri" w:hAnsi="Calibri"/>
          <w:b w:val="0"/>
          <w:sz w:val="22"/>
        </w:rPr>
        <w:t xml:space="preserve"> l'impatto diretto, indiretto e indotto del progetto sulle quattro regioni in termini di output, valore aggiunto (contributo al PIL) e occupazione;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definire il protocollo di applicazione ex-post</w:t>
      </w:r>
      <w:r>
        <w:rPr>
          <w:rFonts w:ascii="Calibri" w:hAnsi="Calibri"/>
          <w:b w:val="0"/>
          <w:sz w:val="22"/>
        </w:rPr>
        <w:t xml:space="preserve"> per ri-eseguire il modello con le tavole I-O regionali ISTAT e i consuntivi (via RP 8.5), alimentando l'analisi degli scostamenti dell'OR 8;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produrre il Report di valutazione d'impatto</w:t>
      </w:r>
      <w:r>
        <w:rPr>
          <w:rFonts w:ascii="Calibri" w:hAnsi="Calibri"/>
          <w:b w:val="0"/>
          <w:sz w:val="22"/>
        </w:rPr>
        <w:t xml:space="preserve"> (KPI: analisi effettuata) come strumento riproducibile del Piano di Coordinamento (RF 8).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2. METODOLOGIA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2.1 Il modello input-output di Leontief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L'analisi input-output rappresenta le interdipendenze tra i settori di un'economia. Data la </w:t>
      </w:r>
      <w:r>
        <w:rPr>
          <w:rFonts w:ascii="Calibri" w:hAnsi="Calibri"/>
          <w:b/>
          <w:sz w:val="22"/>
        </w:rPr>
        <w:t>matrice dei coefficienti tecnici</w:t>
      </w:r>
      <w:r>
        <w:rPr>
          <w:rFonts w:ascii="Calibri" w:hAnsi="Calibri"/>
          <w:b w:val="0"/>
          <w:sz w:val="22"/>
        </w:rPr>
        <w:t xml:space="preserve"> A, dove a(i,j) è l'input dal settore i necessario per produrre un'unità di output del settore j, la produzione totale x che soddisfa una domanda finale f è x = A·x + f, da cui </w:t>
      </w:r>
      <w:r>
        <w:rPr>
          <w:rFonts w:ascii="Calibri" w:hAnsi="Calibri"/>
          <w:b/>
          <w:sz w:val="22"/>
        </w:rPr>
        <w:t>x = (I − A)⁻¹ · f = L · f</w:t>
      </w:r>
      <w:r>
        <w:rPr>
          <w:rFonts w:ascii="Calibri" w:hAnsi="Calibri"/>
          <w:b w:val="0"/>
          <w:sz w:val="22"/>
        </w:rPr>
        <w:t xml:space="preserve">, dove </w:t>
      </w:r>
      <w:r>
        <w:rPr>
          <w:rFonts w:ascii="Calibri" w:hAnsi="Calibri"/>
          <w:b/>
          <w:sz w:val="22"/>
        </w:rPr>
        <w:t>L = (I − A)⁻¹</w:t>
      </w:r>
      <w:r>
        <w:rPr>
          <w:rFonts w:ascii="Calibri" w:hAnsi="Calibri"/>
          <w:b w:val="0"/>
          <w:sz w:val="22"/>
        </w:rPr>
        <w:t xml:space="preserve"> è la </w:t>
      </w:r>
      <w:r>
        <w:rPr>
          <w:rFonts w:ascii="Calibri" w:hAnsi="Calibri"/>
          <w:b/>
          <w:sz w:val="22"/>
        </w:rPr>
        <w:t>matrice inversa di Leontief</w:t>
      </w:r>
      <w:r>
        <w:rPr>
          <w:rFonts w:ascii="Calibri" w:hAnsi="Calibri"/>
          <w:b w:val="0"/>
          <w:sz w:val="22"/>
        </w:rPr>
        <w:t xml:space="preserve">. Applicata a una variazione della domanda finale Δf (lo shock del progetto), fornisce la variazione della produzione totale </w:t>
      </w:r>
      <w:r>
        <w:rPr>
          <w:rFonts w:ascii="Calibri" w:hAnsi="Calibri"/>
          <w:b/>
          <w:sz w:val="22"/>
        </w:rPr>
        <w:t>Δx = L·Δf</w:t>
      </w:r>
      <w:r>
        <w:rPr>
          <w:rFonts w:ascii="Calibri" w:hAnsi="Calibri"/>
          <w:b w:val="0"/>
          <w:sz w:val="22"/>
        </w:rPr>
        <w:t>, che incorpora gli effetti a cascata lungo la filiera (Leontief, 1936; Miller &amp; Blair, 2009). Lo schema del modello è in Figura 1.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51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1_metod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51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left"/>
      </w:pPr>
      <w:r>
        <w:rPr>
          <w:i/>
          <w:color w:val="333333"/>
          <w:sz w:val="18"/>
        </w:rPr>
        <w:t>Figura 1 — Dalla domanda finale del progetto, tramite l'inversa di Leontief, all'output attivato e alle sue dimensioni di impatto (valore aggiunto, occupazione).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2.2 Effetti diretti, indiretti e indotti; moltiplicatori Tipo I e Tipo II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L'impatto si scompone in tre componenti: </w:t>
      </w:r>
      <w:r>
        <w:rPr>
          <w:rFonts w:ascii="Calibri" w:hAnsi="Calibri"/>
          <w:b/>
          <w:sz w:val="22"/>
        </w:rPr>
        <w:t>diretto</w:t>
      </w:r>
      <w:r>
        <w:rPr>
          <w:rFonts w:ascii="Calibri" w:hAnsi="Calibri"/>
          <w:b w:val="0"/>
          <w:sz w:val="22"/>
        </w:rPr>
        <w:t xml:space="preserve"> (la domanda finale attivata dal progetto, Δf); </w:t>
      </w:r>
      <w:r>
        <w:rPr>
          <w:rFonts w:ascii="Calibri" w:hAnsi="Calibri"/>
          <w:b/>
          <w:sz w:val="22"/>
        </w:rPr>
        <w:t>indiretto</w:t>
      </w:r>
      <w:r>
        <w:rPr>
          <w:rFonts w:ascii="Calibri" w:hAnsi="Calibri"/>
          <w:b w:val="0"/>
          <w:sz w:val="22"/>
        </w:rPr>
        <w:t xml:space="preserve"> (la produzione attivata lungo la filiera dei fornitori); </w:t>
      </w:r>
      <w:r>
        <w:rPr>
          <w:rFonts w:ascii="Calibri" w:hAnsi="Calibri"/>
          <w:b/>
          <w:sz w:val="22"/>
        </w:rPr>
        <w:t>indotto</w:t>
      </w:r>
      <w:r>
        <w:rPr>
          <w:rFonts w:ascii="Calibri" w:hAnsi="Calibri"/>
          <w:b w:val="0"/>
          <w:sz w:val="22"/>
        </w:rPr>
        <w:t xml:space="preserve"> (la produzione attivata dai consumi delle famiglie finanziati dai redditi da lavoro generati). Si calcolano due famiglie di </w:t>
      </w:r>
      <w:r>
        <w:rPr>
          <w:rFonts w:ascii="Calibri" w:hAnsi="Calibri"/>
          <w:b/>
          <w:sz w:val="22"/>
        </w:rPr>
        <w:t>moltiplicatori</w:t>
      </w:r>
      <w:r>
        <w:rPr>
          <w:rFonts w:ascii="Calibri" w:hAnsi="Calibri"/>
          <w:b w:val="0"/>
          <w:sz w:val="22"/>
        </w:rPr>
        <w:t xml:space="preserve"> di produzione: </w:t>
      </w:r>
      <w:r>
        <w:rPr>
          <w:rFonts w:ascii="Calibri" w:hAnsi="Calibri"/>
          <w:b/>
          <w:sz w:val="22"/>
        </w:rPr>
        <w:t>Tipo I</w:t>
      </w:r>
      <w:r>
        <w:rPr>
          <w:rFonts w:ascii="Calibri" w:hAnsi="Calibri"/>
          <w:b w:val="0"/>
          <w:sz w:val="22"/>
        </w:rPr>
        <w:t xml:space="preserve"> — modello aperto (diretto + indiretto), somma per colonna della matrice L; </w:t>
      </w:r>
      <w:r>
        <w:rPr>
          <w:rFonts w:ascii="Calibri" w:hAnsi="Calibri"/>
          <w:b/>
          <w:sz w:val="22"/>
        </w:rPr>
        <w:t>Tipo II</w:t>
      </w:r>
      <w:r>
        <w:rPr>
          <w:rFonts w:ascii="Calibri" w:hAnsi="Calibri"/>
          <w:b w:val="0"/>
          <w:sz w:val="22"/>
        </w:rPr>
        <w:t xml:space="preserve"> — modello chiuso rispetto alle famiglie (aggiunge l'indotto), con A estesa da una riga (redditi da lavoro per unità di output) e una colonna (consumi per unità di reddito). L'impatto su </w:t>
      </w:r>
      <w:r>
        <w:rPr>
          <w:rFonts w:ascii="Calibri" w:hAnsi="Calibri"/>
          <w:b/>
          <w:sz w:val="22"/>
        </w:rPr>
        <w:t>valore aggiunto</w:t>
      </w:r>
      <w:r>
        <w:rPr>
          <w:rFonts w:ascii="Calibri" w:hAnsi="Calibri"/>
          <w:b w:val="0"/>
          <w:sz w:val="22"/>
        </w:rPr>
        <w:t xml:space="preserve"> e </w:t>
      </w:r>
      <w:r>
        <w:rPr>
          <w:rFonts w:ascii="Calibri" w:hAnsi="Calibri"/>
          <w:b/>
          <w:sz w:val="22"/>
        </w:rPr>
        <w:t>occupazione</w:t>
      </w:r>
      <w:r>
        <w:rPr>
          <w:rFonts w:ascii="Calibri" w:hAnsi="Calibri"/>
          <w:b w:val="0"/>
          <w:sz w:val="22"/>
        </w:rPr>
        <w:t xml:space="preserve"> si ottiene applicando all'output attivato i rispettivi coefficienti settoriali (quota di VA sull'output; ULA per milione di euro di output).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2.3 Settori, coefficienti e shock del progetto (parametri di simulazione)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modello adotta </w:t>
      </w:r>
      <w:r>
        <w:rPr>
          <w:rFonts w:ascii="Calibri" w:hAnsi="Calibri"/>
          <w:b/>
          <w:sz w:val="22"/>
        </w:rPr>
        <w:t>sei settori</w:t>
      </w:r>
      <w:r>
        <w:rPr>
          <w:rFonts w:ascii="Calibri" w:hAnsi="Calibri"/>
          <w:b w:val="0"/>
          <w:sz w:val="22"/>
        </w:rPr>
        <w:t xml:space="preserve"> rappresentativi della filiera ceramica e del suo indotto territoriale: estrazione di minerali non metalliferi; fabbricazione di prodotti ceramici; chimica (smalti, additivi, chemicals); trasporti e logistica; energia; servizi (ICT, R&amp;S, professionali — comparto che in START incorpora AI, digital twin e progettazione). Lo </w:t>
      </w:r>
      <w:r>
        <w:rPr>
          <w:rFonts w:ascii="Calibri" w:hAnsi="Calibri"/>
          <w:b/>
          <w:sz w:val="22"/>
        </w:rPr>
        <w:t>shock di domanda finale</w:t>
      </w:r>
      <w:r>
        <w:rPr>
          <w:rFonts w:ascii="Calibri" w:hAnsi="Calibri"/>
          <w:b w:val="0"/>
          <w:sz w:val="22"/>
        </w:rPr>
        <w:t xml:space="preserve"> è </w:t>
      </w:r>
      <w:r>
        <w:rPr>
          <w:rFonts w:ascii="Calibri" w:hAnsi="Calibri"/>
          <w:b/>
          <w:sz w:val="22"/>
        </w:rPr>
        <w:t>differenziato per regione</w:t>
      </w:r>
      <w:r>
        <w:rPr>
          <w:rFonts w:ascii="Calibri" w:hAnsi="Calibri"/>
          <w:b w:val="0"/>
          <w:sz w:val="22"/>
        </w:rPr>
        <w:t xml:space="preserve"> secondo il ruolo del soggetto attuatore: concentrato su ceramica/estrazione/chimica/logistica/energia in </w:t>
      </w:r>
      <w:r>
        <w:rPr>
          <w:rFonts w:ascii="Calibri" w:hAnsi="Calibri"/>
          <w:b/>
          <w:sz w:val="22"/>
        </w:rPr>
        <w:t>Emilia-Romagna</w:t>
      </w:r>
      <w:r>
        <w:rPr>
          <w:rFonts w:ascii="Calibri" w:hAnsi="Calibri"/>
          <w:b w:val="0"/>
          <w:sz w:val="22"/>
        </w:rPr>
        <w:t xml:space="preserve">; orientato a ricerca, ICT/R&amp;S e servizi in </w:t>
      </w:r>
      <w:r>
        <w:rPr>
          <w:rFonts w:ascii="Calibri" w:hAnsi="Calibri"/>
          <w:b/>
          <w:sz w:val="22"/>
        </w:rPr>
        <w:t>Provincia di Bolzano</w:t>
      </w:r>
      <w:r>
        <w:rPr>
          <w:rFonts w:ascii="Calibri" w:hAnsi="Calibri"/>
          <w:b w:val="0"/>
          <w:sz w:val="22"/>
        </w:rPr>
        <w:t xml:space="preserve"> e </w:t>
      </w:r>
      <w:r>
        <w:rPr>
          <w:rFonts w:ascii="Calibri" w:hAnsi="Calibri"/>
          <w:b/>
          <w:sz w:val="22"/>
        </w:rPr>
        <w:t>Calabria</w:t>
      </w:r>
      <w:r>
        <w:rPr>
          <w:rFonts w:ascii="Calibri" w:hAnsi="Calibri"/>
          <w:b w:val="0"/>
          <w:sz w:val="22"/>
        </w:rPr>
        <w:t xml:space="preserve">; orientato a servizi/progettazione e applicazione del prodotto ceramico in </w:t>
      </w:r>
      <w:r>
        <w:rPr>
          <w:rFonts w:ascii="Calibri" w:hAnsi="Calibri"/>
          <w:b/>
          <w:sz w:val="22"/>
        </w:rPr>
        <w:t>Sardegna</w:t>
      </w:r>
      <w:r>
        <w:rPr>
          <w:rFonts w:ascii="Calibri" w:hAnsi="Calibri"/>
          <w:b w:val="0"/>
          <w:sz w:val="22"/>
        </w:rPr>
        <w:t xml:space="preserve">. La </w:t>
      </w:r>
      <w:r>
        <w:rPr>
          <w:rFonts w:ascii="Calibri" w:hAnsi="Calibri"/>
          <w:b/>
          <w:sz w:val="22"/>
        </w:rPr>
        <w:t>struttura</w:t>
      </w:r>
      <w:r>
        <w:rPr>
          <w:rFonts w:ascii="Calibri" w:hAnsi="Calibri"/>
          <w:b w:val="0"/>
          <w:sz w:val="22"/>
        </w:rPr>
        <w:t xml:space="preserve"> del modello coincide con quella del progetto gemello VOLT (RP 9.6) — stessa industria e stesso distretto; ciò che è stato ricalibrato per START è la </w:t>
      </w:r>
      <w:r>
        <w:rPr>
          <w:rFonts w:ascii="Calibri" w:hAnsi="Calibri"/>
          <w:b/>
          <w:sz w:val="22"/>
        </w:rPr>
        <w:t>ripartizione regionale</w:t>
      </w:r>
      <w:r>
        <w:rPr>
          <w:rFonts w:ascii="Calibri" w:hAnsi="Calibri"/>
          <w:b w:val="0"/>
          <w:sz w:val="22"/>
        </w:rPr>
        <w:t xml:space="preserve"> dello shock sui quattro territori della scheda.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2.4 Trattamento dei dati e riproducibilità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Coerentemente con il problema n. 6, i coefficienti della matrice A, i coefficienti di VA e occupazione e lo shock di domanda finale sono </w:t>
      </w:r>
      <w:r>
        <w:rPr>
          <w:rFonts w:ascii="Calibri" w:hAnsi="Calibri"/>
          <w:b/>
          <w:sz w:val="22"/>
        </w:rPr>
        <w:t>rappresentativi</w:t>
      </w:r>
      <w:r>
        <w:rPr>
          <w:rFonts w:ascii="Calibri" w:hAnsi="Calibri"/>
          <w:b w:val="0"/>
          <w:sz w:val="22"/>
        </w:rPr>
        <w:t xml:space="preserve">, calibrati sull'ordine di grandezza della filiera; </w:t>
      </w:r>
      <w:r>
        <w:rPr>
          <w:rFonts w:ascii="Calibri" w:hAnsi="Calibri"/>
          <w:b/>
          <w:sz w:val="22"/>
        </w:rPr>
        <w:t>non contengono dati riservati</w:t>
      </w:r>
      <w:r>
        <w:rPr>
          <w:rFonts w:ascii="Calibri" w:hAnsi="Calibri"/>
          <w:b w:val="0"/>
          <w:sz w:val="22"/>
        </w:rPr>
        <w:t xml:space="preserve"> e vanno </w:t>
      </w:r>
      <w:r>
        <w:rPr>
          <w:rFonts w:ascii="Calibri" w:hAnsi="Calibri"/>
          <w:b/>
          <w:sz w:val="22"/>
        </w:rPr>
        <w:t>consolidati</w:t>
      </w:r>
      <w:r>
        <w:rPr>
          <w:rFonts w:ascii="Calibri" w:hAnsi="Calibri"/>
          <w:b w:val="0"/>
          <w:sz w:val="22"/>
        </w:rPr>
        <w:t xml:space="preserve"> con le tavole input-output regionali ISTAT (SUT/IO), il cui accesso passa dal coinvolgimento delle autorità territoriali previsto nella RP 8.5. Il modello è codificato e riproducibile (`RP8.6/src/impatto.py`, `RP8.6/run_impatto.py`), con export `RP8.6/output/impatto_*.csv`: ri-eseguirlo con i dati ufficiali è sufficiente a produrre la stima consuntiva senza modificare la struttura analitica.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2.5 Protocollo di applicazione ex-post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valore dell'attività 8.6 è il modello e il suo </w:t>
      </w:r>
      <w:r>
        <w:rPr>
          <w:rFonts w:ascii="Calibri" w:hAnsi="Calibri"/>
          <w:b/>
          <w:sz w:val="22"/>
        </w:rPr>
        <w:t>protocollo di applicazione ex-post</w:t>
      </w:r>
      <w:r>
        <w:rPr>
          <w:rFonts w:ascii="Calibri" w:hAnsi="Calibri"/>
          <w:b w:val="0"/>
          <w:sz w:val="22"/>
        </w:rPr>
        <w:t xml:space="preserve">, da attivare nei mesi e anni successivi alla chiusura del progetto secondo quattro passi: (1) </w:t>
      </w:r>
      <w:r>
        <w:rPr>
          <w:rFonts w:ascii="Calibri" w:hAnsi="Calibri"/>
          <w:b/>
          <w:sz w:val="22"/>
        </w:rPr>
        <w:t>acquisizione dati</w:t>
      </w:r>
      <w:r>
        <w:rPr>
          <w:rFonts w:ascii="Calibri" w:hAnsi="Calibri"/>
          <w:b w:val="0"/>
          <w:sz w:val="22"/>
        </w:rPr>
        <w:t xml:space="preserve"> via autorità territoriali (RP 8.5): tavole I-O regionali ISTAT e consuntivi degli investimenti; (2) </w:t>
      </w:r>
      <w:r>
        <w:rPr>
          <w:rFonts w:ascii="Calibri" w:hAnsi="Calibri"/>
          <w:b/>
          <w:sz w:val="22"/>
        </w:rPr>
        <w:t>ricalibrazione</w:t>
      </w:r>
      <w:r>
        <w:rPr>
          <w:rFonts w:ascii="Calibri" w:hAnsi="Calibri"/>
          <w:b w:val="0"/>
          <w:sz w:val="22"/>
        </w:rPr>
        <w:t xml:space="preserve"> dei coefficienti e dello shock con i valori ufficiali, a struttura invariata; (3) </w:t>
      </w:r>
      <w:r>
        <w:rPr>
          <w:rFonts w:ascii="Calibri" w:hAnsi="Calibri"/>
          <w:b/>
          <w:sz w:val="22"/>
        </w:rPr>
        <w:t>ri-esecuzione</w:t>
      </w:r>
      <w:r>
        <w:rPr>
          <w:rFonts w:ascii="Calibri" w:hAnsi="Calibri"/>
          <w:b w:val="0"/>
          <w:sz w:val="22"/>
        </w:rPr>
        <w:t xml:space="preserve"> del calcolo per la stima consuntiva; (4) </w:t>
      </w:r>
      <w:r>
        <w:rPr>
          <w:rFonts w:ascii="Calibri" w:hAnsi="Calibri"/>
          <w:b/>
          <w:sz w:val="22"/>
        </w:rPr>
        <w:t>analisi degli scostamenti</w:t>
      </w:r>
      <w:r>
        <w:rPr>
          <w:rFonts w:ascii="Calibri" w:hAnsi="Calibri"/>
          <w:b w:val="0"/>
          <w:sz w:val="22"/>
        </w:rPr>
        <w:t xml:space="preserve"> tra simulato (previsione) e consuntivo, che alimenta il Piano di Coordinamento (RF 8).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tblHeader w:val="true"/>
        </w:trP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Ora (simulazione, RP 8.6)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Ex-post (misurazione)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Matrice dei coefficienti tecnici 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Rappresentativa (filiera ceramica)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Tavole I-O regionali ISTAT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Shock di domanda finale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Stimato (investimenti + produzione attesa)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Consuntivi del progetto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Coefficienti VA / occupazione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Rappresentativi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Contabilità regionale / ISTAT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Esito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Impatto potenziale (ordine di grandezza)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Impatto consuntivo verificabile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Uso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Validazione del modello, stima attesa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Analisi degli scostamenti (OR 8)</w:t>
            </w:r>
          </w:p>
        </w:tc>
      </w:tr>
    </w:tbl>
    <w:p>
      <w:pPr>
        <w:spacing w:after="40"/>
      </w:pPr>
    </w:p>
    <w:p>
      <w:pPr>
        <w:spacing w:after="160"/>
        <w:jc w:val="left"/>
      </w:pPr>
      <w:r>
        <w:rPr>
          <w:i/>
          <w:color w:val="333333"/>
          <w:sz w:val="18"/>
        </w:rPr>
        <w:t>Tabella — Stato attuale (simulazione) vs applicazione ex-post.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3. RISULTATI DELLA SIMULAZIONE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 risultati che seguono sono l'esito della </w:t>
      </w:r>
      <w:r>
        <w:rPr>
          <w:rFonts w:ascii="Calibri" w:hAnsi="Calibri"/>
          <w:b/>
          <w:sz w:val="22"/>
        </w:rPr>
        <w:t>simulazione</w:t>
      </w:r>
      <w:r>
        <w:rPr>
          <w:rFonts w:ascii="Calibri" w:hAnsi="Calibri"/>
          <w:b w:val="0"/>
          <w:sz w:val="22"/>
        </w:rPr>
        <w:t xml:space="preserve"> del modello con parametri rappresentativi (§ 2.3): dimostrano l'operatività dello strumento e l'ordine di grandezza degli effetti attesi, e saranno riprodotti con i dati ufficiali secondo il protocollo ex-post (§ 2.5). I </w:t>
      </w:r>
      <w:r>
        <w:rPr>
          <w:rFonts w:ascii="Calibri" w:hAnsi="Calibri"/>
          <w:b/>
          <w:sz w:val="22"/>
        </w:rPr>
        <w:t>moltiplicatori</w:t>
      </w:r>
      <w:r>
        <w:rPr>
          <w:rFonts w:ascii="Calibri" w:hAnsi="Calibri"/>
          <w:b w:val="0"/>
          <w:sz w:val="22"/>
        </w:rPr>
        <w:t xml:space="preserve"> (§ 3.1) sono la componente più robusta del modello, perché dipendono dalla struttura dei coefficienti tecnici più che dall'entità dello shock.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3.1 Moltiplicatori di produzione della filiera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settore </w:t>
      </w:r>
      <w:r>
        <w:rPr>
          <w:rFonts w:ascii="Calibri" w:hAnsi="Calibri"/>
          <w:b/>
          <w:sz w:val="22"/>
        </w:rPr>
        <w:t>ceramico</w:t>
      </w:r>
      <w:r>
        <w:rPr>
          <w:rFonts w:ascii="Calibri" w:hAnsi="Calibri"/>
          <w:b w:val="0"/>
          <w:sz w:val="22"/>
        </w:rPr>
        <w:t xml:space="preserve"> ha il moltiplicatore più elevato (</w:t>
      </w:r>
      <w:r>
        <w:rPr>
          <w:rFonts w:ascii="Calibri" w:hAnsi="Calibri"/>
          <w:b/>
          <w:sz w:val="22"/>
        </w:rPr>
        <w:t>1,75</w:t>
      </w:r>
      <w:r>
        <w:rPr>
          <w:rFonts w:ascii="Calibri" w:hAnsi="Calibri"/>
          <w:b w:val="0"/>
          <w:sz w:val="22"/>
        </w:rPr>
        <w:t xml:space="preserve"> di Tipo I, </w:t>
      </w:r>
      <w:r>
        <w:rPr>
          <w:rFonts w:ascii="Calibri" w:hAnsi="Calibri"/>
          <w:b/>
          <w:sz w:val="22"/>
        </w:rPr>
        <w:t>2,03</w:t>
      </w:r>
      <w:r>
        <w:rPr>
          <w:rFonts w:ascii="Calibri" w:hAnsi="Calibri"/>
          <w:b w:val="0"/>
          <w:sz w:val="22"/>
        </w:rPr>
        <w:t xml:space="preserve"> di Tipo II), coerentemente con la sua posizione di cuore della filiera e con la ricchezza dei legami a monte (estrazione, chimica, energia, logistica); seguono chimica (1,40/1,62) ed estrazione (1,29/1,52). L'inclusione dell'effetto indotto (Tipo II) accresce sensibilmente i moltiplicatori dei settori a maggiore intensità di lavoro (servizi: da 1,22 a 1,56).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153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2_moltiplicator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1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left"/>
      </w:pPr>
      <w:r>
        <w:rPr>
          <w:i/>
          <w:color w:val="333333"/>
          <w:sz w:val="18"/>
        </w:rPr>
        <w:t>Figura 2 — Moltiplicatori di produzione per settore: il settore ceramico traina l'attivazione dell'output regionale.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rPr>
          <w:tblHeader w:val="true"/>
        </w:trPr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Settore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Tipo I (aperto)</w:t>
            </w:r>
          </w:p>
        </w:tc>
        <w:tc>
          <w:tcPr>
            <w:tcW w:type="dxa" w:w="3591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Tipo II (chiuso)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Estrazione minerali non metalliferi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1,29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1,52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Fabbricazione prodotti ceramici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1,75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2,03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Chimica (smalti, additivi, chemicals)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1,40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1,62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Trasporti e logistica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1,22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1,46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Energia (gas, elettricita)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1,15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1,27</w:t>
            </w:r>
          </w:p>
        </w:tc>
      </w:tr>
      <w:tr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Servizi (ICT, R&amp;S, professionali)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1,22</w:t>
            </w:r>
          </w:p>
        </w:tc>
        <w:tc>
          <w:tcPr>
            <w:tcW w:type="dxa" w:w="35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1,56</w:t>
            </w:r>
          </w:p>
        </w:tc>
      </w:tr>
    </w:tbl>
    <w:p>
      <w:pPr>
        <w:spacing w:after="40"/>
      </w:pPr>
    </w:p>
    <w:p>
      <w:pPr>
        <w:spacing w:after="160"/>
        <w:jc w:val="left"/>
      </w:pPr>
      <w:r>
        <w:rPr>
          <w:i/>
          <w:color w:val="333333"/>
          <w:sz w:val="18"/>
        </w:rPr>
        <w:t>Tabella 1 — Moltiplicatori di produzione per settore.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3.2 Impatto simulato sull'output per regione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In </w:t>
      </w:r>
      <w:r>
        <w:rPr>
          <w:rFonts w:ascii="Calibri" w:hAnsi="Calibri"/>
          <w:b/>
          <w:sz w:val="22"/>
        </w:rPr>
        <w:t>Emilia-Romagna</w:t>
      </w:r>
      <w:r>
        <w:rPr>
          <w:rFonts w:ascii="Calibri" w:hAnsi="Calibri"/>
          <w:b w:val="0"/>
          <w:sz w:val="22"/>
        </w:rPr>
        <w:t xml:space="preserve"> i </w:t>
      </w:r>
      <w:r>
        <w:rPr>
          <w:rFonts w:ascii="Calibri" w:hAnsi="Calibri"/>
          <w:b/>
          <w:sz w:val="22"/>
        </w:rPr>
        <w:t>42,0 M€</w:t>
      </w:r>
      <w:r>
        <w:rPr>
          <w:rFonts w:ascii="Calibri" w:hAnsi="Calibri"/>
          <w:b w:val="0"/>
          <w:sz w:val="22"/>
        </w:rPr>
        <w:t xml:space="preserve"> di domanda finale diretta attiverebbero complessivamente </w:t>
      </w:r>
      <w:r>
        <w:rPr>
          <w:rFonts w:ascii="Calibri" w:hAnsi="Calibri"/>
          <w:b/>
          <w:sz w:val="22"/>
        </w:rPr>
        <w:t>75,1 M€</w:t>
      </w:r>
      <w:r>
        <w:rPr>
          <w:rFonts w:ascii="Calibri" w:hAnsi="Calibri"/>
          <w:b w:val="0"/>
          <w:sz w:val="22"/>
        </w:rPr>
        <w:t xml:space="preserve"> di output (indiretto 22,2 M€; indotto 10,8 M€), con un </w:t>
      </w:r>
      <w:r>
        <w:rPr>
          <w:rFonts w:ascii="Calibri" w:hAnsi="Calibri"/>
          <w:b/>
          <w:sz w:val="22"/>
        </w:rPr>
        <w:t>moltiplicatore di 1,79</w:t>
      </w:r>
      <w:r>
        <w:rPr>
          <w:rFonts w:ascii="Calibri" w:hAnsi="Calibri"/>
          <w:b w:val="0"/>
          <w:sz w:val="22"/>
        </w:rPr>
        <w:t xml:space="preserve">. Nelle tre regioni della ricerca lo shock è più contenuto e orientato a settori con legami a monte meno intensi rispetto al core ceramico. Complessivamente, </w:t>
      </w:r>
      <w:r>
        <w:rPr>
          <w:rFonts w:ascii="Calibri" w:hAnsi="Calibri"/>
          <w:b/>
          <w:sz w:val="22"/>
        </w:rPr>
        <w:t>68,0 M€</w:t>
      </w:r>
      <w:r>
        <w:rPr>
          <w:rFonts w:ascii="Calibri" w:hAnsi="Calibri"/>
          <w:b w:val="0"/>
          <w:sz w:val="22"/>
        </w:rPr>
        <w:t xml:space="preserve"> di domanda diretta attiverebbero </w:t>
      </w:r>
      <w:r>
        <w:rPr>
          <w:rFonts w:ascii="Calibri" w:hAnsi="Calibri"/>
          <w:b/>
          <w:sz w:val="22"/>
        </w:rPr>
        <w:t>~117,1 M€</w:t>
      </w:r>
      <w:r>
        <w:rPr>
          <w:rFonts w:ascii="Calibri" w:hAnsi="Calibri"/>
          <w:b w:val="0"/>
          <w:sz w:val="22"/>
        </w:rPr>
        <w:t xml:space="preserve"> di output totale (moltiplicatore medio </w:t>
      </w:r>
      <w:r>
        <w:rPr>
          <w:rFonts w:ascii="Calibri" w:hAnsi="Calibri"/>
          <w:b/>
          <w:sz w:val="22"/>
        </w:rPr>
        <w:t>1,72</w:t>
      </w:r>
      <w:r>
        <w:rPr>
          <w:rFonts w:ascii="Calibri" w:hAnsi="Calibri"/>
          <w:b w:val="0"/>
          <w:sz w:val="22"/>
        </w:rPr>
        <w:t>).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012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3_regioni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0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left"/>
      </w:pPr>
      <w:r>
        <w:rPr>
          <w:i/>
          <w:color w:val="333333"/>
          <w:sz w:val="18"/>
        </w:rPr>
        <w:t>Figura 3 — Simulazione dell'output attivato per regione, scomposto in diretto, indiretto (filiera) e indotto (consumi). Valori rappresentativi.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3.3 Impatto simulato su valore aggiunto e occupazione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L'output attivato si tradurrebbe in </w:t>
      </w:r>
      <w:r>
        <w:rPr>
          <w:rFonts w:ascii="Calibri" w:hAnsi="Calibri"/>
          <w:b/>
          <w:sz w:val="22"/>
        </w:rPr>
        <w:t>valore aggiunto</w:t>
      </w:r>
      <w:r>
        <w:rPr>
          <w:rFonts w:ascii="Calibri" w:hAnsi="Calibri"/>
          <w:b w:val="0"/>
          <w:sz w:val="22"/>
        </w:rPr>
        <w:t xml:space="preserve"> (contributo al PIL regionale) e </w:t>
      </w:r>
      <w:r>
        <w:rPr>
          <w:rFonts w:ascii="Calibri" w:hAnsi="Calibri"/>
          <w:b/>
          <w:sz w:val="22"/>
        </w:rPr>
        <w:t>occupazione</w:t>
      </w:r>
      <w:r>
        <w:rPr>
          <w:rFonts w:ascii="Calibri" w:hAnsi="Calibri"/>
          <w:b w:val="0"/>
          <w:sz w:val="22"/>
        </w:rPr>
        <w:t xml:space="preserve"> (Figura 4). In totale la simulazione stima </w:t>
      </w:r>
      <w:r>
        <w:rPr>
          <w:rFonts w:ascii="Calibri" w:hAnsi="Calibri"/>
          <w:b/>
          <w:sz w:val="22"/>
        </w:rPr>
        <w:t>~57,6 M€</w:t>
      </w:r>
      <w:r>
        <w:rPr>
          <w:rFonts w:ascii="Calibri" w:hAnsi="Calibri"/>
          <w:b w:val="0"/>
          <w:sz w:val="22"/>
        </w:rPr>
        <w:t xml:space="preserve"> di valore aggiunto e </w:t>
      </w:r>
      <w:r>
        <w:rPr>
          <w:rFonts w:ascii="Calibri" w:hAnsi="Calibri"/>
          <w:b/>
          <w:sz w:val="22"/>
        </w:rPr>
        <w:t>~596 ULA</w:t>
      </w:r>
      <w:r>
        <w:rPr>
          <w:rFonts w:ascii="Calibri" w:hAnsi="Calibri"/>
          <w:b w:val="0"/>
          <w:sz w:val="22"/>
        </w:rPr>
        <w:t xml:space="preserve"> attivati sui quattro territori.</w:t>
      </w:r>
    </w:p>
    <w:p>
      <w:pPr>
        <w:spacing w:before="80"/>
        <w:jc w:val="center"/>
      </w:pPr>
      <w:r>
        <w:drawing>
          <wp:inline xmlns:a="http://schemas.openxmlformats.org/drawingml/2006/main" xmlns:pic="http://schemas.openxmlformats.org/drawingml/2006/picture">
            <wp:extent cx="5940000" cy="26529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4_impatt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652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left"/>
      </w:pPr>
      <w:r>
        <w:rPr>
          <w:i/>
          <w:color w:val="333333"/>
          <w:sz w:val="18"/>
        </w:rPr>
        <w:t>Figura 4 — Simulazione del contributo al valore aggiunto (sinistra) e dell'occupazione attivata (destra), scomposti in diretto/indiretto/indotto. Valori rappresentativi.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rPr>
          <w:tblHeader w:val="true"/>
        </w:trPr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Regione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Domanda diretta (M€)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Output totale (M€)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Moltiplic.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Valore aggiunto (M€)</w:t>
            </w:r>
          </w:p>
        </w:tc>
        <w:tc>
          <w:tcPr>
            <w:tcW w:type="dxa" w:w="1795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Occupazione (ULA)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Emilia-Romagna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42,0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75,1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1,79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35,1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365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Provincia di Bolzano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9,0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14,3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1,58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7,8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80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Sardegna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9,0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14,9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1,66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7,7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80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Calabria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8,0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12,8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1,60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6,9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71</w:t>
            </w:r>
          </w:p>
        </w:tc>
      </w:tr>
      <w:tr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7"/>
              </w:rPr>
              <w:t>Totale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68,0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117,1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1,72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57,6</w:t>
            </w:r>
          </w:p>
        </w:tc>
        <w:tc>
          <w:tcPr>
            <w:tcW w:type="dxa" w:w="1795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/>
                <w:sz w:val="17"/>
              </w:rPr>
              <w:t>596</w:t>
            </w:r>
          </w:p>
        </w:tc>
      </w:tr>
    </w:tbl>
    <w:p>
      <w:pPr>
        <w:spacing w:after="40"/>
      </w:pPr>
    </w:p>
    <w:p>
      <w:pPr>
        <w:spacing w:after="160"/>
        <w:jc w:val="left"/>
      </w:pPr>
      <w:r>
        <w:rPr>
          <w:i/>
          <w:color w:val="333333"/>
          <w:sz w:val="18"/>
        </w:rPr>
        <w:t>Tabella 2 — Sintesi della simulazione (valori rappresentativi, per anno a regime).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3.4 Verifica del KPI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693"/>
        <w:gridCol w:w="2693"/>
        <w:gridCol w:w="2693"/>
        <w:gridCol w:w="2693"/>
      </w:tblGrid>
      <w:tr>
        <w:trPr>
          <w:tblHeader w:val="true"/>
        </w:trPr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Componente del deliverable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Baseline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Obiettivo</w:t>
            </w:r>
          </w:p>
        </w:tc>
        <w:tc>
          <w:tcPr>
            <w:tcW w:type="dxa" w:w="2693"/>
            <w:shd w:fill="0B5A3C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7"/>
              </w:rPr>
              <w:t>Esito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Matrice / modello input-output (Leontief) impostato e validato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Nessuna informazione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Analisi effettuata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✓ prodotto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Analisi eseguita in simulazione sulle 4 regioni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Nessuna informazione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Analisi effettuata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✓ eseguita</w:t>
            </w:r>
          </w:p>
        </w:tc>
      </w:tr>
      <w:tr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7"/>
              </w:rPr>
              <w:t>Protocollo di applicazione ex-post definito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Nessuna informazione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Analisi effettuata</w:t>
            </w:r>
          </w:p>
        </w:tc>
        <w:tc>
          <w:tcPr>
            <w:tcW w:type="dxa" w:w="269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7"/>
              </w:rPr>
              <w:t>✓ definito</w:t>
            </w:r>
          </w:p>
        </w:tc>
      </w:tr>
    </w:tbl>
    <w:p>
      <w:pPr>
        <w:spacing w:after="40"/>
      </w:pPr>
    </w:p>
    <w:p>
      <w:pPr>
        <w:spacing w:after="160"/>
        <w:jc w:val="left"/>
      </w:pPr>
      <w:r>
        <w:rPr>
          <w:i/>
          <w:color w:val="333333"/>
          <w:sz w:val="18"/>
        </w:rPr>
        <w:t>Tabella 3 — Verifica del KPI di scheda (baseline Nessuna informazione → obiettivo Analisi effettuata).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Il KPI </w:t>
      </w:r>
      <w:r>
        <w:rPr>
          <w:rFonts w:ascii="Calibri" w:hAnsi="Calibri"/>
          <w:b/>
          <w:sz w:val="22"/>
        </w:rPr>
        <w:t>«Analisi effettuata»</w:t>
      </w:r>
      <w:r>
        <w:rPr>
          <w:rFonts w:ascii="Calibri" w:hAnsi="Calibri"/>
          <w:b w:val="0"/>
          <w:sz w:val="22"/>
        </w:rPr>
        <w:t xml:space="preserve"> è raggiunto nel senso proprio dell'attività: lo strumento di analisi input-output (matrice I-O) è </w:t>
      </w:r>
      <w:r>
        <w:rPr>
          <w:rFonts w:ascii="Calibri" w:hAnsi="Calibri"/>
          <w:b/>
          <w:sz w:val="22"/>
        </w:rPr>
        <w:t>impostato, validato ed eseguito in simulazione</w:t>
      </w:r>
      <w:r>
        <w:rPr>
          <w:rFonts w:ascii="Calibri" w:hAnsi="Calibri"/>
          <w:b w:val="0"/>
          <w:sz w:val="22"/>
        </w:rPr>
        <w:t xml:space="preserve"> sulle quattro regioni, ed è corredato del protocollo per la sua applicazione ex-post.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4. DISCUSSIONE E CONCLUSIONI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4.1 Discussione critica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La simulazione mostra che l'impatto potenziale del progetto </w:t>
      </w:r>
      <w:r>
        <w:rPr>
          <w:rFonts w:ascii="Calibri" w:hAnsi="Calibri"/>
          <w:b/>
          <w:sz w:val="22"/>
        </w:rPr>
        <w:t>eccederebbe sensibilmente lo shock diretto</w:t>
      </w:r>
      <w:r>
        <w:rPr>
          <w:rFonts w:ascii="Calibri" w:hAnsi="Calibri"/>
          <w:b w:val="0"/>
          <w:sz w:val="22"/>
        </w:rPr>
        <w:t xml:space="preserve">: ogni euro di domanda finale attiva ~1,72 € di output complessivo, con un contributo rilevante degli effetti indiretti (filiera) e indotti (consumi). La differenza tra le regioni non è un artefatto ma il riflesso della </w:t>
      </w:r>
      <w:r>
        <w:rPr>
          <w:rFonts w:ascii="Calibri" w:hAnsi="Calibri"/>
          <w:b/>
          <w:sz w:val="22"/>
        </w:rPr>
        <w:t>struttura della filiera</w:t>
      </w:r>
      <w:r>
        <w:rPr>
          <w:rFonts w:ascii="Calibri" w:hAnsi="Calibri"/>
          <w:b w:val="0"/>
          <w:sz w:val="22"/>
        </w:rPr>
        <w:t xml:space="preserve">: l'Emilia-Romagna, sede del core ceramico, presenta il moltiplicatore più elevato perché il settore ceramico attiva a monte estrazione, chimica, energia e logistica locali; le tre regioni della ricerca attivano soprattutto servizi e R&amp;S, con legami a monte meno intensi ma comunque superiori all'unità. Vanno ribaditi i limiti che motivano la natura di simulazione: (i) i coefficienti sono rappresentativi e vanno sostituiti con le tavole I-O regionali ufficiali; (ii) l'analisi I-O assume coefficienti tecnici fissi e rendimenti costanti di scala, ipotesi ragionevole per impatti marginali ma non per grandi shock strutturali. È per questo che il deliverable è impostato come </w:t>
      </w:r>
      <w:r>
        <w:rPr>
          <w:rFonts w:ascii="Calibri" w:hAnsi="Calibri"/>
          <w:b/>
          <w:sz w:val="22"/>
        </w:rPr>
        <w:t>modello da applicare ex-post</w:t>
      </w:r>
      <w:r>
        <w:rPr>
          <w:rFonts w:ascii="Calibri" w:hAnsi="Calibri"/>
          <w:b w:val="0"/>
          <w:sz w:val="22"/>
        </w:rPr>
        <w:t>: i numeri odierni sono una previsione, il valore duraturo è lo strumento.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4.2 Interdipendenze con altre attività e contributo a RF 8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RP 8.5 (Stakeholder Engagement)</w:t>
      </w:r>
      <w:r>
        <w:rPr>
          <w:rFonts w:ascii="Calibri" w:hAnsi="Calibri"/>
          <w:b w:val="0"/>
          <w:sz w:val="22"/>
        </w:rPr>
        <w:t xml:space="preserve"> — è il </w:t>
      </w:r>
      <w:r>
        <w:rPr>
          <w:rFonts w:ascii="Calibri" w:hAnsi="Calibri"/>
          <w:b/>
          <w:sz w:val="22"/>
        </w:rPr>
        <w:t>presupposto operativo</w:t>
      </w:r>
      <w:r>
        <w:rPr>
          <w:rFonts w:ascii="Calibri" w:hAnsi="Calibri"/>
          <w:b w:val="0"/>
          <w:sz w:val="22"/>
        </w:rPr>
        <w:t xml:space="preserve"> di questa analisi: il coinvolgimento delle autorità territoriali delle quattro regioni è la via di accesso ai dati macroeconomici regionali che risolvono il problema n. 6.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Risultati tecnici (OR 1–OR 7)</w:t>
      </w:r>
      <w:r>
        <w:rPr>
          <w:rFonts w:ascii="Calibri" w:hAnsi="Calibri"/>
          <w:b w:val="0"/>
          <w:sz w:val="22"/>
        </w:rPr>
        <w:t xml:space="preserve"> — Digital Twin e AI (OR1), modelli predittivi di qualità e NDT (OR2), involucro edilizio intelligente (OR3), framework e controllo predittivo AI (OR4–OR5), modellazione dell'Intelligent Industry e product design (OR6), collaudo in ambiente operativo (OR7) definiscono la </w:t>
      </w:r>
      <w:r>
        <w:rPr>
          <w:rFonts w:ascii="Calibri" w:hAnsi="Calibri"/>
          <w:b/>
          <w:sz w:val="22"/>
        </w:rPr>
        <w:t>sostanza economica</w:t>
      </w:r>
      <w:r>
        <w:rPr>
          <w:rFonts w:ascii="Calibri" w:hAnsi="Calibri"/>
          <w:b w:val="0"/>
          <w:sz w:val="22"/>
        </w:rPr>
        <w:t xml:space="preserve"> dello shock di domanda finale qui valutato.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RF 8 (Piano di Coordinamento)</w:t>
      </w:r>
      <w:r>
        <w:rPr>
          <w:rFonts w:ascii="Calibri" w:hAnsi="Calibri"/>
          <w:b w:val="0"/>
          <w:sz w:val="22"/>
        </w:rPr>
        <w:t xml:space="preserve"> — la valutazione d'impatto è la componente di </w:t>
      </w:r>
      <w:r>
        <w:rPr>
          <w:rFonts w:ascii="Calibri" w:hAnsi="Calibri"/>
          <w:b/>
          <w:sz w:val="22"/>
        </w:rPr>
        <w:t>misurazione dei risultati sui territori</w:t>
      </w:r>
      <w:r>
        <w:rPr>
          <w:rFonts w:ascii="Calibri" w:hAnsi="Calibri"/>
          <w:b w:val="0"/>
          <w:sz w:val="22"/>
        </w:rPr>
        <w:t xml:space="preserve"> del Piano di Coordinamento, e realizza la finalità inedita dell'OR 8.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4.3 Implicazioni operative rispetto alle Finalità del progetto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Disporre di un modello per stimare l'impatto territoriale traduce in </w:t>
      </w:r>
      <w:r>
        <w:rPr>
          <w:rFonts w:ascii="Calibri" w:hAnsi="Calibri"/>
          <w:b/>
          <w:sz w:val="22"/>
        </w:rPr>
        <w:t>numeri argomentabili</w:t>
      </w:r>
      <w:r>
        <w:rPr>
          <w:rFonts w:ascii="Calibri" w:hAnsi="Calibri"/>
          <w:b w:val="0"/>
          <w:sz w:val="22"/>
        </w:rPr>
        <w:t xml:space="preserve"> la Finalità di START di guidare la transizione dell'industria ceramica verso una produzione data-driven e sostenibile e di rafforzarne la competitività. Già in forma di simulazione i risultati forniscono elementi per il dialogo con le istituzioni (regioni, provincia autonoma, comuni, associazioni di distretto) e per la rendicontazione dell'Accordo per l'Innovazione, mostrando l'ordine di grandezza con cui gli effetti del progetto ricadrebbero sui territori di riferimento. L'applicazione ex-post trasformerà questa stima in evidenza consuntiva, dando all'OR 8 la sua «misurazione dei risultati sui territori».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4.4 Limiti e sviluppi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Applicazione ex-post (sviluppo principale).</w:t>
      </w:r>
      <w:r>
        <w:rPr>
          <w:rFonts w:ascii="Calibri" w:hAnsi="Calibri"/>
          <w:b w:val="0"/>
          <w:sz w:val="22"/>
        </w:rPr>
        <w:t xml:space="preserve"> Eseguire il protocollo del § 2.5: sostituire i coefficienti rappresentativi con le tavole I-O regionali ISTAT (via RP 8.5) e con i consuntivi degli investimenti.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Analisi degli scostamenti.</w:t>
      </w:r>
      <w:r>
        <w:rPr>
          <w:rFonts w:ascii="Calibri" w:hAnsi="Calibri"/>
          <w:b w:val="0"/>
          <w:sz w:val="22"/>
        </w:rPr>
        <w:t xml:space="preserve"> Confrontare l'impatto simulato (questa relazione) con quello consuntivo ex-post, alimentando l'analisi degli scostamenti del Piano di Coordinamento.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Estensione ambientale.</w:t>
      </w:r>
      <w:r>
        <w:rPr>
          <w:rFonts w:ascii="Calibri" w:hAnsi="Calibri"/>
          <w:b w:val="0"/>
          <w:sz w:val="22"/>
        </w:rPr>
        <w:t xml:space="preserve"> Affiancare un modulo input-output ambientale (emissioni, energia, exergia) agganciato alle impronte e alla contabilità EEA+/TSI del progetto (OR6).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/>
          <w:sz w:val="22"/>
        </w:rPr>
        <w:t>Robustezza della simulazione.</w:t>
      </w:r>
      <w:r>
        <w:rPr>
          <w:rFonts w:ascii="Calibri" w:hAnsi="Calibri"/>
          <w:b w:val="0"/>
          <w:sz w:val="22"/>
        </w:rPr>
        <w:t xml:space="preserve"> Corredare il modello di analisi di sensitività sui parametri rappresentativi, in attesa dei dati ufficiali.</w:t>
      </w:r>
    </w:p>
    <w:p>
      <w:pPr>
        <w:spacing w:before="160" w:after="60"/>
      </w:pPr>
      <w:r>
        <w:rPr>
          <w:rFonts w:ascii="Calibri" w:hAnsi="Calibri"/>
          <w:b/>
          <w:color w:val="024C41"/>
          <w:sz w:val="25"/>
        </w:rPr>
        <w:t>4.5 Conclusioni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 xml:space="preserve">L'attività 8.6 ha </w:t>
      </w:r>
      <w:r>
        <w:rPr>
          <w:rFonts w:ascii="Calibri" w:hAnsi="Calibri"/>
          <w:b/>
          <w:sz w:val="22"/>
        </w:rPr>
        <w:t>impostato, validato ed eseguito in simulazione</w:t>
      </w:r>
      <w:r>
        <w:rPr>
          <w:rFonts w:ascii="Calibri" w:hAnsi="Calibri"/>
          <w:b w:val="0"/>
          <w:sz w:val="22"/>
        </w:rPr>
        <w:t xml:space="preserve"> il modello di analisi input-output dell'impatto del progetto START su Emilia-Romagna, Provincia di Bolzano, Sardegna e Calabria, e ne ha definito il </w:t>
      </w:r>
      <w:r>
        <w:rPr>
          <w:rFonts w:ascii="Calibri" w:hAnsi="Calibri"/>
          <w:b/>
          <w:sz w:val="22"/>
        </w:rPr>
        <w:t>protocollo di applicazione ex-post</w:t>
      </w:r>
      <w:r>
        <w:rPr>
          <w:rFonts w:ascii="Calibri" w:hAnsi="Calibri"/>
          <w:b w:val="0"/>
          <w:sz w:val="22"/>
        </w:rPr>
        <w:t xml:space="preserve"> (KPI: baseline Nessuna informazione → obiettivo Analisi effettuata, raggiunto nel senso di strumento predisposto ed eseguito). La simulazione stima un impatto potenziale di </w:t>
      </w:r>
      <w:r>
        <w:rPr>
          <w:rFonts w:ascii="Calibri" w:hAnsi="Calibri"/>
          <w:b/>
          <w:sz w:val="22"/>
        </w:rPr>
        <w:t>~117,1 M€ di output</w:t>
      </w:r>
      <w:r>
        <w:rPr>
          <w:rFonts w:ascii="Calibri" w:hAnsi="Calibri"/>
          <w:b w:val="0"/>
          <w:sz w:val="22"/>
        </w:rPr>
        <w:t xml:space="preserve">, </w:t>
      </w:r>
      <w:r>
        <w:rPr>
          <w:rFonts w:ascii="Calibri" w:hAnsi="Calibri"/>
          <w:b/>
          <w:sz w:val="22"/>
        </w:rPr>
        <w:t>~57,6 M€ di valore aggiunto</w:t>
      </w:r>
      <w:r>
        <w:rPr>
          <w:rFonts w:ascii="Calibri" w:hAnsi="Calibri"/>
          <w:b w:val="0"/>
          <w:sz w:val="22"/>
        </w:rPr>
        <w:t xml:space="preserve"> e </w:t>
      </w:r>
      <w:r>
        <w:rPr>
          <w:rFonts w:ascii="Calibri" w:hAnsi="Calibri"/>
          <w:b/>
          <w:sz w:val="22"/>
        </w:rPr>
        <w:t>~596 ULA</w:t>
      </w:r>
      <w:r>
        <w:rPr>
          <w:rFonts w:ascii="Calibri" w:hAnsi="Calibri"/>
          <w:b w:val="0"/>
          <w:sz w:val="22"/>
        </w:rPr>
        <w:t xml:space="preserve"> sui quattro territori (moltiplicatore medio 1,72), con l'Emilia-Romagna trainata dal core ceramico. Il valore del deliverable è però soprattutto il </w:t>
      </w:r>
      <w:r>
        <w:rPr>
          <w:rFonts w:ascii="Calibri" w:hAnsi="Calibri"/>
          <w:b/>
          <w:sz w:val="22"/>
        </w:rPr>
        <w:t>modello riproducibile</w:t>
      </w:r>
      <w:r>
        <w:rPr>
          <w:rFonts w:ascii="Calibri" w:hAnsi="Calibri"/>
          <w:b w:val="0"/>
          <w:sz w:val="22"/>
        </w:rPr>
        <w:t xml:space="preserve">, pronto a essere ri-eseguito con i dati regionali ufficiali — il cui accesso è abilitato dal Piano di Stakeholder Engagement (RP 8.5). Così l'attività contribuisce al </w:t>
      </w:r>
      <w:r>
        <w:rPr>
          <w:rFonts w:ascii="Calibri" w:hAnsi="Calibri"/>
          <w:b/>
          <w:sz w:val="22"/>
        </w:rPr>
        <w:t>RF 8 (Piano di Coordinamento del Progetto START)</w:t>
      </w:r>
      <w:r>
        <w:rPr>
          <w:rFonts w:ascii="Calibri" w:hAnsi="Calibri"/>
          <w:b w:val="0"/>
          <w:sz w:val="22"/>
        </w:rPr>
        <w:t xml:space="preserve"> e mette l'OR 8 nelle condizioni di realizzare la sua finalità inedita: misurare l'impatto del progetto sulla società e sui territori di riferimento, per differenza tra previsione e consuntivo.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Appendice A — Riproducibilità</w:t>
      </w:r>
    </w:p>
    <w:p>
      <w:pPr>
        <w:spacing w:after="120"/>
        <w:jc w:val="both"/>
      </w:pPr>
      <w:r>
        <w:rPr>
          <w:rFonts w:ascii="Calibri" w:hAnsi="Calibri"/>
          <w:b w:val="0"/>
          <w:sz w:val="22"/>
        </w:rPr>
        <w:t>Motore input-output (inversa di Leontief, moltiplicatori Tipo I/II, impatti): `RP8.6/src/impatto.py`. Runner: `RP8.6/run_impatto.py` (esporta `RP8.6/output/impatto_*.csv`). Figure: `RP8.6/scripts/gen_figures_impatto.py`. Questo documento è generato da `RP8.6/src/build_report.py` sul template ufficiale START.</w:t>
      </w:r>
    </w:p>
    <w:p>
      <w:pPr>
        <w:spacing w:before="240" w:after="120"/>
        <w:jc w:val="left"/>
      </w:pPr>
      <w:r>
        <w:rPr>
          <w:rFonts w:ascii="Calibri" w:hAnsi="Calibri"/>
          <w:b/>
          <w:color w:val="024C41"/>
          <w:sz w:val="32"/>
        </w:rPr>
        <w:t>Appendice B — Riferimenti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 w:val="0"/>
          <w:sz w:val="22"/>
        </w:rPr>
        <w:t>Piano di Sviluppo START (Allegato 4, OR 8, attività 8.6); scheda KPI RP 8.6; problema progettuale n. 6; RP 8.5 (Piano di Stakeholder Engagement); risultati OR 1–OR 7. Impostazione metodologica gemella: progetto VOLT, RP 9.6.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 w:val="0"/>
          <w:sz w:val="22"/>
        </w:rPr>
        <w:t>Leontief, W. (1936). *Quantitative input and output relations in the economic systems of the United States.* The Review of Economics and Statistics, 18(3), 105–125.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 w:val="0"/>
          <w:sz w:val="22"/>
        </w:rPr>
        <w:t>Miller, R. E., &amp; Blair, P. D. (2009). *Input-Output Analysis: Foundations and Extensions* (2nd ed.). Cambridge University Press.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 w:val="0"/>
          <w:sz w:val="22"/>
        </w:rPr>
        <w:t>Dietzenbacher, E., &amp; Lahr, M. L. (Eds.) (2004). *Wassily Leontief and Input-Output Economics.* Cambridge University Press.</w:t>
      </w:r>
    </w:p>
    <w:p>
      <w:pPr>
        <w:spacing w:after="40"/>
        <w:ind w:left="425" w:hanging="198"/>
        <w:jc w:val="both"/>
      </w:pPr>
      <w:r>
        <w:rPr>
          <w:sz w:val="22"/>
        </w:rPr>
        <w:t xml:space="preserve">•  </w:t>
      </w:r>
      <w:r>
        <w:rPr>
          <w:rFonts w:ascii="Calibri" w:hAnsi="Calibri"/>
          <w:b w:val="0"/>
          <w:sz w:val="22"/>
        </w:rPr>
        <w:t>ISTAT. *Tavole delle risorse e degli impieghi (SUT) e tavole input-output* (fonte di consolidamento dei coefficienti regionali).</w:t>
      </w:r>
    </w:p>
    <w:sectPr w:rsidRPr="008B7110" w:rsidR="00E72CA7" w:rsidSect="00087A59">
      <w:headerReference w:type="default" r:id="rId12"/>
      <w:footerReference w:type="default" r:id="rId13"/>
      <w:headerReference w:type="first" r:id="rId14"/>
      <w:footerReference w:type="first" r:id="rId15"/>
      <w:pgSz w:w="11906" w:h="16838" w:orient="portrait" w:code="9"/>
      <w:pgMar w:top="1701" w:right="567" w:bottom="1701" w:left="567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00C2B" w:rsidRDefault="00E00C2B" w14:paraId="33A06B7B" w14:textId="77777777">
      <w:r>
        <w:separator/>
      </w:r>
    </w:p>
  </w:endnote>
  <w:endnote w:type="continuationSeparator" w:id="0">
    <w:p w:rsidR="00E00C2B" w:rsidRDefault="00E00C2B" w14:paraId="64C84C61" w14:textId="77777777">
      <w:r>
        <w:continuationSeparator/>
      </w:r>
    </w:p>
  </w:endnote>
  <w:endnote w:type="continuationNotice" w:id="1">
    <w:p w:rsidR="00E00C2B" w:rsidRDefault="00E00C2B" w14:paraId="3C9B36D7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973605069"/>
      <w:docPartObj>
        <w:docPartGallery w:val="Page Numbers (Bottom of Page)"/>
        <w:docPartUnique/>
      </w:docPartObj>
    </w:sdtPr>
    <w:sdtEndPr/>
    <w:sdtContent>
      <w:p w:rsidR="00370626" w:rsidRDefault="00370626" w14:paraId="19381E81" w14:textId="728262E7">
        <w:pPr>
          <w:pStyle w:val="Pidipa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4F39">
          <w:rPr>
            <w:noProof/>
          </w:rPr>
          <w:t>2</w:t>
        </w:r>
        <w:r>
          <w:fldChar w:fldCharType="end"/>
        </w:r>
      </w:p>
    </w:sdtContent>
  </w:sdt>
  <w:p w:rsidRPr="00087A59" w:rsidR="00A45435" w:rsidP="00087A59" w:rsidRDefault="00A45435" w14:paraId="5067C47B" w14:textId="673FE4C4">
    <w:pPr>
      <w:pStyle w:val="Intestazione"/>
      <w:spacing w:before="60" w:after="240"/>
      <w:jc w:val="center"/>
      <w:rPr>
        <w:rFonts w:ascii="Arial" w:hAnsi="Arial" w:cs="Arial"/>
        <w:b/>
        <w:color w:val="FC4F02"/>
        <w:szCs w:val="3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6="http://schemas.microsoft.com/office/drawing/2014/main" xmlns:pic="http://schemas.openxmlformats.org/drawingml/2006/picture" mc:Ignorable="w14 w15 w16se w16cid w16 w16cex w16sdtdh w16du wp14">
  <w:p w:rsidR="00F17E66" w:rsidP="00F17E66" w:rsidRDefault="00F17E66" w14:paraId="7829F121" w14:textId="4CADEE65">
    <w:pPr>
      <w:pStyle w:val="Intestazione"/>
      <w:pBdr>
        <w:bottom w:val="single" w:color="024C41" w:sz="18" w:space="1"/>
      </w:pBdr>
      <w:spacing w:before="60" w:after="240"/>
      <w:rPr>
        <w:rFonts w:asciiTheme="minorHAnsi" w:hAnsiTheme="minorHAnsi" w:cstheme="minorHAnsi"/>
        <w:color w:val="00A98E"/>
        <w:sz w:val="28"/>
        <w:szCs w:val="36"/>
      </w:rPr>
    </w:pPr>
  </w:p>
  <w:p w:rsidR="00F17E66" w:rsidP="00F17E66" w:rsidRDefault="003D56D6" w14:paraId="6F2805CB" w14:textId="6463FEE0">
    <w:pPr>
      <w:pStyle w:val="Intestazione"/>
      <w:spacing w:before="60" w:after="240"/>
      <w:jc w:val="center"/>
      <w:rPr>
        <w:rFonts w:asciiTheme="minorHAnsi" w:hAnsiTheme="minorHAnsi" w:cstheme="minorHAnsi"/>
        <w:color w:val="00A98E"/>
        <w:sz w:val="28"/>
        <w:szCs w:val="36"/>
      </w:rPr>
    </w:pPr>
    <w:r w:rsidRPr="003D56D6">
      <w:rPr>
        <w:rFonts w:asciiTheme="minorHAnsi" w:hAnsiTheme="minorHAnsi" w:cstheme="minorHAnsi"/>
        <w:color w:val="00A98E"/>
        <w:sz w:val="28"/>
        <w:szCs w:val="36"/>
      </w:rPr>
      <w:drawing>
        <wp:inline distT="0" distB="0" distL="0" distR="0" wp14:anchorId="6B35C285" wp14:editId="14EFDE97">
          <wp:extent cx="6840220" cy="584835"/>
          <wp:effectExtent l="0" t="0" r="0" b="5715"/>
          <wp:docPr id="27" name="Immagine 26">
            <a:extLst xmlns:a="http://schemas.openxmlformats.org/drawingml/2006/main">
              <a:ext uri="{FF2B5EF4-FFF2-40B4-BE49-F238E27FC236}">
                <a16:creationId xmlns:a16="http://schemas.microsoft.com/office/drawing/2014/main" id="{534DBD57-FA8C-4557-94E5-9E23A699C807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" name="Immagine 26">
                    <a:extLst>
                      <a:ext uri="{FF2B5EF4-FFF2-40B4-BE49-F238E27FC236}">
                        <a16:creationId xmlns:a16="http://schemas.microsoft.com/office/drawing/2014/main" id="{534DBD57-FA8C-4557-94E5-9E23A699C807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840220" cy="58483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:rsidRPr="00D311C2" w:rsidR="00A45435" w:rsidP="00F17E66" w:rsidRDefault="00087A59" w14:paraId="4F75B270" w14:textId="0D97F0C7">
    <w:pPr>
      <w:pStyle w:val="Intestazione"/>
      <w:spacing w:before="60" w:after="240"/>
      <w:jc w:val="center"/>
      <w:rPr>
        <w:rFonts w:asciiTheme="minorHAnsi" w:hAnsiTheme="minorHAnsi" w:cstheme="minorHAnsi"/>
        <w:b/>
        <w:bCs/>
        <w:color w:val="00A98E"/>
        <w:sz w:val="28"/>
        <w:szCs w:val="36"/>
      </w:rPr>
    </w:pP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www.</w:t>
    </w:r>
    <w:r w:rsidRPr="00D311C2" w:rsidR="00A42963">
      <w:rPr>
        <w:rFonts w:asciiTheme="minorHAnsi" w:hAnsiTheme="minorHAnsi" w:cstheme="minorHAnsi"/>
        <w:b/>
        <w:bCs/>
        <w:color w:val="00A98E"/>
        <w:sz w:val="28"/>
        <w:szCs w:val="36"/>
      </w:rPr>
      <w:t>start</w:t>
    </w:r>
    <w:r w:rsidR="003D56D6">
      <w:rPr>
        <w:rFonts w:asciiTheme="minorHAnsi" w:hAnsiTheme="minorHAnsi" w:cstheme="minorHAnsi"/>
        <w:b/>
        <w:bCs/>
        <w:color w:val="00A98E"/>
        <w:sz w:val="28"/>
        <w:szCs w:val="36"/>
      </w:rPr>
      <w:t>-innovability</w:t>
    </w:r>
    <w:r w:rsidRPr="00D311C2">
      <w:rPr>
        <w:rFonts w:asciiTheme="minorHAnsi" w:hAnsiTheme="minorHAnsi" w:cstheme="minorHAnsi"/>
        <w:b/>
        <w:bCs/>
        <w:color w:val="00A98E"/>
        <w:sz w:val="28"/>
        <w:szCs w:val="36"/>
      </w:rPr>
      <w:t>.</w:t>
    </w:r>
    <w:r w:rsidRPr="00D311C2" w:rsidR="00064C8D">
      <w:rPr>
        <w:rFonts w:asciiTheme="minorHAnsi" w:hAnsiTheme="minorHAnsi" w:cstheme="minorHAnsi"/>
        <w:b/>
        <w:bCs/>
        <w:color w:val="00A98E"/>
        <w:sz w:val="28"/>
        <w:szCs w:val="36"/>
      </w:rPr>
      <w:t>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00C2B" w:rsidRDefault="00E00C2B" w14:paraId="02105F46" w14:textId="77777777">
      <w:r>
        <w:separator/>
      </w:r>
    </w:p>
  </w:footnote>
  <w:footnote w:type="continuationSeparator" w:id="0">
    <w:p w:rsidR="00E00C2B" w:rsidRDefault="00E00C2B" w14:paraId="76C87ED6" w14:textId="77777777">
      <w:r>
        <w:continuationSeparator/>
      </w:r>
    </w:p>
  </w:footnote>
  <w:footnote w:type="continuationNotice" w:id="1">
    <w:p w:rsidR="00E00C2B" w:rsidRDefault="00E00C2B" w14:paraId="73FD6273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10762" w:type="dxa"/>
      <w:tblInd w:w="-108" w:type="dxa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A42963" w:rsidR="00380ACF" w:rsidTr="00A42963" w14:paraId="139FF03E" w14:textId="77777777">
      <w:tc>
        <w:tcPr>
          <w:tcW w:w="4542" w:type="dxa"/>
        </w:tcPr>
        <w:p w:rsidRPr="00F17E66" w:rsidR="00F17E66" w:rsidP="007D40B1" w:rsidRDefault="00F17E66" w14:paraId="16933ECD" w14:textId="77777777">
          <w:pPr>
            <w:rPr>
              <w:sz w:val="10"/>
              <w:szCs w:val="10"/>
            </w:rPr>
          </w:pPr>
        </w:p>
        <w:p w:rsidR="00380ACF" w:rsidP="007D40B1" w:rsidRDefault="00A42963" w14:paraId="218CE45F" w14:textId="77777777">
          <w:r w:rsidRPr="00380ACF">
            <w:rPr>
              <w:noProof/>
            </w:rPr>
            <w:drawing>
              <wp:inline distT="0" distB="0" distL="0" distR="0" wp14:anchorId="3F19B9DA" wp14:editId="4A2D37D4">
                <wp:extent cx="2047875" cy="1134548"/>
                <wp:effectExtent l="0" t="0" r="0" b="8890"/>
                <wp:docPr id="526394239" name="Immagine 52639423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7D40B1" w:rsidRDefault="00F17E66" w14:paraId="47756266" w14:textId="51DC96D5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A42963" w:rsidP="007D40B1" w:rsidRDefault="00A42963" w14:paraId="6E891721" w14:textId="77777777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</w:p>
        <w:p w:rsidRPr="00A42963" w:rsidR="00380ACF" w:rsidP="007D40B1" w:rsidRDefault="00380ACF" w14:paraId="01794B94" w14:textId="22CA4F9A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380ACF" w:rsidP="007D40B1" w:rsidRDefault="00380ACF" w14:paraId="255519F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7D40B1" w:rsidRDefault="00A42963" w14:paraId="4CBF8299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A42963" w:rsidR="00380ACF" w:rsidP="007D40B1" w:rsidRDefault="00380ACF" w14:paraId="4CD1470F" w14:textId="201B274D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 xml:space="preserve">Prog. n. </w:t>
          </w:r>
          <w:r w:rsidRPr="00A42963" w:rsid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F/310087/01-05/X56</w:t>
          </w:r>
          <w:r w:rsidRPr="00A42963" w:rsidR="00A42963">
            <w:rPr>
              <w:rFonts w:asciiTheme="minorHAnsi" w:hAnsiTheme="minorHAnsi" w:cstheme="minorHAnsi"/>
              <w:b/>
              <w:color w:val="595959"/>
              <w:sz w:val="24"/>
              <w:szCs w:val="32"/>
            </w:rPr>
            <w:t xml:space="preserve"> </w:t>
          </w:r>
        </w:p>
      </w:tc>
    </w:tr>
  </w:tbl>
  <w:p w:rsidRPr="00A42963" w:rsidR="00087A59" w:rsidP="00087A59" w:rsidRDefault="00087A59" w14:paraId="02404575" w14:textId="77777777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du wp14">
  <w:tbl>
    <w:tblPr>
      <w:tblStyle w:val="Grigliatabella"/>
      <w:tblW w:w="0" w:type="auto"/>
      <w:tblBorders>
        <w:top w:val="single" w:color="024C41" w:sz="18" w:space="0"/>
        <w:left w:val="none" w:color="auto" w:sz="0" w:space="0"/>
        <w:bottom w:val="single" w:color="024C41" w:sz="18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4542"/>
      <w:gridCol w:w="6220"/>
    </w:tblGrid>
    <w:tr w:rsidRPr="00380ACF" w:rsidR="00380ACF" w:rsidTr="00A42963" w14:paraId="5203FB71" w14:textId="77777777">
      <w:tc>
        <w:tcPr>
          <w:tcW w:w="4542" w:type="dxa"/>
        </w:tcPr>
        <w:p w:rsidRPr="00F17E66" w:rsidR="00F17E66" w:rsidP="0015016E" w:rsidRDefault="00F17E66" w14:paraId="2F4F55F4" w14:textId="77777777">
          <w:pPr>
            <w:rPr>
              <w:sz w:val="10"/>
              <w:szCs w:val="10"/>
            </w:rPr>
          </w:pPr>
        </w:p>
        <w:p w:rsidR="00380ACF" w:rsidP="0015016E" w:rsidRDefault="00380ACF" w14:paraId="0EFBB021" w14:textId="6C951B90">
          <w:r w:rsidRPr="00380ACF">
            <w:rPr>
              <w:noProof/>
            </w:rPr>
            <w:drawing>
              <wp:inline distT="0" distB="0" distL="0" distR="0" wp14:anchorId="0A26CCA4" wp14:editId="55E72B44">
                <wp:extent cx="2047875" cy="1134548"/>
                <wp:effectExtent l="0" t="0" r="0" b="8890"/>
                <wp:docPr id="88862020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862020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58155" cy="11402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:rsidRPr="00F17E66" w:rsidR="00F17E66" w:rsidP="0015016E" w:rsidRDefault="00F17E66" w14:paraId="6F560366" w14:textId="31DA55B3">
          <w:pPr>
            <w:rPr>
              <w:sz w:val="10"/>
              <w:szCs w:val="10"/>
            </w:rPr>
          </w:pPr>
        </w:p>
      </w:tc>
      <w:tc>
        <w:tcPr>
          <w:tcW w:w="6220" w:type="dxa"/>
        </w:tcPr>
        <w:p w:rsidR="00380ACF" w:rsidP="00002427" w:rsidRDefault="00380ACF" w14:paraId="236DDD0D" w14:textId="77777777">
          <w:pPr>
            <w:jc w:val="center"/>
            <w:rPr>
              <w:rFonts w:asciiTheme="minorHAnsi" w:hAnsiTheme="minorHAnsi" w:cstheme="minorHAnsi"/>
              <w:color w:val="525252" w:themeColor="accent3" w:themeShade="80"/>
              <w:sz w:val="28"/>
              <w:szCs w:val="24"/>
            </w:rPr>
          </w:pPr>
        </w:p>
        <w:p w:rsidRPr="00A42963" w:rsidR="00A42963" w:rsidP="00A42963" w:rsidRDefault="00A42963" w14:paraId="2BBAF2B0" w14:textId="77777777">
          <w:pPr>
            <w:jc w:val="center"/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</w:pP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SusTainable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dAta-dRiven</w:t>
          </w:r>
          <w:proofErr w:type="spellEnd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 xml:space="preserve"> </w:t>
          </w:r>
          <w:proofErr w:type="spellStart"/>
          <w:r w:rsidRPr="00A42963">
            <w:rPr>
              <w:rFonts w:asciiTheme="minorHAnsi" w:hAnsiTheme="minorHAnsi" w:cstheme="minorHAnsi"/>
              <w:b/>
              <w:color w:val="024C41"/>
              <w:sz w:val="32"/>
              <w:szCs w:val="36"/>
              <w:lang w:val="en-US"/>
            </w:rPr>
            <w:t>manufacTuring</w:t>
          </w:r>
          <w:proofErr w:type="spellEnd"/>
        </w:p>
        <w:p w:rsidRPr="00A42963" w:rsidR="00A42963" w:rsidP="00A42963" w:rsidRDefault="00A42963" w14:paraId="3DFD2533" w14:textId="77777777">
          <w:pPr>
            <w:jc w:val="center"/>
            <w:rPr>
              <w:rFonts w:asciiTheme="minorHAnsi" w:hAnsiTheme="minorHAnsi" w:cstheme="minorHAnsi"/>
              <w:b/>
              <w:color w:val="525252" w:themeColor="accent3" w:themeShade="80"/>
              <w:sz w:val="16"/>
              <w:szCs w:val="20"/>
              <w:lang w:val="en-US"/>
            </w:rPr>
          </w:pPr>
        </w:p>
        <w:p w:rsidRPr="00A42963" w:rsidR="00A42963" w:rsidP="00A42963" w:rsidRDefault="00A42963" w14:paraId="3388F882" w14:textId="77777777">
          <w:pPr>
            <w:jc w:val="center"/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Accordo Innovazione DM 31/12/2021</w:t>
          </w:r>
        </w:p>
        <w:p w:rsidRPr="008862C9" w:rsidR="00380ACF" w:rsidP="00A42963" w:rsidRDefault="00A42963" w14:paraId="0D1DF9C7" w14:textId="28B26B0B">
          <w:pPr>
            <w:jc w:val="center"/>
            <w:rPr>
              <w:rFonts w:asciiTheme="minorHAnsi" w:hAnsiTheme="minorHAnsi" w:cstheme="minorHAnsi"/>
              <w:b/>
              <w:color w:val="595959"/>
              <w:szCs w:val="24"/>
              <w:lang w:val="en-US"/>
            </w:rPr>
          </w:pPr>
          <w:r w:rsidRPr="00A42963">
            <w:rPr>
              <w:rFonts w:asciiTheme="minorHAnsi" w:hAnsiTheme="minorHAnsi" w:cstheme="minorHAnsi"/>
              <w:b/>
              <w:color w:val="00A98E"/>
              <w:sz w:val="24"/>
              <w:szCs w:val="32"/>
            </w:rPr>
            <w:t>Prog. n. F/310087/01-05/X56</w:t>
          </w:r>
        </w:p>
      </w:tc>
    </w:tr>
  </w:tbl>
  <w:p w:rsidRPr="00002427" w:rsidR="00A45435" w:rsidP="00087A59" w:rsidRDefault="00A45435" w14:paraId="7DD20812" w14:textId="77777777">
    <w:pPr>
      <w:pStyle w:val="Intestazion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CBD5014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4121B98"/>
    <w:multiLevelType w:val="hybridMultilevel"/>
    <w:tmpl w:val="AD8680F6"/>
    <w:lvl w:ilvl="0" w:tplc="8AC64D14">
      <w:start w:val="1"/>
      <w:numFmt w:val="bullet"/>
      <w:pStyle w:val="cElencoPuntato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91830AC">
      <w:start w:val="1"/>
      <w:numFmt w:val="decimal"/>
      <w:pStyle w:val="cElencoNumerato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220557A6"/>
    <w:multiLevelType w:val="hybridMultilevel"/>
    <w:tmpl w:val="7F88E97C"/>
    <w:lvl w:ilvl="0" w:tplc="0410000F">
      <w:start w:val="1"/>
      <w:numFmt w:val="decimal"/>
      <w:lvlText w:val="%1."/>
      <w:lvlJc w:val="left"/>
      <w:pPr>
        <w:ind w:left="1068" w:hanging="360"/>
      </w:pPr>
    </w:lvl>
    <w:lvl w:ilvl="1" w:tplc="04100019" w:tentative="1">
      <w:start w:val="1"/>
      <w:numFmt w:val="lowerLetter"/>
      <w:lvlText w:val="%2."/>
      <w:lvlJc w:val="left"/>
      <w:pPr>
        <w:ind w:left="1788" w:hanging="360"/>
      </w:pPr>
    </w:lvl>
    <w:lvl w:ilvl="2" w:tplc="0410001B" w:tentative="1">
      <w:start w:val="1"/>
      <w:numFmt w:val="lowerRoman"/>
      <w:lvlText w:val="%3."/>
      <w:lvlJc w:val="right"/>
      <w:pPr>
        <w:ind w:left="2508" w:hanging="180"/>
      </w:pPr>
    </w:lvl>
    <w:lvl w:ilvl="3" w:tplc="0410000F" w:tentative="1">
      <w:start w:val="1"/>
      <w:numFmt w:val="decimal"/>
      <w:lvlText w:val="%4."/>
      <w:lvlJc w:val="left"/>
      <w:pPr>
        <w:ind w:left="3228" w:hanging="360"/>
      </w:pPr>
    </w:lvl>
    <w:lvl w:ilvl="4" w:tplc="04100019" w:tentative="1">
      <w:start w:val="1"/>
      <w:numFmt w:val="lowerLetter"/>
      <w:lvlText w:val="%5."/>
      <w:lvlJc w:val="left"/>
      <w:pPr>
        <w:ind w:left="3948" w:hanging="360"/>
      </w:pPr>
    </w:lvl>
    <w:lvl w:ilvl="5" w:tplc="0410001B" w:tentative="1">
      <w:start w:val="1"/>
      <w:numFmt w:val="lowerRoman"/>
      <w:lvlText w:val="%6."/>
      <w:lvlJc w:val="right"/>
      <w:pPr>
        <w:ind w:left="4668" w:hanging="180"/>
      </w:pPr>
    </w:lvl>
    <w:lvl w:ilvl="6" w:tplc="0410000F" w:tentative="1">
      <w:start w:val="1"/>
      <w:numFmt w:val="decimal"/>
      <w:lvlText w:val="%7."/>
      <w:lvlJc w:val="left"/>
      <w:pPr>
        <w:ind w:left="5388" w:hanging="360"/>
      </w:pPr>
    </w:lvl>
    <w:lvl w:ilvl="7" w:tplc="04100019" w:tentative="1">
      <w:start w:val="1"/>
      <w:numFmt w:val="lowerLetter"/>
      <w:lvlText w:val="%8."/>
      <w:lvlJc w:val="left"/>
      <w:pPr>
        <w:ind w:left="6108" w:hanging="360"/>
      </w:pPr>
    </w:lvl>
    <w:lvl w:ilvl="8" w:tplc="0410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960A9C"/>
    <w:multiLevelType w:val="hybridMultilevel"/>
    <w:tmpl w:val="93769E98"/>
    <w:lvl w:ilvl="0" w:tplc="0410000F">
      <w:start w:val="1"/>
      <w:numFmt w:val="decimal"/>
      <w:lvlText w:val="%1."/>
      <w:lvlJc w:val="left"/>
      <w:pPr>
        <w:ind w:left="1004" w:hanging="360"/>
      </w:pPr>
    </w:lvl>
    <w:lvl w:ilvl="1" w:tplc="04100019" w:tentative="1">
      <w:start w:val="1"/>
      <w:numFmt w:val="lowerLetter"/>
      <w:lvlText w:val="%2."/>
      <w:lvlJc w:val="left"/>
      <w:pPr>
        <w:ind w:left="1724" w:hanging="360"/>
      </w:pPr>
    </w:lvl>
    <w:lvl w:ilvl="2" w:tplc="0410001B" w:tentative="1">
      <w:start w:val="1"/>
      <w:numFmt w:val="lowerRoman"/>
      <w:lvlText w:val="%3."/>
      <w:lvlJc w:val="right"/>
      <w:pPr>
        <w:ind w:left="2444" w:hanging="180"/>
      </w:pPr>
    </w:lvl>
    <w:lvl w:ilvl="3" w:tplc="0410000F" w:tentative="1">
      <w:start w:val="1"/>
      <w:numFmt w:val="decimal"/>
      <w:lvlText w:val="%4."/>
      <w:lvlJc w:val="left"/>
      <w:pPr>
        <w:ind w:left="3164" w:hanging="360"/>
      </w:pPr>
    </w:lvl>
    <w:lvl w:ilvl="4" w:tplc="04100019" w:tentative="1">
      <w:start w:val="1"/>
      <w:numFmt w:val="lowerLetter"/>
      <w:lvlText w:val="%5."/>
      <w:lvlJc w:val="left"/>
      <w:pPr>
        <w:ind w:left="3884" w:hanging="360"/>
      </w:pPr>
    </w:lvl>
    <w:lvl w:ilvl="5" w:tplc="0410001B" w:tentative="1">
      <w:start w:val="1"/>
      <w:numFmt w:val="lowerRoman"/>
      <w:lvlText w:val="%6."/>
      <w:lvlJc w:val="right"/>
      <w:pPr>
        <w:ind w:left="4604" w:hanging="180"/>
      </w:pPr>
    </w:lvl>
    <w:lvl w:ilvl="6" w:tplc="0410000F" w:tentative="1">
      <w:start w:val="1"/>
      <w:numFmt w:val="decimal"/>
      <w:lvlText w:val="%7."/>
      <w:lvlJc w:val="left"/>
      <w:pPr>
        <w:ind w:left="5324" w:hanging="360"/>
      </w:pPr>
    </w:lvl>
    <w:lvl w:ilvl="7" w:tplc="04100019" w:tentative="1">
      <w:start w:val="1"/>
      <w:numFmt w:val="lowerLetter"/>
      <w:lvlText w:val="%8."/>
      <w:lvlJc w:val="left"/>
      <w:pPr>
        <w:ind w:left="6044" w:hanging="360"/>
      </w:pPr>
    </w:lvl>
    <w:lvl w:ilvl="8" w:tplc="0410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 w15:restartNumberingAfterBreak="0">
    <w:nsid w:val="2DF2637A"/>
    <w:multiLevelType w:val="hybridMultilevel"/>
    <w:tmpl w:val="22441060"/>
    <w:lvl w:ilvl="0" w:tplc="0410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75E36B0"/>
    <w:multiLevelType w:val="hybridMultilevel"/>
    <w:tmpl w:val="85B4CF3C"/>
    <w:lvl w:ilvl="0" w:tplc="0410001B">
      <w:start w:val="1"/>
      <w:numFmt w:val="lowerRoman"/>
      <w:lvlText w:val="%1."/>
      <w:lvlJc w:val="righ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5123DF"/>
    <w:multiLevelType w:val="hybridMultilevel"/>
    <w:tmpl w:val="BF0CD84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69414988">
    <w:abstractNumId w:val="1"/>
  </w:num>
  <w:num w:numId="2" w16cid:durableId="191889600">
    <w:abstractNumId w:val="0"/>
  </w:num>
  <w:num w:numId="3" w16cid:durableId="1405685383">
    <w:abstractNumId w:val="3"/>
  </w:num>
  <w:num w:numId="4" w16cid:durableId="905260640">
    <w:abstractNumId w:val="6"/>
  </w:num>
  <w:num w:numId="5" w16cid:durableId="453256951">
    <w:abstractNumId w:val="2"/>
  </w:num>
  <w:num w:numId="6" w16cid:durableId="522670935">
    <w:abstractNumId w:val="4"/>
  </w:num>
  <w:num w:numId="7" w16cid:durableId="107905933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CE5"/>
    <w:rsid w:val="00001033"/>
    <w:rsid w:val="00002427"/>
    <w:rsid w:val="00006006"/>
    <w:rsid w:val="00024280"/>
    <w:rsid w:val="00052384"/>
    <w:rsid w:val="00064C8D"/>
    <w:rsid w:val="0008606B"/>
    <w:rsid w:val="00087A59"/>
    <w:rsid w:val="000A188F"/>
    <w:rsid w:val="000B3532"/>
    <w:rsid w:val="000B5364"/>
    <w:rsid w:val="000E0F4B"/>
    <w:rsid w:val="00100C27"/>
    <w:rsid w:val="0010451F"/>
    <w:rsid w:val="001051CE"/>
    <w:rsid w:val="0010645D"/>
    <w:rsid w:val="00113341"/>
    <w:rsid w:val="00127BBC"/>
    <w:rsid w:val="001449AE"/>
    <w:rsid w:val="001462FF"/>
    <w:rsid w:val="00146F78"/>
    <w:rsid w:val="0015016E"/>
    <w:rsid w:val="001510E5"/>
    <w:rsid w:val="001554A8"/>
    <w:rsid w:val="001653F0"/>
    <w:rsid w:val="001822C7"/>
    <w:rsid w:val="00191ADB"/>
    <w:rsid w:val="001A0748"/>
    <w:rsid w:val="001C44BF"/>
    <w:rsid w:val="001E600D"/>
    <w:rsid w:val="00222544"/>
    <w:rsid w:val="00227AC2"/>
    <w:rsid w:val="002975EB"/>
    <w:rsid w:val="002A5642"/>
    <w:rsid w:val="002B45C4"/>
    <w:rsid w:val="002E15C9"/>
    <w:rsid w:val="002E47CA"/>
    <w:rsid w:val="002E484B"/>
    <w:rsid w:val="002F7338"/>
    <w:rsid w:val="00315AA6"/>
    <w:rsid w:val="003322CF"/>
    <w:rsid w:val="00343A1A"/>
    <w:rsid w:val="00347BBE"/>
    <w:rsid w:val="00350A3F"/>
    <w:rsid w:val="00370626"/>
    <w:rsid w:val="00371FD0"/>
    <w:rsid w:val="00380ACF"/>
    <w:rsid w:val="0038210E"/>
    <w:rsid w:val="00382ABE"/>
    <w:rsid w:val="00383857"/>
    <w:rsid w:val="00383873"/>
    <w:rsid w:val="00385DCD"/>
    <w:rsid w:val="00387C8F"/>
    <w:rsid w:val="003A3863"/>
    <w:rsid w:val="003A57CA"/>
    <w:rsid w:val="003C3A0D"/>
    <w:rsid w:val="003C64CC"/>
    <w:rsid w:val="003C78BD"/>
    <w:rsid w:val="003D56D6"/>
    <w:rsid w:val="003E42C0"/>
    <w:rsid w:val="003F4647"/>
    <w:rsid w:val="0040212E"/>
    <w:rsid w:val="00414D72"/>
    <w:rsid w:val="00426722"/>
    <w:rsid w:val="00432469"/>
    <w:rsid w:val="00434775"/>
    <w:rsid w:val="00442016"/>
    <w:rsid w:val="00443BED"/>
    <w:rsid w:val="00450950"/>
    <w:rsid w:val="00450A34"/>
    <w:rsid w:val="00450E87"/>
    <w:rsid w:val="0047034A"/>
    <w:rsid w:val="004710B2"/>
    <w:rsid w:val="004916F7"/>
    <w:rsid w:val="00493606"/>
    <w:rsid w:val="00493E90"/>
    <w:rsid w:val="004B09C4"/>
    <w:rsid w:val="004E415B"/>
    <w:rsid w:val="004E44AC"/>
    <w:rsid w:val="004F0C5E"/>
    <w:rsid w:val="004F0D85"/>
    <w:rsid w:val="004F32C6"/>
    <w:rsid w:val="004F52C7"/>
    <w:rsid w:val="005020E1"/>
    <w:rsid w:val="00506E16"/>
    <w:rsid w:val="0052090E"/>
    <w:rsid w:val="00530C1B"/>
    <w:rsid w:val="00562094"/>
    <w:rsid w:val="005635AE"/>
    <w:rsid w:val="0057172B"/>
    <w:rsid w:val="0058302C"/>
    <w:rsid w:val="005A3044"/>
    <w:rsid w:val="005A5BFE"/>
    <w:rsid w:val="005B40DA"/>
    <w:rsid w:val="005B52BF"/>
    <w:rsid w:val="005B5379"/>
    <w:rsid w:val="005B6BE3"/>
    <w:rsid w:val="005C62FD"/>
    <w:rsid w:val="005E6551"/>
    <w:rsid w:val="005E7218"/>
    <w:rsid w:val="005F7F0A"/>
    <w:rsid w:val="0061475E"/>
    <w:rsid w:val="00615811"/>
    <w:rsid w:val="00625C20"/>
    <w:rsid w:val="0063488E"/>
    <w:rsid w:val="00634A47"/>
    <w:rsid w:val="00641534"/>
    <w:rsid w:val="00642610"/>
    <w:rsid w:val="00655FC3"/>
    <w:rsid w:val="006870C1"/>
    <w:rsid w:val="006C6880"/>
    <w:rsid w:val="006C6D64"/>
    <w:rsid w:val="006F4EFB"/>
    <w:rsid w:val="006F5C0B"/>
    <w:rsid w:val="006F7023"/>
    <w:rsid w:val="00720738"/>
    <w:rsid w:val="00725F1C"/>
    <w:rsid w:val="00730651"/>
    <w:rsid w:val="00730942"/>
    <w:rsid w:val="00755FC1"/>
    <w:rsid w:val="007646A3"/>
    <w:rsid w:val="00783232"/>
    <w:rsid w:val="00792B4F"/>
    <w:rsid w:val="00796574"/>
    <w:rsid w:val="007D40B1"/>
    <w:rsid w:val="007F6F05"/>
    <w:rsid w:val="0081034F"/>
    <w:rsid w:val="0083544C"/>
    <w:rsid w:val="0083750A"/>
    <w:rsid w:val="0084603E"/>
    <w:rsid w:val="00846290"/>
    <w:rsid w:val="0085429B"/>
    <w:rsid w:val="008629CF"/>
    <w:rsid w:val="008862C9"/>
    <w:rsid w:val="00893C53"/>
    <w:rsid w:val="008A5A0D"/>
    <w:rsid w:val="008B7110"/>
    <w:rsid w:val="008C7ABE"/>
    <w:rsid w:val="008F5B7D"/>
    <w:rsid w:val="008F7966"/>
    <w:rsid w:val="00924708"/>
    <w:rsid w:val="0097184C"/>
    <w:rsid w:val="00973674"/>
    <w:rsid w:val="00992EC6"/>
    <w:rsid w:val="00993B29"/>
    <w:rsid w:val="009A3651"/>
    <w:rsid w:val="009A6504"/>
    <w:rsid w:val="009B40B9"/>
    <w:rsid w:val="009B5D8D"/>
    <w:rsid w:val="009D4F69"/>
    <w:rsid w:val="009F0CC0"/>
    <w:rsid w:val="009F6E03"/>
    <w:rsid w:val="00A031DD"/>
    <w:rsid w:val="00A107D3"/>
    <w:rsid w:val="00A17053"/>
    <w:rsid w:val="00A265D6"/>
    <w:rsid w:val="00A3371E"/>
    <w:rsid w:val="00A4172F"/>
    <w:rsid w:val="00A42963"/>
    <w:rsid w:val="00A45435"/>
    <w:rsid w:val="00A52CEE"/>
    <w:rsid w:val="00A550B9"/>
    <w:rsid w:val="00A67E40"/>
    <w:rsid w:val="00A72558"/>
    <w:rsid w:val="00A914BD"/>
    <w:rsid w:val="00AA3622"/>
    <w:rsid w:val="00AB1E29"/>
    <w:rsid w:val="00AC7E41"/>
    <w:rsid w:val="00AE28DE"/>
    <w:rsid w:val="00AF5714"/>
    <w:rsid w:val="00B1109C"/>
    <w:rsid w:val="00B2460F"/>
    <w:rsid w:val="00B30CF7"/>
    <w:rsid w:val="00B34DCE"/>
    <w:rsid w:val="00B52762"/>
    <w:rsid w:val="00B613C9"/>
    <w:rsid w:val="00B70282"/>
    <w:rsid w:val="00B70A7C"/>
    <w:rsid w:val="00B71BC6"/>
    <w:rsid w:val="00B751DC"/>
    <w:rsid w:val="00B75822"/>
    <w:rsid w:val="00B76C04"/>
    <w:rsid w:val="00B80B8C"/>
    <w:rsid w:val="00B83568"/>
    <w:rsid w:val="00B8550D"/>
    <w:rsid w:val="00B86FB9"/>
    <w:rsid w:val="00B91BC2"/>
    <w:rsid w:val="00BA013B"/>
    <w:rsid w:val="00BA6AFC"/>
    <w:rsid w:val="00BA7CD5"/>
    <w:rsid w:val="00BB2626"/>
    <w:rsid w:val="00BE07DF"/>
    <w:rsid w:val="00BE3462"/>
    <w:rsid w:val="00BE7CC2"/>
    <w:rsid w:val="00BF0D90"/>
    <w:rsid w:val="00C04F39"/>
    <w:rsid w:val="00C05E87"/>
    <w:rsid w:val="00C10053"/>
    <w:rsid w:val="00C209DC"/>
    <w:rsid w:val="00C231E0"/>
    <w:rsid w:val="00C27F1C"/>
    <w:rsid w:val="00C57075"/>
    <w:rsid w:val="00C8188E"/>
    <w:rsid w:val="00CA6DE6"/>
    <w:rsid w:val="00CB0E79"/>
    <w:rsid w:val="00CE26FC"/>
    <w:rsid w:val="00CF2A77"/>
    <w:rsid w:val="00D00B54"/>
    <w:rsid w:val="00D13170"/>
    <w:rsid w:val="00D2509B"/>
    <w:rsid w:val="00D311C2"/>
    <w:rsid w:val="00D37CF8"/>
    <w:rsid w:val="00D42E90"/>
    <w:rsid w:val="00D50B33"/>
    <w:rsid w:val="00D651DA"/>
    <w:rsid w:val="00D74CD3"/>
    <w:rsid w:val="00D93A8C"/>
    <w:rsid w:val="00D94EF4"/>
    <w:rsid w:val="00D97864"/>
    <w:rsid w:val="00DA23F0"/>
    <w:rsid w:val="00DB1A5B"/>
    <w:rsid w:val="00DC1BE9"/>
    <w:rsid w:val="00DE103F"/>
    <w:rsid w:val="00DE2135"/>
    <w:rsid w:val="00DE3725"/>
    <w:rsid w:val="00DE3A80"/>
    <w:rsid w:val="00DE7D27"/>
    <w:rsid w:val="00DF70B0"/>
    <w:rsid w:val="00E00C2B"/>
    <w:rsid w:val="00E14603"/>
    <w:rsid w:val="00E15F0D"/>
    <w:rsid w:val="00E34E57"/>
    <w:rsid w:val="00E551CC"/>
    <w:rsid w:val="00E611F1"/>
    <w:rsid w:val="00E64474"/>
    <w:rsid w:val="00E72CA7"/>
    <w:rsid w:val="00E84486"/>
    <w:rsid w:val="00E924E9"/>
    <w:rsid w:val="00EB1C73"/>
    <w:rsid w:val="00EC0D9B"/>
    <w:rsid w:val="00EE5CAC"/>
    <w:rsid w:val="00F17E66"/>
    <w:rsid w:val="00F21F66"/>
    <w:rsid w:val="00F232FF"/>
    <w:rsid w:val="00F34BF3"/>
    <w:rsid w:val="00F406F1"/>
    <w:rsid w:val="00F560E0"/>
    <w:rsid w:val="00F6345D"/>
    <w:rsid w:val="00F85C74"/>
    <w:rsid w:val="00F92042"/>
    <w:rsid w:val="00F976DC"/>
    <w:rsid w:val="00FA2CE5"/>
    <w:rsid w:val="00FC24C7"/>
    <w:rsid w:val="00FC3370"/>
    <w:rsid w:val="00FD34F7"/>
    <w:rsid w:val="00FD6B54"/>
    <w:rsid w:val="00FF0C55"/>
    <w:rsid w:val="1775785A"/>
    <w:rsid w:val="1956D9D2"/>
    <w:rsid w:val="23A1DAF1"/>
    <w:rsid w:val="23DA3E87"/>
    <w:rsid w:val="2CCD05E7"/>
    <w:rsid w:val="4663C8B5"/>
    <w:rsid w:val="55E9D4E7"/>
    <w:rsid w:val="70697FB7"/>
    <w:rsid w:val="7191D35C"/>
    <w:rsid w:val="76E979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9A5BCCB"/>
  <w15:chartTrackingRefBased/>
  <w15:docId w15:val="{8246964D-62D7-48E0-80E5-947F35355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hAnsi="Times New Roman" w:eastAsia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Table" w:semiHidden="1" w:unhideWhenUsed="1"/>
    <w:lsdException w:name="No List" w:uiPriority="99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e" w:default="1">
    <w:name w:val="Normal"/>
    <w:qFormat/>
    <w:rsid w:val="00A42963"/>
    <w:rPr>
      <w:rFonts w:ascii="Arial Narrow" w:hAnsi="Arial Narrow"/>
      <w:sz w:val="22"/>
      <w:szCs w:val="22"/>
    </w:rPr>
  </w:style>
  <w:style w:type="character" w:styleId="Carpredefinitoparagrafo" w:default="1">
    <w:name w:val="Default Paragraph Font"/>
    <w:uiPriority w:val="1"/>
    <w:unhideWhenUsed/>
  </w:style>
  <w:style w:type="table" w:styleId="Tabellanormale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ssunelenco" w:default="1">
    <w:name w:val="No List"/>
    <w:uiPriority w:val="99"/>
    <w:semiHidden/>
    <w:unhideWhenUsed/>
  </w:style>
  <w:style w:type="paragraph" w:styleId="Intestazione">
    <w:name w:val="header"/>
    <w:basedOn w:val="Normale"/>
    <w:rsid w:val="0083544C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83544C"/>
    <w:pPr>
      <w:tabs>
        <w:tab w:val="center" w:pos="4819"/>
        <w:tab w:val="right" w:pos="9638"/>
      </w:tabs>
    </w:pPr>
  </w:style>
  <w:style w:type="character" w:styleId="Collegamentoipertestuale">
    <w:name w:val="Hyperlink"/>
    <w:basedOn w:val="Carpredefinitoparagrafo"/>
    <w:rsid w:val="00383873"/>
    <w:rPr>
      <w:color w:val="0000FF"/>
      <w:u w:val="single"/>
    </w:rPr>
  </w:style>
  <w:style w:type="paragraph" w:styleId="cIndirizzo" w:customStyle="1">
    <w:name w:val="cIndirizzo"/>
    <w:basedOn w:val="Normale"/>
    <w:next w:val="Normale"/>
    <w:rsid w:val="00893C53"/>
    <w:pPr>
      <w:ind w:left="6804"/>
    </w:pPr>
  </w:style>
  <w:style w:type="paragraph" w:styleId="cCorteseAttenzione" w:customStyle="1">
    <w:name w:val="cCorteseAttenzione"/>
    <w:basedOn w:val="Normale"/>
    <w:next w:val="cIndirizzo"/>
    <w:rsid w:val="00893C53"/>
    <w:pPr>
      <w:ind w:left="6804"/>
    </w:pPr>
    <w:rPr>
      <w:i/>
    </w:rPr>
  </w:style>
  <w:style w:type="paragraph" w:styleId="cRagioneSociale" w:customStyle="1">
    <w:name w:val="cRagioneSociale"/>
    <w:basedOn w:val="Normale"/>
    <w:next w:val="cCorteseAttenzione"/>
    <w:rsid w:val="00E14603"/>
    <w:pPr>
      <w:spacing w:before="480"/>
      <w:ind w:left="6804"/>
    </w:pPr>
    <w:rPr>
      <w:b/>
    </w:rPr>
  </w:style>
  <w:style w:type="paragraph" w:styleId="cOggetto" w:customStyle="1">
    <w:name w:val="cOggetto"/>
    <w:basedOn w:val="Normale"/>
    <w:next w:val="Normale"/>
    <w:rsid w:val="00893C53"/>
    <w:pPr>
      <w:spacing w:before="480" w:after="360"/>
    </w:pPr>
  </w:style>
  <w:style w:type="paragraph" w:styleId="cElencoPuntato" w:customStyle="1">
    <w:name w:val="cElencoPuntato"/>
    <w:basedOn w:val="Normale"/>
    <w:rsid w:val="00893C53"/>
    <w:pPr>
      <w:numPr>
        <w:numId w:val="1"/>
      </w:numPr>
      <w:tabs>
        <w:tab w:val="clear" w:pos="720"/>
        <w:tab w:val="num" w:pos="360"/>
      </w:tabs>
      <w:ind w:left="360" w:hanging="180"/>
    </w:pPr>
  </w:style>
  <w:style w:type="paragraph" w:styleId="cElencoNumerato" w:customStyle="1">
    <w:name w:val="cElencoNumerato"/>
    <w:basedOn w:val="Normale"/>
    <w:rsid w:val="00893C53"/>
    <w:pPr>
      <w:numPr>
        <w:ilvl w:val="1"/>
        <w:numId w:val="1"/>
      </w:numPr>
      <w:tabs>
        <w:tab w:val="clear" w:pos="1440"/>
        <w:tab w:val="num" w:pos="360"/>
      </w:tabs>
      <w:ind w:left="360" w:hanging="180"/>
    </w:pPr>
  </w:style>
  <w:style w:type="paragraph" w:styleId="cSaluto" w:customStyle="1">
    <w:name w:val="cSaluto"/>
    <w:basedOn w:val="Normale"/>
    <w:next w:val="Normale"/>
    <w:rsid w:val="00DE103F"/>
    <w:pPr>
      <w:spacing w:after="120"/>
    </w:pPr>
    <w:rPr>
      <w:i/>
    </w:rPr>
  </w:style>
  <w:style w:type="paragraph" w:styleId="cFunzioneFirmatario" w:customStyle="1">
    <w:name w:val="cFunzioneFirmatario"/>
    <w:basedOn w:val="Normale"/>
    <w:next w:val="Normale"/>
    <w:rsid w:val="00D00B54"/>
    <w:pPr>
      <w:ind w:left="6804"/>
    </w:pPr>
    <w:rPr>
      <w:i/>
    </w:rPr>
  </w:style>
  <w:style w:type="paragraph" w:styleId="cFirmatario" w:customStyle="1">
    <w:name w:val="cFirmatario"/>
    <w:basedOn w:val="Normale"/>
    <w:next w:val="cFunzioneFirmatario"/>
    <w:rsid w:val="00D00B54"/>
    <w:pPr>
      <w:spacing w:before="480"/>
      <w:ind w:left="6804"/>
    </w:pPr>
  </w:style>
  <w:style w:type="table" w:styleId="Grigliatabella">
    <w:name w:val="Table Grid"/>
    <w:basedOn w:val="Tabellanormale"/>
    <w:rsid w:val="00B751D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Numeropagina">
    <w:name w:val="page number"/>
    <w:basedOn w:val="Carpredefinitoparagrafo"/>
    <w:rsid w:val="00B751DC"/>
  </w:style>
  <w:style w:type="paragraph" w:styleId="Paragrafoelenco">
    <w:name w:val="List Paragraph"/>
    <w:basedOn w:val="Normale"/>
    <w:uiPriority w:val="34"/>
    <w:qFormat/>
    <w:rsid w:val="00CA6DE6"/>
    <w:pPr>
      <w:ind w:left="720"/>
      <w:contextualSpacing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370626"/>
    <w:rPr>
      <w:rFonts w:ascii="Arial Narrow" w:hAnsi="Arial Narrow"/>
      <w:sz w:val="22"/>
      <w:szCs w:val="22"/>
    </w:rPr>
  </w:style>
  <w:style w:type="character" w:styleId="Collegamentovisitato">
    <w:name w:val="FollowedHyperlink"/>
    <w:basedOn w:val="Carpredefinitoparagrafo"/>
    <w:rsid w:val="00F560E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ceramichegresmalt.sharepoint.com/sites/progettistartvolt/Documenti%20condivisi/S4.Attivit&#224;%20di%20R&amp;S%20-%20OR/1.Piano%20di%20Sviluppo%20Finale/START_Piano_di_Sviluppo_all4_integrato.pdf?CT=1689066917148&amp;OR=ItemsView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image" Target="media/image3.png"/><Relationship Id="rId19" Type="http://schemas.openxmlformats.org/officeDocument/2006/relationships/image" Target="media/image4.png"/><Relationship Id="rId20" Type="http://schemas.openxmlformats.org/officeDocument/2006/relationships/image" Target="media/image5.png"/><Relationship Id="rId21" Type="http://schemas.openxmlformats.org/officeDocument/2006/relationships/image" Target="media/image6.png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COMMERCIALE%20FIORANO\Tesi\2010\Alessandro%20Vitto\Autorizzazione%20Alessandro.dot" TargetMode="External"/></Relationships>
</file>

<file path=word/theme/theme1.xml><?xml version="1.0" encoding="utf-8"?>
<a:theme xmlns:a="http://schemas.openxmlformats.org/drawingml/2006/main" xmlns:thm15="http://schemas.microsoft.com/office/thememl/2012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5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C961CE0EB86C4BAF5FBA22B52F24DB" ma:contentTypeVersion="17" ma:contentTypeDescription="Creare un nuovo documento." ma:contentTypeScope="" ma:versionID="0a5f7229cbb106ba2abe7c95b092b442">
  <xsd:schema xmlns:xsd="http://www.w3.org/2001/XMLSchema" xmlns:xs="http://www.w3.org/2001/XMLSchema" xmlns:p="http://schemas.microsoft.com/office/2006/metadata/properties" xmlns:ns2="56f694ce-0d8d-4140-af7b-51105567e791" xmlns:ns3="ad955218-927d-446f-bd94-718ac5e6255c" targetNamespace="http://schemas.microsoft.com/office/2006/metadata/properties" ma:root="true" ma:fieldsID="5e0b6d1355d1909234ea1c3671f66232" ns2:_="" ns3:_="">
    <xsd:import namespace="56f694ce-0d8d-4140-af7b-51105567e791"/>
    <xsd:import namespace="ad955218-927d-446f-bd94-718ac5e6255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f694ce-0d8d-4140-af7b-51105567e7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Tag immagine" ma:readOnly="false" ma:fieldId="{5cf76f15-5ced-4ddc-b409-7134ff3c332f}" ma:taxonomyMulti="true" ma:sspId="a3126849-ed39-4324-a057-c3f9becfefc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d955218-927d-446f-bd94-718ac5e6255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aca5ff2-35fa-4634-855e-35521b5f5a05}" ma:internalName="TaxCatchAll" ma:showField="CatchAllData" ma:web="ad955218-927d-446f-bd94-718ac5e6255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6f694ce-0d8d-4140-af7b-51105567e791">
      <Terms xmlns="http://schemas.microsoft.com/office/infopath/2007/PartnerControls"/>
    </lcf76f155ced4ddcb4097134ff3c332f>
    <TaxCatchAll xmlns="ad955218-927d-446f-bd94-718ac5e6255c" xsi:nil="true"/>
  </documentManagement>
</p:properties>
</file>

<file path=customXml/itemProps1.xml><?xml version="1.0" encoding="utf-8"?>
<ds:datastoreItem xmlns:ds="http://schemas.openxmlformats.org/officeDocument/2006/customXml" ds:itemID="{BB0AA0DE-F95E-48A6-A386-1FF17D0AB3F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5A8B1E8-67FC-48F3-80DE-6E09F3797C2A}"/>
</file>

<file path=customXml/itemProps3.xml><?xml version="1.0" encoding="utf-8"?>
<ds:datastoreItem xmlns:ds="http://schemas.openxmlformats.org/officeDocument/2006/customXml" ds:itemID="{CC107ABC-960D-44AD-BFCA-9ECF2E83289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73B02D6-3A44-4F96-A66F-28D9C110DA91}">
  <ds:schemaRefs>
    <ds:schemaRef ds:uri="http://schemas.openxmlformats.org/package/2006/metadata/core-properties"/>
    <ds:schemaRef ds:uri="http://purl.org/dc/dcmitype/"/>
    <ds:schemaRef ds:uri="http://schemas.microsoft.com/office/2006/metadata/properties"/>
    <ds:schemaRef ds:uri="http://schemas.microsoft.com/office/2006/documentManagement/types"/>
    <ds:schemaRef ds:uri="http://schemas.microsoft.com/office/infopath/2007/PartnerControls"/>
    <ds:schemaRef ds:uri="ad955218-927d-446f-bd94-718ac5e6255c"/>
    <ds:schemaRef ds:uri="56f694ce-0d8d-4140-af7b-51105567e791"/>
    <ds:schemaRef ds:uri="http://www.w3.org/XML/1998/namespace"/>
    <ds:schemaRef ds:uri="http://purl.org/dc/terms/"/>
    <ds:schemaRef ds:uri="http://purl.org/dc/elements/1.1/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Autorizzazione Alessandro</ap:Template>
  <ap:Application>Microsoft Word for the web</ap:Application>
  <ap:DocSecurity>0</ap:DocSecurity>
  <ap:ScaleCrop>false</ap:ScaleCrop>
  <ap:Company>Proelia Sistemi Srl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Ragione Sociale</dc:title>
  <dc:subject/>
  <dc:creator>Settembre Davide</dc:creator>
  <cp:keywords/>
  <dc:description/>
  <cp:lastModifiedBy>Luca Iattici</cp:lastModifiedBy>
  <cp:revision>81</cp:revision>
  <cp:lastPrinted>2018-04-19T13:54:00Z</cp:lastPrinted>
  <dcterms:created xsi:type="dcterms:W3CDTF">2018-04-19T13:56:00Z</dcterms:created>
  <dcterms:modified xsi:type="dcterms:W3CDTF">2025-09-25T14:00:07Z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0x0101000CC961CE0EB86C4BAF5FBA22B52F24DB</vt:lpwstr>
  </property>
  <property fmtid="{D5CDD505-2E9C-101B-9397-08002B2CF9AE}" pid="3" name="MediaServiceImageTags">
    <vt:lpwstr/>
  </property>
  <property fmtid="{D5CDD505-2E9C-101B-9397-08002B2CF9AE}" pid="5" name="docLang">
    <vt:lpwstr>it</vt:lpwstr>
  </property>
</Properties>
</file>