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svgR1.svg" ContentType="image/svg+xml"/>
  <Override PartName="/word/media/svgR10.svg" ContentType="image/svg+xml"/>
  <Override PartName="/word/media/svgR11.svg" ContentType="image/svg+xml"/>
  <Override PartName="/word/media/svgR12.svg" ContentType="image/svg+xml"/>
  <Override PartName="/word/media/svgR13.svg" ContentType="image/svg+xml"/>
  <Override PartName="/word/media/svgR14.svg" ContentType="image/svg+xml"/>
  <Override PartName="/word/media/svgR15.svg" ContentType="image/svg+xml"/>
  <Override PartName="/word/media/svgR16.svg" ContentType="image/svg+xml"/>
  <Override PartName="/word/media/svgR2.svg" ContentType="image/svg+xml"/>
  <Override PartName="/word/media/svgR3.svg" ContentType="image/svg+xml"/>
  <Override PartName="/word/media/svgR4.svg" ContentType="image/svg+xml"/>
  <Override PartName="/word/media/svgR5.svg" ContentType="image/svg+xml"/>
  <Override PartName="/word/media/svgR6.svg" ContentType="image/svg+xml"/>
  <Override PartName="/word/media/svgR7.svg" ContentType="image/svg+xml"/>
  <Override PartName="/word/media/svgR8.svg" ContentType="image/svg+xml"/>
  <Override PartName="/word/media/svgR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8B7110" w:rsidR="00A265D6" w:rsidP="00A265D6" w:rsidRDefault="00A265D6" w14:paraId="1C580B53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95B76C0" w14:textId="1018BFC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2081E780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DA1F45C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30067E77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F560E0" w:rsidR="00A265D6" w:rsidP="23A1DAF1" w:rsidRDefault="006C6D64" w14:paraId="7E02FF58" w14:textId="0CEBC6ED">
      <w:pPr>
        <w:spacing w:line="360" w:lineRule="auto"/>
        <w:jc w:val="center"/>
        <w:rPr>
          <w:rFonts w:asciiTheme="minorHAnsi" w:hAnsiTheme="minorHAnsi"/>
          <w:b/>
          <w:bCs/>
          <w:caps/>
          <w:color w:val="024C41"/>
          <w:sz w:val="72"/>
          <w:szCs w:val="56"/>
        </w:rPr>
      </w:pPr>
      <w:r w:rsidRPr="00F560E0">
        <w:rPr>
          <w:rFonts w:asciiTheme="minorHAnsi" w:hAnsiTheme="minorHAnsi"/>
          <w:b/>
          <w:bCs/>
          <w:caps/>
          <w:color w:val="024C41"/>
          <w:sz w:val="72"/>
          <w:szCs w:val="56"/>
        </w:rPr>
        <w:t>ASSESSMENT TERMODINAMICO DELLA FABBRICA</w:t>
      </w:r>
    </w:p>
    <w:p w:rsidRPr="00F560E0" w:rsidR="23A1DAF1" w:rsidP="23A1DAF1" w:rsidRDefault="00002427" w14:paraId="67411CDB" w14:textId="40AB4836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Relazione Parziale N°: RP7.3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9952A4B" w14:textId="3812BA9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Versione del Documento: RV.2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435DB43" w14:textId="2482932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Data di Revisione del Documento: 19.10.2026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</w:p>
    <w:p w:rsidRPr="00F560E0" w:rsidR="23A1DAF1" w:rsidP="23A1DAF1" w:rsidRDefault="006C6D64" w14:paraId="603630B3" w14:textId="17A94853">
      <w:pPr>
        <w:spacing w:line="360" w:lineRule="auto"/>
        <w:jc w:val="center"/>
        <w:rPr>
          <w:rFonts w:ascii="Calibri" w:hAnsi="Calibri" w:eastAsia="Calibri" w:cs="Calibri"/>
          <w:b/>
          <w:color w:val="00A98E"/>
          <w:sz w:val="44"/>
          <w:szCs w:val="44"/>
        </w:rPr>
      </w:pP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Responsabilità: Gresmalt - Capofila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8B7110" w:rsidR="00562094" w:rsidP="003C64CC" w:rsidRDefault="00562094" w14:paraId="003B6F2C" w14:textId="2971AB6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8C95DEC" w14:textId="3024CF7F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F390DC9" w14:textId="4144E5CE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003C64CC" w:rsidRDefault="001554A8" w14:paraId="0B30E4E2" w14:textId="7777777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23A1DAF1" w:rsidRDefault="001554A8" w14:paraId="4D4FE911" w14:textId="77777777">
      <w:pPr>
        <w:spacing w:line="360" w:lineRule="auto"/>
        <w:jc w:val="both"/>
        <w:rPr>
          <w:rFonts w:asciiTheme="minorHAnsi" w:hAnsiTheme="minorHAnsi"/>
          <w:b/>
          <w:bCs/>
          <w:color w:val="2F5496" w:themeColor="accent1" w:themeShade="BF"/>
          <w:sz w:val="36"/>
          <w:szCs w:val="36"/>
        </w:rPr>
      </w:pPr>
    </w:p>
    <w:p>
      <w:pPr>
        <w:spacing w:after="120"/>
        <w:jc w:val="center"/>
      </w:pPr>
      <w:r>
        <w:rPr>
          <w:i/>
          <w:color w:val="333333"/>
          <w:sz w:val="18"/>
        </w:rPr>
        <w:t>Revisione RV.2 — recepisce la cessazione produttiva di D020 (luglio 2025) e l'adozione dell'opzione A (riferimento omologo) per il suo anno parziale; valori da log beta-1.3.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1. INTRODUZIONE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1.1 Inquadramento dell'attività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L'attività 7.3 è la fase conclusiva dell'OR7 e il punto di convergenza del progetto START. Dopo il collaudo dell'infrastruttura Edge-to-Cloud (OR7.1) e il performance testing della Intelligent Factory (OR7.2), il Task 7.3 applica in ambiente operativo il modello </w:t>
      </w:r>
      <w:r>
        <w:rPr>
          <w:rFonts w:ascii="Calibri" w:hAnsi="Calibri"/>
          <w:b/>
          <w:sz w:val="22"/>
        </w:rPr>
        <w:t>Extended Exergy Accounting Plus (EEA+)</w:t>
      </w:r>
      <w:r>
        <w:rPr>
          <w:rFonts w:ascii="Calibri" w:hAnsi="Calibri"/>
          <w:b w:val="0"/>
          <w:sz w:val="22"/>
        </w:rPr>
        <w:t xml:space="preserve"> per valutare, in un'unica scala fisica (il </w:t>
      </w:r>
      <w:r>
        <w:rPr>
          <w:rFonts w:ascii="Calibri" w:hAnsi="Calibri"/>
          <w:b/>
          <w:sz w:val="22"/>
        </w:rPr>
        <w:t>Joule</w:t>
      </w:r>
      <w:r>
        <w:rPr>
          <w:rFonts w:ascii="Calibri" w:hAnsi="Calibri"/>
          <w:b w:val="0"/>
          <w:sz w:val="22"/>
        </w:rPr>
        <w:t xml:space="preserve">), le prestazioni tecnologiche (OR6.1), ambientali (OR6.2), sociali (OR6.3) ed economiche (OR6.4) delle unità produttive </w:t>
      </w:r>
      <w:r>
        <w:rPr>
          <w:rFonts w:ascii="Calibri" w:hAnsi="Calibri"/>
          <w:b/>
          <w:sz w:val="22"/>
        </w:rPr>
        <w:t>D020, D060, D240</w:t>
      </w:r>
      <w:r>
        <w:rPr>
          <w:rFonts w:ascii="Calibri" w:hAnsi="Calibri"/>
          <w:b w:val="0"/>
          <w:sz w:val="22"/>
        </w:rPr>
        <w:t>, e sintetizzarle nell'</w:t>
      </w:r>
      <w:r>
        <w:rPr>
          <w:rFonts w:ascii="Calibri" w:hAnsi="Calibri"/>
          <w:b/>
          <w:sz w:val="22"/>
        </w:rPr>
        <w:t>Indice Termodinamico di Sostenibilità (TSI)</w:t>
      </w:r>
      <w:r>
        <w:rPr>
          <w:rFonts w:ascii="Calibri" w:hAnsi="Calibri"/>
          <w:b w:val="0"/>
          <w:sz w:val="22"/>
        </w:rPr>
        <w:t>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risultato è duplice: il quadro di sostenibilità multidimensionale delle unità e il collaudo della versione </w:t>
      </w:r>
      <w:r>
        <w:rPr>
          <w:rFonts w:ascii="Calibri" w:hAnsi="Calibri"/>
          <w:b/>
          <w:sz w:val="22"/>
        </w:rPr>
        <w:t>beta</w:t>
      </w:r>
      <w:r>
        <w:rPr>
          <w:rFonts w:ascii="Calibri" w:hAnsi="Calibri"/>
          <w:b w:val="0"/>
          <w:sz w:val="22"/>
        </w:rPr>
        <w:t xml:space="preserve"> dell'EEA+. Il KPI è il </w:t>
      </w:r>
      <w:r>
        <w:rPr>
          <w:rFonts w:ascii="Calibri" w:hAnsi="Calibri"/>
          <w:b/>
          <w:sz w:val="22"/>
        </w:rPr>
        <w:t>TSI</w:t>
      </w:r>
      <w:r>
        <w:rPr>
          <w:rFonts w:ascii="Calibri" w:hAnsi="Calibri"/>
          <w:b w:val="0"/>
          <w:sz w:val="22"/>
        </w:rPr>
        <w:t xml:space="preserve"> per ciascuna unità, su serie storica e scenario in tempo reale; la ponderazione fra le quattro dimensioni è resa trasparente dall'</w:t>
      </w:r>
      <w:r>
        <w:rPr>
          <w:rFonts w:ascii="Calibri" w:hAnsi="Calibri"/>
          <w:b/>
          <w:sz w:val="22"/>
        </w:rPr>
        <w:t>Analytic Hierarchy Process (AHP)</w:t>
      </w:r>
      <w:r>
        <w:rPr>
          <w:rFonts w:ascii="Calibri" w:hAnsi="Calibri"/>
          <w:b w:val="0"/>
          <w:sz w:val="22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1.2 La metrica comune: exergia e conversione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sostenibilità combina grandezze eterogenee (kg CO₂-eq, m³, €, ore, DALY, KPI di processo) non direttamente sommabili. START adotta l'</w:t>
      </w:r>
      <w:r>
        <w:rPr>
          <w:rFonts w:ascii="Calibri" w:hAnsi="Calibri"/>
          <w:b/>
          <w:sz w:val="22"/>
        </w:rPr>
        <w:t>exergia</w:t>
      </w:r>
      <w:r>
        <w:rPr>
          <w:rFonts w:ascii="Calibri" w:hAnsi="Calibri"/>
          <w:b w:val="0"/>
          <w:sz w:val="22"/>
        </w:rPr>
        <w:t xml:space="preserve"> come metrica fisica universale: la conversione in J/GJ risolve la </w:t>
      </w:r>
      <w:r>
        <w:rPr>
          <w:rFonts w:ascii="Calibri" w:hAnsi="Calibri"/>
          <w:b/>
          <w:sz w:val="22"/>
        </w:rPr>
        <w:t>commensurabilità</w:t>
      </w:r>
      <w:r>
        <w:rPr>
          <w:rFonts w:ascii="Calibri" w:hAnsi="Calibri"/>
          <w:b w:val="0"/>
          <w:sz w:val="22"/>
        </w:rPr>
        <w:t xml:space="preserve">, mentre l'AHP (con verifica del *consistency ratio*) risolve la </w:t>
      </w:r>
      <w:r>
        <w:rPr>
          <w:rFonts w:ascii="Calibri" w:hAnsi="Calibri"/>
          <w:b/>
          <w:sz w:val="22"/>
        </w:rPr>
        <w:t>ponderazione</w:t>
      </w:r>
      <w:r>
        <w:rPr>
          <w:rFonts w:ascii="Calibri" w:hAnsi="Calibri"/>
          <w:b w:val="0"/>
          <w:sz w:val="22"/>
        </w:rPr>
        <w:t>. I due livelli restano distinti: Eq. (6)–(8).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1.3 Perimetro e cessazione di D020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modello è applicato alle tre unità del gruppo: </w:t>
      </w:r>
      <w:r>
        <w:rPr>
          <w:rFonts w:ascii="Calibri" w:hAnsi="Calibri"/>
          <w:b/>
          <w:sz w:val="22"/>
        </w:rPr>
        <w:t>D020</w:t>
      </w:r>
      <w:r>
        <w:rPr>
          <w:rFonts w:ascii="Calibri" w:hAnsi="Calibri"/>
          <w:b w:val="0"/>
          <w:sz w:val="22"/>
        </w:rPr>
        <w:t xml:space="preserve"> (Viano, MTO), </w:t>
      </w:r>
      <w:r>
        <w:rPr>
          <w:rFonts w:ascii="Calibri" w:hAnsi="Calibri"/>
          <w:b/>
          <w:sz w:val="22"/>
        </w:rPr>
        <w:t>D060</w:t>
      </w:r>
      <w:r>
        <w:rPr>
          <w:rFonts w:ascii="Calibri" w:hAnsi="Calibri"/>
          <w:b w:val="0"/>
          <w:sz w:val="22"/>
        </w:rPr>
        <w:t xml:space="preserve"> (Scandiano, ibrida MTS+MTO), </w:t>
      </w:r>
      <w:r>
        <w:rPr>
          <w:rFonts w:ascii="Calibri" w:hAnsi="Calibri"/>
          <w:b/>
          <w:sz w:val="22"/>
        </w:rPr>
        <w:t>D240</w:t>
      </w:r>
      <w:r>
        <w:rPr>
          <w:rFonts w:ascii="Calibri" w:hAnsi="Calibri"/>
          <w:b w:val="0"/>
          <w:sz w:val="22"/>
        </w:rPr>
        <w:t xml:space="preserve"> (Frassinoro, MTO), sulla serie </w:t>
      </w:r>
      <w:r>
        <w:rPr>
          <w:rFonts w:ascii="Calibri" w:hAnsi="Calibri"/>
          <w:b/>
          <w:sz w:val="22"/>
        </w:rPr>
        <w:t>2023–2025</w:t>
      </w:r>
      <w:r>
        <w:rPr>
          <w:rFonts w:ascii="Calibri" w:hAnsi="Calibri"/>
          <w:b w:val="0"/>
          <w:sz w:val="22"/>
        </w:rPr>
        <w:t xml:space="preserve"> con riferimento (baseline) l'anno </w:t>
      </w:r>
      <w:r>
        <w:rPr>
          <w:rFonts w:ascii="Calibri" w:hAnsi="Calibri"/>
          <w:b/>
          <w:sz w:val="22"/>
        </w:rPr>
        <w:t>2022</w:t>
      </w:r>
      <w:r>
        <w:rPr>
          <w:rFonts w:ascii="Calibri" w:hAnsi="Calibri"/>
          <w:b w:val="0"/>
          <w:sz w:val="22"/>
        </w:rPr>
        <w:t xml:space="preserve">. In questa revisione si recepisce un fatto rilevante: </w:t>
      </w:r>
      <w:r>
        <w:rPr>
          <w:rFonts w:ascii="Calibri" w:hAnsi="Calibri"/>
          <w:b/>
          <w:sz w:val="22"/>
        </w:rPr>
        <w:t>D020 ha prodotto solo per una parte del 2025 e ha cessato le attività a luglio 2025</w:t>
      </w:r>
      <w:r>
        <w:rPr>
          <w:rFonts w:ascii="Calibri" w:hAnsi="Calibri"/>
          <w:b w:val="0"/>
          <w:sz w:val="22"/>
        </w:rPr>
        <w:t xml:space="preserve"> (riconversione a polo logistico; cfr. RP7.5 §1.2 e RP7.8). Il </w:t>
      </w:r>
      <w:r>
        <w:rPr>
          <w:rFonts w:ascii="Calibri" w:hAnsi="Calibri"/>
          <w:b/>
          <w:sz w:val="22"/>
        </w:rPr>
        <w:t>2025 di D020 è quindi un periodo parziale</w:t>
      </w:r>
      <w:r>
        <w:rPr>
          <w:rFonts w:ascii="Calibri" w:hAnsi="Calibri"/>
          <w:b w:val="0"/>
          <w:sz w:val="22"/>
        </w:rPr>
        <w:t xml:space="preserve"> (1° gennaio → 31 luglio 2025, 7 mesi). Per non far apparire la minore durata come un miglioramento, si adotta l'</w:t>
      </w:r>
      <w:r>
        <w:rPr>
          <w:rFonts w:ascii="Calibri" w:hAnsi="Calibri"/>
          <w:b/>
          <w:sz w:val="22"/>
        </w:rPr>
        <w:t>opzione A — riferimento omologo</w:t>
      </w:r>
      <w:r>
        <w:rPr>
          <w:rFonts w:ascii="Calibri" w:hAnsi="Calibri"/>
          <w:b w:val="0"/>
          <w:sz w:val="22"/>
        </w:rPr>
        <w:t xml:space="preserve">: il baseline dei moduli di D020/2025 è il </w:t>
      </w:r>
      <w:r>
        <w:rPr>
          <w:rFonts w:ascii="Calibri" w:hAnsi="Calibri"/>
          <w:b/>
          <w:sz w:val="22"/>
        </w:rPr>
        <w:t>2022 sullo stesso intervallo</w:t>
      </w:r>
      <w:r>
        <w:rPr>
          <w:rFonts w:ascii="Calibri" w:hAnsi="Calibri"/>
          <w:b w:val="0"/>
          <w:sz w:val="22"/>
        </w:rPr>
        <w:t xml:space="preserve"> (gennaio–luglio), non il 2022 annuale (§2.5). D020 è uno stabilimento </w:t>
      </w:r>
      <w:r>
        <w:rPr>
          <w:rFonts w:ascii="Calibri" w:hAnsi="Calibri"/>
          <w:b/>
          <w:sz w:val="22"/>
        </w:rPr>
        <w:t>MTO</w:t>
      </w:r>
      <w:r>
        <w:rPr>
          <w:rFonts w:ascii="Calibri" w:hAnsi="Calibri"/>
          <w:b w:val="0"/>
          <w:sz w:val="22"/>
        </w:rPr>
        <w:t>: i termini MTS (spray-dryer) sono nulli per costruzione.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2. METODOLOGIA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2.1 Architettura della versione beta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pipeline EEA+ beta si articola in sei livelli: </w:t>
      </w:r>
      <w:r>
        <w:rPr>
          <w:rFonts w:ascii="Calibri" w:hAnsi="Calibri"/>
          <w:b/>
          <w:sz w:val="22"/>
        </w:rPr>
        <w:t>Dati → armonizzazione → 4 moduli -J → AHP → Sustainability Accounting → layer exergico → TSI</w:t>
      </w:r>
      <w:r>
        <w:rPr>
          <w:rFonts w:ascii="Calibri" w:hAnsi="Calibri"/>
          <w:b w:val="0"/>
          <w:sz w:val="22"/>
        </w:rPr>
        <w:t xml:space="preserve"> (Figure 1–2).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85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8">
                      <a:extLst>
                        <a:ext uri="{96DAC541-7F89-4952-8B84-B3F5B99F14F2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1 — Pipeline EEA+ beta.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3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20">
                      <a:extLst>
                        <a:ext uri="{96DAC541-7F89-4952-8B84-B3F5B99F14F2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2 — Integrazione dei quattro moduli in Joule.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2.2 Componente exergica e convenzioni di unità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riferimento energetico di processo è </w:t>
      </w:r>
      <w:r>
        <w:rPr>
          <w:rFonts w:ascii="Calibri" w:hAnsi="Calibri"/>
          <w:b/>
          <w:sz w:val="22"/>
        </w:rPr>
        <w:t>Ex_ref = Ex_el + Ex_fuel</w:t>
      </w:r>
      <w:r>
        <w:rPr>
          <w:rFonts w:ascii="Calibri" w:hAnsi="Calibri"/>
          <w:b w:val="0"/>
          <w:sz w:val="22"/>
        </w:rPr>
        <w:t xml:space="preserve">, con Ex_el = 3,6·kWh ed Ex_fuel = V_gas·b_fuel (exergia chimica del metano), Eq. (1). Convenzione: calcolo interno in </w:t>
      </w:r>
      <w:r>
        <w:rPr>
          <w:rFonts w:ascii="Calibri" w:hAnsi="Calibri"/>
          <w:b/>
          <w:sz w:val="22"/>
        </w:rPr>
        <w:t>MJ</w:t>
      </w:r>
      <w:r>
        <w:rPr>
          <w:rFonts w:ascii="Calibri" w:hAnsi="Calibri"/>
          <w:b w:val="0"/>
          <w:sz w:val="22"/>
        </w:rPr>
        <w:t xml:space="preserve">, output in </w:t>
      </w:r>
      <w:r>
        <w:rPr>
          <w:rFonts w:ascii="Calibri" w:hAnsi="Calibri"/>
          <w:b/>
          <w:sz w:val="22"/>
        </w:rPr>
        <w:t>GJ</w:t>
      </w:r>
      <w:r>
        <w:rPr>
          <w:rFonts w:ascii="Calibri" w:hAnsi="Calibri"/>
          <w:b w:val="0"/>
          <w:sz w:val="22"/>
        </w:rPr>
        <w:t xml:space="preserve"> (÷1.000); l'efficienza di conversione è inclusa in </w:t>
      </w:r>
      <w:r>
        <w:rPr>
          <w:rFonts w:ascii="Calibri" w:hAnsi="Calibri"/>
          <w:b/>
          <w:sz w:val="22"/>
        </w:rPr>
        <w:t>Ψ</w:t>
      </w:r>
      <w:r>
        <w:rPr>
          <w:rFonts w:ascii="Calibri" w:hAnsi="Calibri"/>
          <w:b w:val="0"/>
          <w:sz w:val="22"/>
        </w:rPr>
        <w:t xml:space="preserve"> (efficienza exergetica di 2° principio), non in Ex_ref.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5547" cy="23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.png"/>
                          <pic:cNvPicPr/>
                        </pic:nvPicPr>
                        <pic:blipFill>
                          <a:blip r:embed="rId22">
                            <a:extLst>
                              <a:ext uri="{96DAC541-7F89-4952-8B84-B3F5B99F14F2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547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2.3 I quattro moduli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Ogni impronta è calcolata dal rispettivo modulo -J come differenza exergetica rispetto al baseline, in GJ, senza doppio conteggio: </w:t>
      </w:r>
      <w:r>
        <w:rPr>
          <w:rFonts w:ascii="Calibri" w:hAnsi="Calibri"/>
          <w:b/>
          <w:sz w:val="22"/>
        </w:rPr>
        <w:t>TEI-J</w:t>
      </w:r>
      <w:r>
        <w:rPr>
          <w:rFonts w:ascii="Calibri" w:hAnsi="Calibri"/>
          <w:b w:val="0"/>
          <w:sz w:val="22"/>
        </w:rPr>
        <w:t xml:space="preserve"> Eq. (2), </w:t>
      </w:r>
      <w:r>
        <w:rPr>
          <w:rFonts w:ascii="Calibri" w:hAnsi="Calibri"/>
          <w:b/>
          <w:sz w:val="22"/>
        </w:rPr>
        <w:t>EFA-J</w:t>
      </w:r>
      <w:r>
        <w:rPr>
          <w:rFonts w:ascii="Calibri" w:hAnsi="Calibri"/>
          <w:b w:val="0"/>
          <w:sz w:val="22"/>
        </w:rPr>
        <w:t xml:space="preserve"> Eq. (3), </w:t>
      </w:r>
      <w:r>
        <w:rPr>
          <w:rFonts w:ascii="Calibri" w:hAnsi="Calibri"/>
          <w:b/>
          <w:sz w:val="22"/>
        </w:rPr>
        <w:t>EcoFA-J</w:t>
      </w:r>
      <w:r>
        <w:rPr>
          <w:rFonts w:ascii="Calibri" w:hAnsi="Calibri"/>
          <w:b w:val="0"/>
          <w:sz w:val="22"/>
        </w:rPr>
        <w:t xml:space="preserve"> Eq. (4), </w:t>
      </w:r>
      <w:r>
        <w:rPr>
          <w:rFonts w:ascii="Calibri" w:hAnsi="Calibri"/>
          <w:b/>
          <w:sz w:val="22"/>
        </w:rPr>
        <w:t>SFA-J</w:t>
      </w:r>
      <w:r>
        <w:rPr>
          <w:rFonts w:ascii="Calibri" w:hAnsi="Calibri"/>
          <w:b w:val="0"/>
          <w:sz w:val="22"/>
        </w:rPr>
        <w:t xml:space="preserve"> Eq. (5).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3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2.png"/>
                          <pic:cNvPicPr/>
                        </pic:nvPicPr>
                        <pic:blipFill>
                          <a:blip r:embed="rId24">
                            <a:extLst>
                              <a:ext uri="{96DAC541-7F89-4952-8B84-B3F5B99F14F2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18641" cy="23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3.png"/>
                          <pic:cNvPicPr/>
                        </pic:nvPicPr>
                        <pic:blipFill>
                          <a:blip r:embed="rId26">
                            <a:extLst>
                              <a:ext uri="{96DAC541-7F89-4952-8B84-B3F5B99F14F2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864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41831" cy="23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4.png"/>
                          <pic:cNvPicPr/>
                        </pic:nvPicPr>
                        <pic:blipFill>
                          <a:blip r:embed="rId28">
                            <a:extLst>
                              <a:ext uri="{96DAC541-7F89-4952-8B84-B3F5B99F14F2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83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218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5.png"/>
                          <pic:cNvPicPr/>
                        </pic:nvPicPr>
                        <pic:blipFill>
                          <a:blip r:embed="rId30">
                            <a:extLst>
                              <a:ext uri="{96DAC541-7F89-4952-8B84-B3F5B99F14F2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18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2.4 Integrazione, AHP e TSI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Sustainability Accounting grezza e ponderata (pesi AHP) è data dalla Eq. (6); lo score multidimensionale Φ e l'efficienza Ψ dalla Eq. (7); l'indice composito e la lettura relativa dalla Eq. (8). I pesi derivano da una matrice di confronto a coppie con </w:t>
      </w:r>
      <w:r>
        <w:rPr>
          <w:rFonts w:ascii="Calibri" w:hAnsi="Calibri"/>
          <w:b/>
          <w:sz w:val="22"/>
        </w:rPr>
        <w:t>CR ≤ 0,10</w:t>
      </w:r>
      <w:r>
        <w:rPr>
          <w:rFonts w:ascii="Calibri" w:hAnsi="Calibri"/>
          <w:b w:val="0"/>
          <w:sz w:val="22"/>
        </w:rPr>
        <w:t>, Eq. (9).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1379" cy="23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6.png"/>
                          <pic:cNvPicPr/>
                        </pic:nvPicPr>
                        <pic:blipFill>
                          <a:blip r:embed="rId32">
                            <a:extLst>
                              <a:ext uri="{96DAC541-7F89-4952-8B84-B3F5B99F14F2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37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0100" cy="23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7.png"/>
                          <pic:cNvPicPr/>
                        </pic:nvPicPr>
                        <pic:blipFill>
                          <a:blip r:embed="rId34">
                            <a:extLst>
                              <a:ext uri="{96DAC541-7F89-4952-8B84-B3F5B99F14F2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1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17859" cy="23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8.png"/>
                          <pic:cNvPicPr/>
                        </pic:nvPicPr>
                        <pic:blipFill>
                          <a:blip r:embed="rId36">
                            <a:extLst>
                              <a:ext uri="{96DAC541-7F89-4952-8B84-B3F5B99F14F2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85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6813" cy="23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9.png"/>
                          <pic:cNvPicPr/>
                        </pic:nvPicPr>
                        <pic:blipFill>
                          <a:blip r:embed="rId38">
                            <a:extLst>
                              <a:ext uri="{96DAC541-7F89-4952-8B84-B3F5B99F14F2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13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2.5 Opzione A — anno parziale e riferimento omologo (ADR-015)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 contributi f_i sono differenze estensive rispetto al baseline. Confrontare un periodo di 7 mesi (D020/2025) con un riferimento annuale di 12 mesi gonfierebbe artificialmente la differenza. Si adotta quindi, per D020/2025, un </w:t>
      </w:r>
      <w:r>
        <w:rPr>
          <w:rFonts w:ascii="Calibri" w:hAnsi="Calibri"/>
          <w:b/>
          <w:sz w:val="22"/>
        </w:rPr>
        <w:t>riferimento omologo sulla stessa finestra</w:t>
      </w:r>
      <w:r>
        <w:rPr>
          <w:rFonts w:ascii="Calibri" w:hAnsi="Calibri"/>
          <w:b w:val="0"/>
          <w:sz w:val="22"/>
        </w:rPr>
        <w:t xml:space="preserve"> (2022 gennaio–luglio), Eq. (10): poiché riferimento e periodo corrente hanno la </w:t>
      </w:r>
      <w:r>
        <w:rPr>
          <w:rFonts w:ascii="Calibri" w:hAnsi="Calibri"/>
          <w:b/>
          <w:sz w:val="22"/>
        </w:rPr>
        <w:t>stessa durata</w:t>
      </w:r>
      <w:r>
        <w:rPr>
          <w:rFonts w:ascii="Calibri" w:hAnsi="Calibri"/>
          <w:b w:val="0"/>
          <w:sz w:val="22"/>
        </w:rPr>
        <w:t xml:space="preserve">, le grandezze </w:t>
      </w:r>
      <w:r>
        <w:rPr>
          <w:rFonts w:ascii="Calibri" w:hAnsi="Calibri"/>
          <w:b/>
          <w:sz w:val="22"/>
        </w:rPr>
        <w:t>intensive</w:t>
      </w:r>
      <w:r>
        <w:rPr>
          <w:rFonts w:ascii="Calibri" w:hAnsi="Calibri"/>
          <w:b w:val="0"/>
          <w:sz w:val="22"/>
        </w:rPr>
        <w:t xml:space="preserve"> (Φ, Ψ, TSI_abs, TSI_rel) restano confrontabili, mentre le </w:t>
      </w:r>
      <w:r>
        <w:rPr>
          <w:rFonts w:ascii="Calibri" w:hAnsi="Calibri"/>
          <w:b/>
          <w:sz w:val="22"/>
        </w:rPr>
        <w:t>estensive</w:t>
      </w:r>
      <w:r>
        <w:rPr>
          <w:rFonts w:ascii="Calibri" w:hAnsi="Calibri"/>
          <w:b w:val="0"/>
          <w:sz w:val="22"/>
        </w:rPr>
        <w:t xml:space="preserve"> (f_i, SA, Ex_ref, produzione) si riferiscono al solo periodo e </w:t>
      </w:r>
      <w:r>
        <w:rPr>
          <w:rFonts w:ascii="Calibri" w:hAnsi="Calibri"/>
          <w:b/>
          <w:sz w:val="22"/>
        </w:rPr>
        <w:t>non sono confrontabili</w:t>
      </w:r>
      <w:r>
        <w:rPr>
          <w:rFonts w:ascii="Calibri" w:hAnsi="Calibri"/>
          <w:b w:val="0"/>
          <w:sz w:val="22"/>
        </w:rPr>
        <w:t xml:space="preserve"> con gli anni pieni. Una guardia di modello (</w:t>
      </w:r>
      <w:r>
        <w:rPr>
          <w:rFonts w:ascii="Calibri" w:hAnsi="Calibri"/>
          <w:b/>
          <w:sz w:val="22"/>
        </w:rPr>
        <w:t>TEMPORAL_MISMATCH</w:t>
      </w:r>
      <w:r>
        <w:rPr>
          <w:rFonts w:ascii="Calibri" w:hAnsi="Calibri"/>
          <w:b w:val="0"/>
          <w:sz w:val="22"/>
        </w:rPr>
        <w:t xml:space="preserve">) blocca qualsiasi confronto fra finestre di durata diversa; la media di Gruppo è pesata sulla </w:t>
      </w:r>
      <w:r>
        <w:rPr>
          <w:rFonts w:ascii="Calibri" w:hAnsi="Calibri"/>
          <w:b/>
          <w:sz w:val="22"/>
        </w:rPr>
        <w:t>produzione per anno</w:t>
      </w:r>
      <w:r>
        <w:rPr>
          <w:rFonts w:ascii="Calibri" w:hAnsi="Calibri"/>
          <w:b w:val="0"/>
          <w:sz w:val="22"/>
        </w:rPr>
        <w:t xml:space="preserve"> (per D020/2025,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11792" cy="23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0.png"/>
                          <pic:cNvPicPr/>
                        </pic:nvPicPr>
                        <pic:blipFill>
                          <a:blip r:embed="rId40">
                            <a:extLst>
                              <a:ext uri="{96DAC541-7F89-4952-8B84-B3F5B99F14F2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1792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3. RISULTATI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 Disponibilità dei dati (Tabella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Anni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TEI-J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Exergia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 2025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gen–lug (7 mesi)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 — Disponibilità dei dati; baseline 2022. D020/2025 = periodo gennaio–luglio (cessazione).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3.2 AHP (Tabelle 2–3)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matrice di confronto a coppie fornisce pesi </w:t>
      </w:r>
      <w:r>
        <w:rPr>
          <w:rFonts w:ascii="Calibri" w:hAnsi="Calibri"/>
          <w:b/>
          <w:sz w:val="22"/>
        </w:rPr>
        <w:t>env 0,3661, econ 0,1451, soc 0,0955, tech 0,3934</w:t>
      </w:r>
      <w:r>
        <w:rPr>
          <w:rFonts w:ascii="Calibri" w:hAnsi="Calibri"/>
          <w:b w:val="0"/>
          <w:sz w:val="22"/>
        </w:rPr>
        <w:t xml:space="preserve"> con </w:t>
      </w:r>
      <w:r>
        <w:rPr>
          <w:rFonts w:ascii="Calibri" w:hAnsi="Calibri"/>
          <w:b/>
          <w:sz w:val="22"/>
        </w:rPr>
        <w:t>CR = 0,0169 ≤ 0,10</w:t>
      </w:r>
      <w:r>
        <w:rPr>
          <w:rFonts w:ascii="Calibri" w:hAnsi="Calibri"/>
          <w:b w:val="0"/>
          <w:sz w:val="22"/>
        </w:rPr>
        <w:t xml:space="preserve"> (consistente).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tblHeader w:val="true"/>
        </w:trPr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Ambientale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Economica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Sociale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Tecnologica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1/4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2 — Matrice AHP di confronto a coppie.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Dimensione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Peso AHP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0,3661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0,1451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0,0955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0,3934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Somma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1,0001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3 — Pesi AHP (λmax=4,0457; CI=0,0152; CR=0,0169).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3.3 Bilancio exergetico (Tabella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Prod. (Mm²)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Ex_fuel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39.140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156.560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38.000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152.000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0,159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2,318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23.025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91.965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gen–lug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62.720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250.880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60.800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243.200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58.880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235.520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48.450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193.800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47.124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188.496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0,172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45.900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4 — Bilancio exergetico per unità e anno. D020/2025 = periodo gen–lug (grandezze non confrontabili con gli anni pieni).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3.4 Contributi dei moduli (Tabella 5, Figura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true"/>
        </w:trPr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f_env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f_econ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f_soc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f_tech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6.284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7.234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4.495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18.036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10.211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11.756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7.305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35.350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18.458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3.342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3.188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29.723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10.084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11.609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7.214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28.943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16.386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18.865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11.722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9.755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56.729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22.689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26.121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16.231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19.473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84.514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7.797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8.976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5.578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22.379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12.670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14.587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9.064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7.542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43.863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17.543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20.197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12.550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15.057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65.347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5 — Contributi dei moduli -J e SA_raw (differenze vs baseline; D020/2025 vs 2022 gen–lug). Per D020 i termini MTS sono nulli (stabilimento MTO).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664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42">
                      <a:extLst>
                        <a:ext uri="{96DAC541-7F89-4952-8B84-B3F5B99F14F2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4 — Scomposizione dei contributi 2025 (D020 = periodo gen–lug, non confrontabile).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3.5 Sustainability Accounting ponderata (Tabella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Φ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18.036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3.788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35.350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8.532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29.723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9.018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0,0784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28.943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56.729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13.692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0,0450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84.514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21.305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0,0724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22.379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43.863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10.587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65.347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16.473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0,0718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6 — SA ponderata (pesi AHP) e Φ = SA_w/Ex_ref.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3.6 Indice Termodinamico di Sostenibilità (Tabella 7, Figure 3 e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2023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2024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2025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(2025/2023)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Δ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0,0867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+39,8 %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0,1065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+34,5 %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0,0937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0,1085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0,1239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+32,2 %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7 — TSI_abs per anno e TSI_rel. Per D020 il 2025 è il periodo di attività (gen–lug); TSI_abs/Φ/Ψ restano confrontabili (rapporti).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93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44">
                      <a:extLst>
                        <a:ext uri="{96DAC541-7F89-4952-8B84-B3F5B99F14F2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3 — TSI_abs per unità e anno.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6731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46">
                      <a:extLst>
                        <a:ext uri="{96DAC541-7F89-4952-8B84-B3F5B99F14F2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67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5 — Traiettoria Φ–Ψ (2023→2025).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3.7 Analisi di sensibilità (Tabella 8, Figura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min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max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Ordinamento (TSI_abs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Caso base (pesi AHP; α=β=0,5)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1,428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1,368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1,300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1,371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Pesi AHP equidistribuiti (0,25)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1,315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exergico (α=0,4; β=0,6)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1,237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multidimensionale (α=0,6; β=0,4)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1,539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D240&gt;D020&gt;D060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8 — Sensibilità di TSI_rel e stabilità dell'ordinamento.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9114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48">
                      <a:extLst>
                        <a:ext uri="{96DAC541-7F89-4952-8B84-B3F5B99F14F2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9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6 — Intervalli di TSI_rel per scenario (riferimento 1).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In tutti gli scenari TSI_rel resta </w:t>
      </w:r>
      <w:r>
        <w:rPr>
          <w:rFonts w:ascii="Calibri" w:hAnsi="Calibri"/>
          <w:b/>
          <w:sz w:val="22"/>
        </w:rPr>
        <w:t>&gt; 1</w:t>
      </w:r>
      <w:r>
        <w:rPr>
          <w:rFonts w:ascii="Calibri" w:hAnsi="Calibri"/>
          <w:b w:val="0"/>
          <w:sz w:val="22"/>
        </w:rPr>
        <w:t xml:space="preserve"> (intervallo complessivo 1,237–1,539) e l'</w:t>
      </w:r>
      <w:r>
        <w:rPr>
          <w:rFonts w:ascii="Calibri" w:hAnsi="Calibri"/>
          <w:b/>
          <w:sz w:val="22"/>
        </w:rPr>
        <w:t>ordinamento D240 &gt; D060 &gt; D020</w:t>
      </w:r>
      <w:r>
        <w:rPr>
          <w:rFonts w:ascii="Calibri" w:hAnsi="Calibri"/>
          <w:b w:val="0"/>
          <w:sz w:val="22"/>
        </w:rPr>
        <w:t xml:space="preserve"> (per TSI_abs 2025) si mantiene: il miglioramento e la gerarchia assoluta sono robusti.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3.8 Controlli di coerenza (Tabella 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Controllo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D020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D060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D240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Bilancio di massa / Ex_loss ≥ 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Coerenza unità (MJ→GJ ÷1.000)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Finestra omologa (opzione A)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 (7 mesi)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Guardia TEMPORAL_MISMATCH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Assenza doppio conteggio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9 — Controlli di qualità e coerenza.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3.9 α/β di Gruppo ed evoluzione (Tabelle 10–11)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Grandezza di Gruppo (media pond. produzione)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Valore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TSI_abs 2025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0,1229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TSI_rel 2025/2023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1,3456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10 — Indici di Gruppo (D020/2025 pesa per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tblHeader w:val="true"/>
        </w:trP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alpha (OR6.5)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beta (OR7.3)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Footprint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integrazione concettuale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4 moduli -J formalizzati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Ponderazione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da consolidare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AHP, CR ≤ 0,10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non previsto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(riferimento omologo) + guardia durata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definizione alpha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Φ + Ψ, TSI_abs e TSI_rel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Output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teorico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per unità e anno (log beta-1.3)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11 — Evoluzione EEA+ alpha → beta.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3.10 KPI di attività (Tabella 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KPI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Obiettivo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su serie storica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real-time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6 TSI (2023 e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Versione EEA+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alpha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collaudata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operativa (log beta-1.3)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Consistenza AHP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≤ 0,10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= 0,0169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 D020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gestito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(ADR-015)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12 — Verifica dei KPI.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4. DISCUSSIONE E CONCLUSIONI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4.1 Lettura dei risultati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Sulla serie 2023–2025 il TSI cresce in tutte le unità; il miglioramento relativo 2025/2023 è </w:t>
      </w:r>
      <w:r>
        <w:rPr>
          <w:rFonts w:ascii="Calibri" w:hAnsi="Calibri"/>
          <w:b/>
          <w:sz w:val="22"/>
        </w:rPr>
        <w:t>+39,8 %</w:t>
      </w:r>
      <w:r>
        <w:rPr>
          <w:rFonts w:ascii="Calibri" w:hAnsi="Calibri"/>
          <w:b w:val="0"/>
          <w:sz w:val="22"/>
        </w:rPr>
        <w:t xml:space="preserve"> per D020, </w:t>
      </w:r>
      <w:r>
        <w:rPr>
          <w:rFonts w:ascii="Calibri" w:hAnsi="Calibri"/>
          <w:b/>
          <w:sz w:val="22"/>
        </w:rPr>
        <w:t>+34,5 %</w:t>
      </w:r>
      <w:r>
        <w:rPr>
          <w:rFonts w:ascii="Calibri" w:hAnsi="Calibri"/>
          <w:b w:val="0"/>
          <w:sz w:val="22"/>
        </w:rPr>
        <w:t xml:space="preserve"> per D060, </w:t>
      </w:r>
      <w:r>
        <w:rPr>
          <w:rFonts w:ascii="Calibri" w:hAnsi="Calibri"/>
          <w:b/>
          <w:sz w:val="22"/>
        </w:rPr>
        <w:t>+32,2 %</w:t>
      </w:r>
      <w:r>
        <w:rPr>
          <w:rFonts w:ascii="Calibri" w:hAnsi="Calibri"/>
          <w:b w:val="0"/>
          <w:sz w:val="22"/>
        </w:rPr>
        <w:t xml:space="preserve"> per D240, con un valore medio di Gruppo di </w:t>
      </w:r>
      <w:r>
        <w:rPr>
          <w:rFonts w:ascii="Calibri" w:hAnsi="Calibri"/>
          <w:b/>
          <w:sz w:val="22"/>
        </w:rPr>
        <w:t>+34,6 %</w:t>
      </w:r>
      <w:r>
        <w:rPr>
          <w:rFonts w:ascii="Calibri" w:hAnsi="Calibri"/>
          <w:b w:val="0"/>
          <w:sz w:val="22"/>
        </w:rPr>
        <w:t xml:space="preserve">. L'ordinamento assoluto (TSI_abs 2025) è </w:t>
      </w:r>
      <w:r>
        <w:rPr>
          <w:rFonts w:ascii="Calibri" w:hAnsi="Calibri"/>
          <w:b/>
          <w:sz w:val="22"/>
        </w:rPr>
        <w:t>D240 (0,1239) &gt; D060 (0,1227) &gt; D020 (0,1212)</w:t>
      </w:r>
      <w:r>
        <w:rPr>
          <w:rFonts w:ascii="Calibri" w:hAnsi="Calibri"/>
          <w:b w:val="0"/>
          <w:sz w:val="22"/>
        </w:rPr>
        <w:t>, coerente con la *footprint family* di OR6 (impianto più recente più performante).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4.2 D020: anno parziale e opzione 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Grazie all'opzione A, il TSI di D020/2025 (</w:t>
      </w:r>
      <w:r>
        <w:rPr>
          <w:rFonts w:ascii="Calibri" w:hAnsi="Calibri"/>
          <w:b/>
          <w:sz w:val="22"/>
        </w:rPr>
        <w:t>0,1212</w:t>
      </w:r>
      <w:r>
        <w:rPr>
          <w:rFonts w:ascii="Calibri" w:hAnsi="Calibri"/>
          <w:b w:val="0"/>
          <w:sz w:val="22"/>
        </w:rPr>
        <w:t>) e il suo TSI_rel (</w:t>
      </w:r>
      <w:r>
        <w:rPr>
          <w:rFonts w:ascii="Calibri" w:hAnsi="Calibri"/>
          <w:b/>
          <w:sz w:val="22"/>
        </w:rPr>
        <w:t>1,398</w:t>
      </w:r>
      <w:r>
        <w:rPr>
          <w:rFonts w:ascii="Calibri" w:hAnsi="Calibri"/>
          <w:b w:val="0"/>
          <w:sz w:val="22"/>
        </w:rPr>
        <w:t xml:space="preserve">) sono indici-rapporto confrontabili nonostante i 7 mesi di esercizio, mentre le grandezze estensive (Ex_ref </w:t>
      </w:r>
      <w:r>
        <w:rPr>
          <w:rFonts w:ascii="Calibri" w:hAnsi="Calibri"/>
          <w:b/>
          <w:sz w:val="22"/>
        </w:rPr>
        <w:t>114.990 GJ</w:t>
      </w:r>
      <w:r>
        <w:rPr>
          <w:rFonts w:ascii="Calibri" w:hAnsi="Calibri"/>
          <w:b w:val="0"/>
          <w:sz w:val="22"/>
        </w:rPr>
        <w:t xml:space="preserve">, SA_raw </w:t>
      </w:r>
      <w:r>
        <w:rPr>
          <w:rFonts w:ascii="Calibri" w:hAnsi="Calibri"/>
          <w:b/>
          <w:sz w:val="22"/>
        </w:rPr>
        <w:t>29.723 GJ</w:t>
      </w:r>
      <w:r>
        <w:rPr>
          <w:rFonts w:ascii="Calibri" w:hAnsi="Calibri"/>
          <w:b w:val="0"/>
          <w:sz w:val="22"/>
        </w:rPr>
        <w:t xml:space="preserve">, produzione </w:t>
      </w:r>
      <w:r>
        <w:rPr>
          <w:rFonts w:ascii="Calibri" w:hAnsi="Calibri"/>
          <w:b/>
          <w:sz w:val="22"/>
        </w:rPr>
        <w:t>2.317.845 m²</w:t>
      </w:r>
      <w:r>
        <w:rPr>
          <w:rFonts w:ascii="Calibri" w:hAnsi="Calibri"/>
          <w:b w:val="0"/>
          <w:sz w:val="22"/>
        </w:rPr>
        <w:t xml:space="preserve">) si riferiscono al solo periodo e non vanno confrontate con gli anni pieni. È rilevante che D020, nella sua ultima annualità parziale, mostri il </w:t>
      </w:r>
      <w:r>
        <w:rPr>
          <w:rFonts w:ascii="Calibri" w:hAnsi="Calibri"/>
          <w:b/>
          <w:sz w:val="22"/>
        </w:rPr>
        <w:t>miglioramento relativo maggiore</w:t>
      </w:r>
      <w:r>
        <w:rPr>
          <w:rFonts w:ascii="Calibri" w:hAnsi="Calibri"/>
          <w:b w:val="0"/>
          <w:sz w:val="22"/>
        </w:rPr>
        <w:t>: il suo riferimento omologo 2022 era meno efficiente (Ψ 0,151 contro 0,164 del 2025), per cui il salto relativo è più ampio di quello di D060 e D240.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4.3 Robustezza e correzione dell'intervallo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L'analisi di sensibilità conferma TSI_rel &gt; 1 e l'ordinamento assoluto in tutti gli scenari. Si segnala, rispetto alle revisioni precedenti, che l'</w:t>
      </w:r>
      <w:r>
        <w:rPr>
          <w:rFonts w:ascii="Calibri" w:hAnsi="Calibri"/>
          <w:b/>
          <w:sz w:val="22"/>
        </w:rPr>
        <w:t>intervallo per-unità di TSI_rel si allarga a ≈ 1,32–1,40</w:t>
      </w:r>
      <w:r>
        <w:rPr>
          <w:rFonts w:ascii="Calibri" w:hAnsi="Calibri"/>
          <w:b w:val="0"/>
          <w:sz w:val="22"/>
        </w:rPr>
        <w:t xml:space="preserve"> (D240 1,322 · D060 1,345 · D020 1,398): il precedente riferimento «1,32–1,36» non è più valido perché D020, con i dati reali, è l'unità con il miglioramento relativo più alto. L'ordinamento </w:t>
      </w:r>
      <w:r>
        <w:rPr>
          <w:rFonts w:ascii="Calibri" w:hAnsi="Calibri"/>
          <w:b/>
          <w:sz w:val="22"/>
        </w:rPr>
        <w:t>assoluto</w:t>
      </w:r>
      <w:r>
        <w:rPr>
          <w:rFonts w:ascii="Calibri" w:hAnsi="Calibri"/>
          <w:b w:val="0"/>
          <w:sz w:val="22"/>
        </w:rPr>
        <w:t xml:space="preserve"> D240 &gt; D060 &gt; D020 resta invariato.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4.4 Interdipendenze e conclusioni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RP7.3 salda la misurazione della sostenibilità con l'architettura digitale (OR6.6–6.7, OR6.10) collaudata in OR7.1–7.2 e con il controllo AI-driven (OR4–OR5), e contribuisce direttamente al Risultato Finale </w:t>
      </w:r>
      <w:r>
        <w:rPr>
          <w:rFonts w:ascii="Calibri" w:hAnsi="Calibri"/>
          <w:b/>
          <w:sz w:val="22"/>
        </w:rPr>
        <w:t>RF7</w:t>
      </w:r>
      <w:r>
        <w:rPr>
          <w:rFonts w:ascii="Calibri" w:hAnsi="Calibri"/>
          <w:b w:val="0"/>
          <w:sz w:val="22"/>
        </w:rPr>
        <w:t xml:space="preserve">. La versione beta dell'EEA+ è operativa, tracciabile e ora capace di rappresentare correttamente un </w:t>
      </w:r>
      <w:r>
        <w:rPr>
          <w:rFonts w:ascii="Calibri" w:hAnsi="Calibri"/>
          <w:b/>
          <w:sz w:val="22"/>
        </w:rPr>
        <w:t>anno produttivo parziale</w:t>
      </w:r>
      <w:r>
        <w:rPr>
          <w:rFonts w:ascii="Calibri" w:hAnsi="Calibri"/>
          <w:b w:val="0"/>
          <w:sz w:val="22"/>
        </w:rPr>
        <w:t xml:space="preserve"> senza distorcere gli indici. A valle, i documenti che consumano i valori RP7.3 (</w:t>
      </w:r>
      <w:r>
        <w:rPr>
          <w:rFonts w:ascii="Calibri" w:hAnsi="Calibri"/>
          <w:b/>
          <w:sz w:val="22"/>
        </w:rPr>
        <w:t>RP7.8</w:t>
      </w:r>
      <w:r>
        <w:rPr>
          <w:rFonts w:ascii="Calibri" w:hAnsi="Calibri"/>
          <w:b w:val="0"/>
          <w:sz w:val="22"/>
        </w:rPr>
        <w:t xml:space="preserve">, ed eventualmente </w:t>
      </w:r>
      <w:r>
        <w:rPr>
          <w:rFonts w:ascii="Calibri" w:hAnsi="Calibri"/>
          <w:b/>
          <w:sz w:val="22"/>
        </w:rPr>
        <w:t>RP8.6</w:t>
      </w:r>
      <w:r>
        <w:rPr>
          <w:rFonts w:ascii="Calibri" w:hAnsi="Calibri"/>
          <w:b w:val="0"/>
          <w:sz w:val="22"/>
        </w:rPr>
        <w:t>) andranno rigenerati con i valori di questa revisione.</w:t>
      </w:r>
    </w:p>
    <w:p/>
    <w:p>
      <w:r>
        <w:rPr>
          <w:i/>
          <w:color w:val="333333"/>
          <w:sz w:val="16"/>
        </w:rPr>
        <w:t>Fine documento — RP7.3 RV.2 · Assessment termodinamico della fabbrica · Progetto START · Prog. F/310087/01-05/X56 · www.start-innovability.it</w:t>
      </w:r>
    </w:p>
    <w:sectPr w:rsidRPr="008B7110" w:rsidR="00E72CA7" w:rsidSect="00087A59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701" w:right="567" w:bottom="1701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0C2B" w:rsidRDefault="00E00C2B" w14:paraId="33A06B7B" w14:textId="77777777">
      <w:r>
        <w:separator/>
      </w:r>
    </w:p>
  </w:endnote>
  <w:endnote w:type="continuationSeparator" w:id="0">
    <w:p w:rsidR="00E00C2B" w:rsidRDefault="00E00C2B" w14:paraId="64C84C61" w14:textId="77777777">
      <w:r>
        <w:continuationSeparator/>
      </w:r>
    </w:p>
  </w:endnote>
  <w:endnote w:type="continuationNotice" w:id="1">
    <w:p w:rsidR="00E00C2B" w:rsidRDefault="00E00C2B" w14:paraId="3C9B36D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0C2B" w:rsidRDefault="00E00C2B" w14:paraId="02105F46" w14:textId="77777777">
      <w:r>
        <w:separator/>
      </w:r>
    </w:p>
  </w:footnote>
  <w:footnote w:type="continuationSeparator" w:id="0">
    <w:p w:rsidR="00E00C2B" w:rsidRDefault="00E00C2B" w14:paraId="76C87ED6" w14:textId="77777777">
      <w:r>
        <w:continuationSeparator/>
      </w:r>
    </w:p>
  </w:footnote>
  <w:footnote w:type="continuationNotice" w:id="1">
    <w:p w:rsidR="00E00C2B" w:rsidRDefault="00E00C2B" w14:paraId="73FD627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14988">
    <w:abstractNumId w:val="1"/>
  </w:num>
  <w:num w:numId="2" w16cid:durableId="191889600">
    <w:abstractNumId w:val="0"/>
  </w:num>
  <w:num w:numId="3" w16cid:durableId="1405685383">
    <w:abstractNumId w:val="3"/>
  </w:num>
  <w:num w:numId="4" w16cid:durableId="905260640">
    <w:abstractNumId w:val="6"/>
  </w:num>
  <w:num w:numId="5" w16cid:durableId="453256951">
    <w:abstractNumId w:val="2"/>
  </w:num>
  <w:num w:numId="6" w16cid:durableId="522670935">
    <w:abstractNumId w:val="4"/>
  </w:num>
  <w:num w:numId="7" w16cid:durableId="1079059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A5BCCB"/>
  <w15:chartTrackingRefBased/>
  <w15:docId w15:val="{8246964D-62D7-48E0-80E5-947F353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e" w:default="1">
    <w:name w:val="Normal"/>
    <w:qFormat/>
    <w:rsid w:val="00A42963"/>
    <w:rPr>
      <w:rFonts w:ascii="Arial Narrow" w:hAnsi="Arial Narrow"/>
      <w:sz w:val="22"/>
      <w:szCs w:val="22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Intestazione">
    <w:name w:val="header"/>
    <w:basedOn w:val="Normale"/>
    <w:rsid w:val="0083544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83544C"/>
    <w:pPr>
      <w:tabs>
        <w:tab w:val="center" w:pos="4819"/>
        <w:tab w:val="right" w:pos="9638"/>
      </w:tabs>
    </w:pPr>
  </w:style>
  <w:style w:type="character" w:styleId="Collegamentoipertestuale">
    <w:name w:val="Hyperlink"/>
    <w:basedOn w:val="Carpredefinitoparagrafo"/>
    <w:rsid w:val="00383873"/>
    <w:rPr>
      <w:color w:val="0000FF"/>
      <w:u w:val="single"/>
    </w:rPr>
  </w:style>
  <w:style w:type="paragraph" w:styleId="cIndirizzo" w:customStyle="1">
    <w:name w:val="cIndirizzo"/>
    <w:basedOn w:val="Normale"/>
    <w:next w:val="Normale"/>
    <w:rsid w:val="00893C53"/>
    <w:pPr>
      <w:ind w:left="6804"/>
    </w:pPr>
  </w:style>
  <w:style w:type="paragraph" w:styleId="cCorteseAttenzione" w:customStyle="1">
    <w:name w:val="cCorteseAttenzione"/>
    <w:basedOn w:val="Normale"/>
    <w:next w:val="cIndirizzo"/>
    <w:rsid w:val="00893C53"/>
    <w:pPr>
      <w:ind w:left="6804"/>
    </w:pPr>
    <w:rPr>
      <w:i/>
    </w:rPr>
  </w:style>
  <w:style w:type="paragraph" w:styleId="cRagioneSociale" w:customStyle="1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type="paragraph" w:styleId="cOggetto" w:customStyle="1">
    <w:name w:val="cOggetto"/>
    <w:basedOn w:val="Normale"/>
    <w:next w:val="Normale"/>
    <w:rsid w:val="00893C53"/>
    <w:pPr>
      <w:spacing w:before="480" w:after="360"/>
    </w:pPr>
  </w:style>
  <w:style w:type="paragraph" w:styleId="cElencoPuntato" w:customStyle="1">
    <w:name w:val="cElencoPuntato"/>
    <w:basedOn w:val="Normale"/>
    <w:rsid w:val="00893C53"/>
    <w:pPr>
      <w:numPr>
        <w:numId w:val="1"/>
      </w:numPr>
      <w:tabs>
        <w:tab w:val="clear" w:pos="720"/>
        <w:tab w:val="num" w:pos="360"/>
      </w:tabs>
      <w:ind w:left="360" w:hanging="180"/>
    </w:pPr>
  </w:style>
  <w:style w:type="paragraph" w:styleId="cElencoNumerato" w:customStyle="1">
    <w:name w:val="cElencoNumerato"/>
    <w:basedOn w:val="Normale"/>
    <w:rsid w:val="00893C53"/>
    <w:pPr>
      <w:numPr>
        <w:ilvl w:val="1"/>
        <w:numId w:val="1"/>
      </w:numPr>
      <w:tabs>
        <w:tab w:val="clear" w:pos="1440"/>
        <w:tab w:val="num" w:pos="360"/>
      </w:tabs>
      <w:ind w:left="360" w:hanging="180"/>
    </w:pPr>
  </w:style>
  <w:style w:type="paragraph" w:styleId="cSaluto" w:customStyle="1">
    <w:name w:val="cSaluto"/>
    <w:basedOn w:val="Normale"/>
    <w:next w:val="Normale"/>
    <w:rsid w:val="00DE103F"/>
    <w:pPr>
      <w:spacing w:after="120"/>
    </w:pPr>
    <w:rPr>
      <w:i/>
    </w:rPr>
  </w:style>
  <w:style w:type="paragraph" w:styleId="cFunzioneFirmatario" w:customStyle="1">
    <w:name w:val="cFunzioneFirmatario"/>
    <w:basedOn w:val="Normale"/>
    <w:next w:val="Normale"/>
    <w:rsid w:val="00D00B54"/>
    <w:pPr>
      <w:ind w:left="6804"/>
    </w:pPr>
    <w:rPr>
      <w:i/>
    </w:rPr>
  </w:style>
  <w:style w:type="paragraph" w:styleId="cFirmatario" w:customStyle="1">
    <w:name w:val="cFirmatario"/>
    <w:basedOn w:val="Normale"/>
    <w:next w:val="cFunzioneFirmatario"/>
    <w:rsid w:val="00D00B54"/>
    <w:pPr>
      <w:spacing w:before="480"/>
      <w:ind w:left="6804"/>
    </w:pPr>
  </w:style>
  <w:style w:type="table" w:styleId="Grigliatabella">
    <w:name w:val="Table Grid"/>
    <w:basedOn w:val="Tabellanormale"/>
    <w:rsid w:val="00B751D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umeropagina">
    <w:name w:val="page number"/>
    <w:basedOn w:val="Carpredefinitoparagrafo"/>
    <w:rsid w:val="00B751DC"/>
  </w:style>
  <w:style w:type="paragraph" w:styleId="Paragrafoelenco">
    <w:name w:val="List Paragraph"/>
    <w:basedOn w:val="Normale"/>
    <w:uiPriority w:val="34"/>
    <w:qFormat/>
    <w:rsid w:val="00CA6DE6"/>
    <w:pPr>
      <w:ind w:left="720"/>
      <w:contextualSpacing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type="character" w:styleId="Collegamentovisitato">
    <w:name w:val="FollowedHyperlink"/>
    <w:basedOn w:val="Carpredefinitoparagrafo"/>
    <w:rsid w:val="00F560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eramichegresmalt.sharepoint.com/sites/progettistartvolt/Documenti%20condivisi/S4.Attivit&#224;%20di%20R&amp;S%20-%20OR/1.Piano%20di%20Sviluppo%20Finale/START_Piano_di_Sviluppo_all4_integrato.pdf?CT=1689066917148&amp;OR=ItemsView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svgR1.svg"/><Relationship Id="rId20" Type="http://schemas.openxmlformats.org/officeDocument/2006/relationships/image" Target="media/image4.png"/><Relationship Id="rId21" Type="http://schemas.openxmlformats.org/officeDocument/2006/relationships/image" Target="media/svgR2.svg"/><Relationship Id="rId22" Type="http://schemas.openxmlformats.org/officeDocument/2006/relationships/image" Target="media/image5.png"/><Relationship Id="rId23" Type="http://schemas.openxmlformats.org/officeDocument/2006/relationships/image" Target="media/svgR3.svg"/><Relationship Id="rId24" Type="http://schemas.openxmlformats.org/officeDocument/2006/relationships/image" Target="media/image6.png"/><Relationship Id="rId25" Type="http://schemas.openxmlformats.org/officeDocument/2006/relationships/image" Target="media/svgR4.svg"/><Relationship Id="rId26" Type="http://schemas.openxmlformats.org/officeDocument/2006/relationships/image" Target="media/image7.png"/><Relationship Id="rId27" Type="http://schemas.openxmlformats.org/officeDocument/2006/relationships/image" Target="media/svgR5.svg"/><Relationship Id="rId28" Type="http://schemas.openxmlformats.org/officeDocument/2006/relationships/image" Target="media/image8.png"/><Relationship Id="rId29" Type="http://schemas.openxmlformats.org/officeDocument/2006/relationships/image" Target="media/svgR6.svg"/><Relationship Id="rId30" Type="http://schemas.openxmlformats.org/officeDocument/2006/relationships/image" Target="media/image9.png"/><Relationship Id="rId31" Type="http://schemas.openxmlformats.org/officeDocument/2006/relationships/image" Target="media/svgR7.svg"/><Relationship Id="rId32" Type="http://schemas.openxmlformats.org/officeDocument/2006/relationships/image" Target="media/image10.png"/><Relationship Id="rId33" Type="http://schemas.openxmlformats.org/officeDocument/2006/relationships/image" Target="media/svgR8.svg"/><Relationship Id="rId34" Type="http://schemas.openxmlformats.org/officeDocument/2006/relationships/image" Target="media/image11.png"/><Relationship Id="rId35" Type="http://schemas.openxmlformats.org/officeDocument/2006/relationships/image" Target="media/svgR9.svg"/><Relationship Id="rId36" Type="http://schemas.openxmlformats.org/officeDocument/2006/relationships/image" Target="media/image12.png"/><Relationship Id="rId37" Type="http://schemas.openxmlformats.org/officeDocument/2006/relationships/image" Target="media/svgR10.svg"/><Relationship Id="rId38" Type="http://schemas.openxmlformats.org/officeDocument/2006/relationships/image" Target="media/image13.png"/><Relationship Id="rId39" Type="http://schemas.openxmlformats.org/officeDocument/2006/relationships/image" Target="media/svgR11.svg"/><Relationship Id="rId40" Type="http://schemas.openxmlformats.org/officeDocument/2006/relationships/image" Target="media/image14.png"/><Relationship Id="rId41" Type="http://schemas.openxmlformats.org/officeDocument/2006/relationships/image" Target="media/svgR12.svg"/><Relationship Id="rId42" Type="http://schemas.openxmlformats.org/officeDocument/2006/relationships/image" Target="media/image15.png"/><Relationship Id="rId43" Type="http://schemas.openxmlformats.org/officeDocument/2006/relationships/image" Target="media/svgR13.svg"/><Relationship Id="rId44" Type="http://schemas.openxmlformats.org/officeDocument/2006/relationships/image" Target="media/image16.png"/><Relationship Id="rId45" Type="http://schemas.openxmlformats.org/officeDocument/2006/relationships/image" Target="media/svgR14.svg"/><Relationship Id="rId46" Type="http://schemas.openxmlformats.org/officeDocument/2006/relationships/image" Target="media/image17.png"/><Relationship Id="rId47" Type="http://schemas.openxmlformats.org/officeDocument/2006/relationships/image" Target="media/svgR15.svg"/><Relationship Id="rId48" Type="http://schemas.openxmlformats.org/officeDocument/2006/relationships/image" Target="media/image18.png"/><Relationship Id="rId49" Type="http://schemas.openxmlformats.org/officeDocument/2006/relationships/image" Target="media/svgR16.sv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C961CE0EB86C4BAF5FBA22B52F24DB" ma:contentTypeVersion="17" ma:contentTypeDescription="Creare un nuovo documento." ma:contentTypeScope="" ma:versionID="0a5f7229cbb106ba2abe7c95b092b442">
  <xsd:schema xmlns:xsd="http://www.w3.org/2001/XMLSchema" xmlns:xs="http://www.w3.org/2001/XMLSchema" xmlns:p="http://schemas.microsoft.com/office/2006/metadata/properties" xmlns:ns2="56f694ce-0d8d-4140-af7b-51105567e791" xmlns:ns3="ad955218-927d-446f-bd94-718ac5e6255c" targetNamespace="http://schemas.microsoft.com/office/2006/metadata/properties" ma:root="true" ma:fieldsID="5e0b6d1355d1909234ea1c3671f66232" ns2:_="" ns3:_="">
    <xsd:import namespace="56f694ce-0d8d-4140-af7b-51105567e791"/>
    <xsd:import namespace="ad955218-927d-446f-bd94-718ac5e625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694ce-0d8d-4140-af7b-51105567e7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Tag immagine" ma:readOnly="false" ma:fieldId="{5cf76f15-5ced-4ddc-b409-7134ff3c332f}" ma:taxonomyMulti="true" ma:sspId="a3126849-ed39-4324-a057-c3f9becfe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955218-927d-446f-bd94-718ac5e625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aca5ff2-35fa-4634-855e-35521b5f5a05}" ma:internalName="TaxCatchAll" ma:showField="CatchAllData" ma:web="ad955218-927d-446f-bd94-718ac5e625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f694ce-0d8d-4140-af7b-51105567e791">
      <Terms xmlns="http://schemas.microsoft.com/office/infopath/2007/PartnerControls"/>
    </lcf76f155ced4ddcb4097134ff3c332f>
    <TaxCatchAll xmlns="ad955218-927d-446f-bd94-718ac5e6255c" xsi:nil="true"/>
  </documentManagement>
</p:properties>
</file>

<file path=customXml/itemProps1.xml><?xml version="1.0" encoding="utf-8"?>
<ds:datastoreItem xmlns:ds="http://schemas.openxmlformats.org/officeDocument/2006/customXml" ds:itemID="{BB0AA0DE-F95E-48A6-A386-1FF17D0AB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A8B1E8-67FC-48F3-80DE-6E09F3797C2A}"/>
</file>

<file path=customXml/itemProps3.xml><?xml version="1.0" encoding="utf-8"?>
<ds:datastoreItem xmlns:ds="http://schemas.openxmlformats.org/officeDocument/2006/customXml" ds:itemID="{CC107ABC-960D-44AD-BFCA-9ECF2E8328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3B02D6-3A44-4F96-A66F-28D9C110DA91}">
  <ds:schemaRefs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ad955218-927d-446f-bd94-718ac5e6255c"/>
    <ds:schemaRef ds:uri="56f694ce-0d8d-4140-af7b-51105567e791"/>
    <ds:schemaRef ds:uri="http://www.w3.org/XML/1998/namespace"/>
    <ds:schemaRef ds:uri="http://purl.org/dc/terms/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 Sociale</dc:title>
  <dc:subject/>
  <dc:creator>Settembre Davide</dc:creator>
  <cp:keywords/>
  <dc:description/>
  <cp:lastModifiedBy>Luca Iattici</cp:lastModifiedBy>
  <cp:revision>81</cp:revision>
  <cp:lastPrinted>2018-04-19T13:54:00Z</cp:lastPrinted>
  <dcterms:created xsi:type="dcterms:W3CDTF">2018-04-19T13:56:00Z</dcterms:created>
  <dcterms:modified xsi:type="dcterms:W3CDTF">2025-09-25T14:00:07Z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0x0101000CC961CE0EB86C4BAF5FBA22B52F24DB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