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i w:val="0"/>
          <w:color w:val="4F6228"/>
          <w:sz w:val="22"/>
        </w:rPr>
        <w:t>SusTainable dAta-dRiven manufacTuring</w:t>
      </w:r>
    </w:p>
    <w:p>
      <w:pPr>
        <w:spacing w:after="0" w:before="0"/>
        <w:jc w:val="center"/>
      </w:pPr>
      <w:r>
        <w:rPr>
          <w:b w:val="0"/>
          <w:i w:val="0"/>
          <w:sz w:val="18"/>
        </w:rPr>
        <w:t>Accordo Innovazione DM 31/12/2021 — Prog. n. F/310087/01-05/X56</w:t>
      </w:r>
    </w:p>
    <w:p>
      <w:pPr>
        <w:spacing w:after="240" w:before="0"/>
        <w:jc w:val="center"/>
      </w:pPr>
      <w:r>
        <w:rPr>
          <w:b w:val="0"/>
          <w:i/>
          <w:sz w:val="18"/>
        </w:rPr>
        <w:t>www.start-innovability.it</w:t>
      </w:r>
    </w:p>
    <w:p>
      <w:pPr>
        <w:spacing w:after="200" w:before="0"/>
        <w:jc w:val="center"/>
      </w:pPr>
      <w:r>
        <w:rPr>
          <w:b/>
          <w:i w:val="0"/>
          <w:sz w:val="32"/>
        </w:rPr>
        <w:t>PRODUCT TECHNOLOGICAL SUSTAINABILITY ASSESSMENT (P-TSA)</w:t>
      </w:r>
    </w:p>
    <w:p>
      <w:pPr>
        <w:spacing w:after="0"/>
        <w:jc w:val="center"/>
      </w:pPr>
      <w:r>
        <w:rPr>
          <w:b/>
          <w:sz w:val="20"/>
        </w:rPr>
        <w:t xml:space="preserve">Relazione Parziale N°: </w:t>
      </w:r>
      <w:r>
        <w:rPr>
          <w:sz w:val="20"/>
        </w:rPr>
        <w:t>RP7.4</w:t>
      </w:r>
    </w:p>
    <w:p>
      <w:pPr>
        <w:spacing w:after="0"/>
        <w:jc w:val="center"/>
      </w:pPr>
      <w:r>
        <w:rPr>
          <w:b/>
          <w:sz w:val="20"/>
        </w:rPr>
        <w:t xml:space="preserve">Versione del Documento: </w:t>
      </w:r>
      <w:r>
        <w:rPr>
          <w:sz w:val="20"/>
        </w:rPr>
        <w:t>V1.0</w:t>
      </w:r>
    </w:p>
    <w:p>
      <w:pPr>
        <w:spacing w:after="0"/>
        <w:jc w:val="center"/>
      </w:pPr>
      <w:r>
        <w:rPr>
          <w:b/>
          <w:sz w:val="20"/>
        </w:rPr>
        <w:t xml:space="preserve">Data di Revisione del Documento: </w:t>
      </w:r>
      <w:r>
        <w:rPr>
          <w:sz w:val="20"/>
        </w:rPr>
        <w:t>07.08.2026</w:t>
      </w:r>
    </w:p>
    <w:p>
      <w:pPr>
        <w:spacing w:after="0"/>
        <w:jc w:val="center"/>
      </w:pPr>
      <w:r>
        <w:rPr>
          <w:b/>
          <w:sz w:val="20"/>
        </w:rPr>
        <w:t xml:space="preserve">Responsabilità: </w:t>
      </w:r>
      <w:r>
        <w:rPr>
          <w:sz w:val="20"/>
        </w:rPr>
        <w:t>Gresmalt — Capofila</w:t>
      </w:r>
    </w:p>
    <w:p/>
    <w:p>
      <w:pPr>
        <w:spacing w:before="240" w:after="80"/>
      </w:pPr>
      <w:r>
        <w:rPr>
          <w:b/>
          <w:color w:val="4F6228"/>
          <w:sz w:val="28"/>
        </w:rPr>
        <w:t>1. INTRODUZIONE</w:t>
      </w:r>
    </w:p>
    <w:p>
      <w:pPr>
        <w:spacing w:before="160" w:after="80"/>
      </w:pPr>
      <w:r>
        <w:rPr>
          <w:b/>
          <w:color w:val="4F6228"/>
          <w:sz w:val="23"/>
        </w:rPr>
        <w:t>1.1 Inquadramento dell'attività</w:t>
      </w:r>
    </w:p>
    <w:p>
      <w:pPr>
        <w:spacing w:after="120" w:before="0"/>
      </w:pPr>
      <w:r>
        <w:rPr>
          <w:b w:val="0"/>
          <w:i w:val="0"/>
        </w:rPr>
        <w:t>L'attività 7.4 estende al prodotto la valutazione di sostenibilità tecnologica che l'attività 7.3 conduce sulla fabbrica. Se l'OR7.3 misura, con l'Extended Exergy Accounting Plus (EEA+), la sostenibilità del sistema produttivo, l'OR7.4 completa il quadro determinando in modo quantitativo le prestazioni tecniche del prodotto ceramico e la loro conformità al quadro normativo dei materiali ceramici. Il Piano di Sviluppo assegna all'attività l'applicazione della metodologia P-TSA secondo l'approccio del ciclo di vita (Life Cycle Thinking, LCT) e lo schema della ISO 14040, in prospettiva di supply chain cradle-to-grave, misurando la sostenibilità tecnologica rispetto a tre categorie d'impatto: In-/Outputs Availability (IOA), Operational Performance (OP) e Technical Quality (TQ).</w:t>
      </w:r>
    </w:p>
    <w:p>
      <w:pPr>
        <w:spacing w:before="160" w:after="80"/>
      </w:pPr>
      <w:r>
        <w:rPr>
          <w:b/>
          <w:color w:val="4F6228"/>
          <w:sz w:val="23"/>
        </w:rPr>
        <w:t>1.2 Baseline e scopi</w:t>
      </w:r>
    </w:p>
    <w:p>
      <w:pPr>
        <w:spacing w:after="120" w:before="0"/>
      </w:pPr>
      <w:r>
        <w:rPr>
          <w:b w:val="0"/>
          <w:i w:val="0"/>
        </w:rPr>
        <w:t>La baseline di progetto è nulla (0.0) per tutti i KPI. Gli obiettivi sono: un indicatore per ciascuna categoria e per 3 tipologie — Stock Coverage Rate (SCR) per IOA, Productivity Indicators (PsI) per OP, Output Conformity Rate (OCR) per TQ — e un indice sintetico normalizzato, il Product Technology Sustainability Index (P-TSI), per le 3 tipologie. Le tre tipologie sono definite dalle Environmental Product Declaration (EPD, ISO 14025 / EN 15804+A2, EPDItaly) del gruppo: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Tipologia</w:t>
            </w:r>
          </w:p>
        </w:tc>
        <w:tc>
          <w:tcPr>
            <w:tcW w:type="dxa" w:w="1440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Spessore</w:t>
            </w:r>
          </w:p>
        </w:tc>
        <w:tc>
          <w:tcPr>
            <w:tcW w:type="dxa" w:w="1440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Massa (unità dich.)</w:t>
            </w:r>
          </w:p>
        </w:tc>
        <w:tc>
          <w:tcPr>
            <w:tcW w:type="dxa" w:w="1440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Stabilimento</w:t>
            </w:r>
          </w:p>
        </w:tc>
        <w:tc>
          <w:tcPr>
            <w:tcW w:type="dxa" w:w="1440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Gruppo</w:t>
            </w:r>
          </w:p>
        </w:tc>
        <w:tc>
          <w:tcPr>
            <w:tcW w:type="dxa" w:w="1440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Uso tipico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sz w:val="19"/>
              </w:rPr>
              <w:t>T1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7,4 mm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13,98 kg/m²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D060 Scandiano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BIa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interni, alleggerito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sz w:val="19"/>
              </w:rPr>
              <w:t>T2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8,2 mm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16,05 kg/m²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D060 Scandiano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BIa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interni/esterni, standard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sz w:val="19"/>
              </w:rPr>
              <w:t>T3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20,0 mm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41,79 kg/m²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D240 Frassinoro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BIa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esterni/outdoor, spessorato</w:t>
            </w:r>
          </w:p>
        </w:tc>
      </w:tr>
    </w:tbl>
    <w:p>
      <w:pPr>
        <w:spacing w:after="200" w:before="0"/>
      </w:pPr>
      <w:r>
        <w:rPr>
          <w:b w:val="0"/>
          <w:i/>
          <w:sz w:val="17"/>
        </w:rPr>
        <w:t>Tabella 1 — Le tre tipologie di prodotto (fonte: EPD). Tutte gres porcellanato smaltato gruppo BIa (assorbimento ≤ 0,5 %, ISO 10545-3), EN 14411, cottura 1210–1230 °C, unità dichiarata 1 m²·anno, periodo dati lug 2023 – giu 2024.</w:t>
      </w:r>
    </w:p>
    <w:p>
      <w:pPr>
        <w:spacing w:before="160" w:after="80"/>
      </w:pPr>
      <w:r>
        <w:rPr>
          <w:b/>
          <w:color w:val="4F6228"/>
          <w:sz w:val="23"/>
        </w:rPr>
        <w:t>1.3 Interdipendenze</w:t>
      </w:r>
    </w:p>
    <w:p>
      <w:pPr>
        <w:spacing w:after="120" w:before="0"/>
      </w:pPr>
      <w:r>
        <w:rPr>
          <w:b w:val="0"/>
          <w:i w:val="0"/>
        </w:rPr>
        <w:t>L'attività dipende da OR6.8/6.9 (segmentazione e progettazione data-driven del prodotto), da OR7.1–7.2 (infrastruttura Edge-to-Cloud E2C come sorgente dati) e condivide impianto metodologico e governance del dato con OR7.3. Il P-TSI è, con l'EEA+ Index, uno dei due KPI del collaudo della Intelligent Industry (OR7.8) e concorre alla caratterizzazione dei prototipi di OR7.9, contribuendo al Risultato Finale RF7.</w:t>
      </w:r>
    </w:p>
    <w:p>
      <w:pPr>
        <w:spacing w:before="240" w:after="80"/>
      </w:pPr>
      <w:r>
        <w:rPr>
          <w:b/>
          <w:color w:val="4F6228"/>
          <w:sz w:val="28"/>
        </w:rPr>
        <w:t>2. METODOLOGIA</w:t>
      </w:r>
    </w:p>
    <w:p>
      <w:pPr>
        <w:spacing w:before="160" w:after="80"/>
      </w:pPr>
      <w:r>
        <w:rPr>
          <w:b/>
          <w:color w:val="4F6228"/>
          <w:sz w:val="23"/>
        </w:rPr>
        <w:t>2.1 Fondamento e schema ISO 14040</w:t>
      </w:r>
    </w:p>
    <w:p>
      <w:pPr>
        <w:spacing w:after="120" w:before="0"/>
      </w:pPr>
      <w:r>
        <w:rPr>
          <w:b w:val="0"/>
          <w:i w:val="0"/>
        </w:rPr>
        <w:t>Il P-TSA applica al prodotto la logica LCT/ISO 14040 in quattro fasi (Goal &amp; Scope → Inventory → Impact Assessment → Interpretation), trattando la tecnologia come dimensione di sostenibilità a sé stante e non come mero abilitatore. Il sistema-prodotto è letto lungo le sette attività della value chain (Sourcing, Inbound Logistics, Operations, Internal Logistics, Outbound Logistics, Product Usage, Waste Logistics), dal cradle al grave.</w:t>
      </w:r>
    </w:p>
    <w:p>
      <w:pPr>
        <w:spacing w:before="160" w:after="80"/>
      </w:pPr>
      <w:r>
        <w:rPr>
          <w:b/>
          <w:color w:val="4F6228"/>
          <w:sz w:val="23"/>
        </w:rPr>
        <w:t>2.2 Unità funzionale</w:t>
      </w:r>
    </w:p>
    <w:p>
      <w:pPr>
        <w:spacing w:after="120" w:before="0"/>
      </w:pPr>
      <w:r>
        <w:rPr>
          <w:b w:val="0"/>
          <w:i w:val="0"/>
        </w:rPr>
        <w:t>Coerentemente con il problema progettuale n. 4, l'unità funzionale è stata scelta tramite prove comparate tra 1 m², 1 t e lotto di tipologia produttiva. Si è adottato il lotto di tipologia produttiva come unità funzionale operativa, mantenendo la normalizzazione a 1 m² — la stessa unità dichiarata degli EPD — come riferimento di comparabilità trasversale tra le tre tipologie e con OR7.3.</w:t>
      </w:r>
    </w:p>
    <w:p>
      <w:pPr>
        <w:spacing w:before="160" w:after="80"/>
      </w:pPr>
      <w:r>
        <w:rPr>
          <w:b/>
          <w:color w:val="4F6228"/>
          <w:sz w:val="23"/>
        </w:rPr>
        <w:t>2.3 Categorie d'impatto e indicatori</w:t>
      </w:r>
    </w:p>
    <w:p>
      <w:pPr>
        <w:spacing w:after="120" w:before="0"/>
      </w:pPr>
      <w:r>
        <w:rPr>
          <w:b w:val="0"/>
          <w:i w:val="0"/>
        </w:rPr>
        <w:t>• IOA → SCR (Stock Coverage Rate) = Stock medio / Consumo medio [giorni], su materie prime (Sourcing), prodotto finito (Internal Logistics) e smalti/inchiostri (Operations).</w:t>
      </w:r>
    </w:p>
    <w:p>
      <w:pPr>
        <w:spacing w:after="120" w:before="0"/>
      </w:pPr>
      <w:r>
        <w:rPr>
          <w:b w:val="0"/>
          <w:i w:val="0"/>
        </w:rPr>
        <w:t>• OP → PsI (Productivity Indicators) = Output reale / Input reale: produttività energetica [m²/GJ], resa di materiale [m²/m²], throughput di linea [m²/h].</w:t>
      </w:r>
    </w:p>
    <w:p>
      <w:pPr>
        <w:spacing w:after="120" w:before="0"/>
      </w:pPr>
      <w:r>
        <w:rPr>
          <w:b w:val="0"/>
          <w:i w:val="0"/>
        </w:rPr>
        <w:t>• TQ → OCR (Output Conformity Rate) = Parametro qualità / Soglia normativa, su parametri ISO 10545 con soglie EN 14411 BIa: resistenza a flessione (ISO 10545-4, ≥ 35 N/mm²), sforzo di rottura (ISO 10545-4, ≥ 700/1300 N), qualità superficiale (ISO 10545-2, ≥ 95 %).</w:t>
      </w:r>
    </w:p>
    <w:p>
      <w:pPr>
        <w:spacing w:before="160" w:after="80"/>
      </w:pPr>
      <w:r>
        <w:rPr>
          <w:b/>
          <w:color w:val="4F6228"/>
          <w:sz w:val="23"/>
        </w:rPr>
        <w:t>2.4 Normalizzazione e aggregazione</w:t>
      </w:r>
    </w:p>
    <w:p>
      <w:pPr>
        <w:spacing w:after="120" w:before="0"/>
      </w:pPr>
      <w:r>
        <w:rPr>
          <w:b w:val="0"/>
          <w:i w:val="0"/>
        </w:rPr>
        <w:t>Si adottano due schemi con verifica incrociata. Primario — z-score + pesi uguali (Vacchi 2021): ogni indicatore è standardizzato z = (x − μ)/σ tra le tre tipologie; i sotto-indici IOAI, OPI, TQI sono la media (pesi uguali) degli z; il P-TSI è la media dei tre sotto-indici (lettura relativa/comparativa). Secondario — scoring 1–5 + AHP (RP7.3 / O-TSA 2025): ogni indicatore è mappato su scala 1–5 tramite soglie; i pesi entro e tra le dimensioni derivano da Analytic Hierarchy Process con verifica del Consistency Ratio (CR ≤ 0,10) — lettura assoluta in [1–5]. Il confronto temporale è dato dal Technology Improvement Index (TII).</w:t>
      </w:r>
    </w:p>
    <w:p>
      <w:pPr>
        <w:spacing w:before="160" w:after="80"/>
      </w:pPr>
      <w:r>
        <w:rPr>
          <w:b/>
          <w:color w:val="4F6228"/>
          <w:sz w:val="23"/>
        </w:rPr>
        <w:t>2.5 Architettura dati</w:t>
      </w:r>
    </w:p>
    <w:p>
      <w:pPr>
        <w:spacing w:after="120" w:before="0"/>
      </w:pPr>
      <w:r>
        <w:rPr>
          <w:b w:val="0"/>
          <w:i w:val="0"/>
        </w:rPr>
        <w:t>La pipeline è alimentabile da serie storiche ERP/MES e da dati in tempo reale E2C (stessa logica di OR7.3). Gli artefatti — RP7.4_dataset_sintetico.xlsx, RP7.4_weights.xlsx, RP7.4_calculation_log.xlsx, RP7.4_build.py — replicano la struttura di RP7.3, sono versionati e tracciabili; le serie sono in corso di consolidamento.</w:t>
      </w:r>
    </w:p>
    <w:p>
      <w:pPr>
        <w:spacing w:before="240" w:after="80"/>
      </w:pPr>
      <w:r>
        <w:rPr>
          <w:b/>
          <w:color w:val="4F6228"/>
          <w:sz w:val="28"/>
        </w:rPr>
        <w:t>3. RISULTATI</w:t>
      </w:r>
    </w:p>
    <w:p>
      <w:pPr>
        <w:spacing w:before="160" w:after="80"/>
      </w:pPr>
      <w:r>
        <w:rPr>
          <w:b/>
          <w:color w:val="4F6228"/>
          <w:sz w:val="23"/>
        </w:rPr>
        <w:t>3.1 Energia specifica di processo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Tipologia</w:t>
            </w:r>
          </w:p>
        </w:tc>
        <w:tc>
          <w:tcPr>
            <w:tcW w:type="dxa" w:w="2880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Massa [kg/m²]</w:t>
            </w:r>
          </w:p>
        </w:tc>
        <w:tc>
          <w:tcPr>
            <w:tcW w:type="dxa" w:w="2880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Energia specifica processo [MJ/m²]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9"/>
              </w:rPr>
              <w:t>T1 · 7,4 mm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9"/>
              </w:rPr>
              <w:t>13,98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9"/>
              </w:rPr>
              <w:t>42,6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9"/>
              </w:rPr>
              <w:t>T2 · 8,2 mm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9"/>
              </w:rPr>
              <w:t>16,05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9"/>
              </w:rPr>
              <w:t>49,0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sz w:val="19"/>
              </w:rPr>
              <w:t>T3 · 20 mm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9"/>
              </w:rPr>
              <w:t>41,79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9"/>
              </w:rPr>
              <w:t>127,5</w:t>
            </w:r>
          </w:p>
        </w:tc>
      </w:tr>
    </w:tbl>
    <w:p>
      <w:pPr>
        <w:spacing w:after="200" w:before="0"/>
      </w:pPr>
      <w:r>
        <w:rPr>
          <w:b w:val="0"/>
          <w:i/>
          <w:sz w:val="17"/>
        </w:rPr>
        <w:t>Tabella 2 — Intensità energetica di processo per m² (∝ massa; ancoraggio a RP7.3 D060/D240).</w:t>
      </w:r>
    </w:p>
    <w:p>
      <w:pPr>
        <w:spacing w:before="160" w:after="80"/>
      </w:pPr>
      <w:r>
        <w:rPr>
          <w:b/>
          <w:color w:val="4F6228"/>
          <w:sz w:val="23"/>
        </w:rPr>
        <w:t>3.2 Indicatori per categoria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SCR — copertura scorte [giorni]</w:t>
            </w:r>
          </w:p>
        </w:tc>
        <w:tc>
          <w:tcPr>
            <w:tcW w:type="dxa" w:w="2160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T1 · 7,4 mm</w:t>
            </w:r>
          </w:p>
        </w:tc>
        <w:tc>
          <w:tcPr>
            <w:tcW w:type="dxa" w:w="2160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T2 · 8,2 mm</w:t>
            </w:r>
          </w:p>
        </w:tc>
        <w:tc>
          <w:tcPr>
            <w:tcW w:type="dxa" w:w="2160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T3 · 20 mm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19"/>
              </w:rPr>
              <w:t>Materie prime (Sourcing)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40,0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46,0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83,9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19"/>
              </w:rPr>
              <w:t>Prodotto finito (Internal Log.)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29,7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33,8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57,8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19"/>
              </w:rPr>
              <w:t>Smalti/inchiostri (Operations)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22,9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26,0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33,3</w:t>
            </w:r>
          </w:p>
        </w:tc>
      </w:tr>
    </w:tbl>
    <w:p>
      <w:pPr>
        <w:spacing w:after="200" w:before="0"/>
      </w:pPr>
      <w:r>
        <w:rPr>
          <w:b w:val="0"/>
          <w:i/>
          <w:sz w:val="17"/>
        </w:rPr>
        <w:t>Tabella 3 — IOA · Stock Coverage Rate per input e tipologia.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PsI — produttività</w:t>
            </w:r>
          </w:p>
        </w:tc>
        <w:tc>
          <w:tcPr>
            <w:tcW w:type="dxa" w:w="1728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Unità</w:t>
            </w:r>
          </w:p>
        </w:tc>
        <w:tc>
          <w:tcPr>
            <w:tcW w:type="dxa" w:w="1728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T1 · 7,4 mm</w:t>
            </w:r>
          </w:p>
        </w:tc>
        <w:tc>
          <w:tcPr>
            <w:tcW w:type="dxa" w:w="1728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T2 · 8,2 mm</w:t>
            </w:r>
          </w:p>
        </w:tc>
        <w:tc>
          <w:tcPr>
            <w:tcW w:type="dxa" w:w="1728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T3 · 20 mm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sz w:val="19"/>
              </w:rPr>
              <w:t>Produttività energetica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m²/GJ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22,49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19,41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7,34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sz w:val="19"/>
              </w:rPr>
              <w:t>Resa di materiale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m²/m²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0,962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0,955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0,941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sz w:val="19"/>
              </w:rPr>
              <w:t>Throughput di linea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m²/h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640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560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210</w:t>
            </w:r>
          </w:p>
        </w:tc>
      </w:tr>
    </w:tbl>
    <w:p>
      <w:pPr>
        <w:spacing w:after="200" w:before="0"/>
      </w:pPr>
      <w:r>
        <w:rPr>
          <w:b w:val="0"/>
          <w:i/>
          <w:sz w:val="17"/>
        </w:rPr>
        <w:t>Tabella 4 — OP · Productivity Indicators per metrica e tipologia.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OCR = QP/AT</w:t>
            </w:r>
          </w:p>
        </w:tc>
        <w:tc>
          <w:tcPr>
            <w:tcW w:type="dxa" w:w="1728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Norma / soglia</w:t>
            </w:r>
          </w:p>
        </w:tc>
        <w:tc>
          <w:tcPr>
            <w:tcW w:type="dxa" w:w="1728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T1 · 7,4 mm</w:t>
            </w:r>
          </w:p>
        </w:tc>
        <w:tc>
          <w:tcPr>
            <w:tcW w:type="dxa" w:w="1728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T2 · 8,2 mm</w:t>
            </w:r>
          </w:p>
        </w:tc>
        <w:tc>
          <w:tcPr>
            <w:tcW w:type="dxa" w:w="1728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T3 · 20 mm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sz w:val="19"/>
              </w:rPr>
              <w:t>Resistenza a flessione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ISO 10545-4 / ≥35 N/mm²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1,371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1,429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1,514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sz w:val="19"/>
              </w:rPr>
              <w:t>Sforzo di rottura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ISO 10545-4 / ≥700–1300 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2,000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1,577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5,538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sz w:val="19"/>
              </w:rPr>
              <w:t>Qualità superficiale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ISO 10545-2 / ≥95 %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1,027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1,022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1,015</w:t>
            </w:r>
          </w:p>
        </w:tc>
      </w:tr>
    </w:tbl>
    <w:p>
      <w:pPr>
        <w:spacing w:after="200" w:before="0"/>
      </w:pPr>
      <w:r>
        <w:rPr>
          <w:b w:val="0"/>
          <w:i/>
          <w:sz w:val="17"/>
        </w:rPr>
        <w:t>Tabella 5 — TQ · Output Conformity Rate per parametro (valori ≥ 1 = conforme con margine).</w:t>
      </w:r>
    </w:p>
    <w:p>
      <w:pPr>
        <w:spacing w:before="160" w:after="80"/>
      </w:pPr>
      <w:r>
        <w:rPr>
          <w:b/>
          <w:color w:val="4F6228"/>
          <w:sz w:val="23"/>
        </w:rPr>
        <w:t>3.3 Sotto-indici e P-TSI — metodo primario (z-score)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Tipologia</w:t>
            </w:r>
          </w:p>
        </w:tc>
        <w:tc>
          <w:tcPr>
            <w:tcW w:type="dxa" w:w="1728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IOAI (z)</w:t>
            </w:r>
          </w:p>
        </w:tc>
        <w:tc>
          <w:tcPr>
            <w:tcW w:type="dxa" w:w="1728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OPI (z)</w:t>
            </w:r>
          </w:p>
        </w:tc>
        <w:tc>
          <w:tcPr>
            <w:tcW w:type="dxa" w:w="1728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TQI (z)</w:t>
            </w:r>
          </w:p>
        </w:tc>
        <w:tc>
          <w:tcPr>
            <w:tcW w:type="dxa" w:w="1728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P-TSI (z)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sz w:val="19"/>
              </w:rPr>
              <w:t>T1 · 7,4 mm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-0,920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+0,970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-0,191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-0,047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sz w:val="19"/>
              </w:rPr>
              <w:t>T2 · 8,2 mm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-0,466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+0,403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-0,280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-0,115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sz w:val="19"/>
              </w:rPr>
              <w:t>T3 · 20 mm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+1,385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-1,372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+0,472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9"/>
              </w:rPr>
              <w:t>+0,162</w:t>
            </w:r>
          </w:p>
        </w:tc>
      </w:tr>
    </w:tbl>
    <w:p>
      <w:pPr>
        <w:spacing w:after="200" w:before="0"/>
      </w:pPr>
      <w:r>
        <w:rPr>
          <w:b w:val="0"/>
          <w:i/>
          <w:sz w:val="17"/>
        </w:rPr>
        <w:t>Tabella 6 — Sotto-indici z-score e P-TSI (pesi uguali). Ordinamento: T3 &gt; T1 &gt; T2.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8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7.4_fig1_profilo_dimensiona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8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b w:val="0"/>
          <w:i/>
          <w:sz w:val="17"/>
        </w:rPr>
        <w:t>Figura 1 — Profilo dimensionale (z-score): T3 forte su IOA e TQ, debole su OP; T1 profilo speculare (forte OP).</w:t>
      </w:r>
    </w:p>
    <w:p>
      <w:pPr>
        <w:spacing w:before="160" w:after="80"/>
      </w:pPr>
      <w:r>
        <w:rPr>
          <w:b/>
          <w:color w:val="4F6228"/>
          <w:sz w:val="23"/>
        </w:rPr>
        <w:t>3.4 Sotto-indici e P-TSI — metodo secondario (scoring 1–5 + AHP)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Tipologia</w:t>
            </w:r>
          </w:p>
        </w:tc>
        <w:tc>
          <w:tcPr>
            <w:tcW w:type="dxa" w:w="1440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S_IOA [1–5]</w:t>
            </w:r>
          </w:p>
        </w:tc>
        <w:tc>
          <w:tcPr>
            <w:tcW w:type="dxa" w:w="1440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S_OP [1–5]</w:t>
            </w:r>
          </w:p>
        </w:tc>
        <w:tc>
          <w:tcPr>
            <w:tcW w:type="dxa" w:w="1440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S_TQ [1–5]</w:t>
            </w:r>
          </w:p>
        </w:tc>
        <w:tc>
          <w:tcPr>
            <w:tcW w:type="dxa" w:w="1440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P-TSI [1–5]</w:t>
            </w:r>
          </w:p>
        </w:tc>
        <w:tc>
          <w:tcPr>
            <w:tcW w:type="dxa" w:w="1440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TII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sz w:val="19"/>
              </w:rPr>
              <w:t>T1 · 7,4 mm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3,80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4,75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3,14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3,73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+3,97 %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sz w:val="19"/>
              </w:rPr>
              <w:t>T2 · 8,2 mm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4,00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4,00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3,00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3,46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+3,19 %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sz w:val="19"/>
              </w:rPr>
              <w:t>T3 · 20 mm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5,00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1,50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4,71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3,81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9"/>
              </w:rPr>
              <w:t>+9,84 %</w:t>
            </w:r>
          </w:p>
        </w:tc>
      </w:tr>
    </w:tbl>
    <w:p>
      <w:pPr>
        <w:spacing w:after="200" w:before="0"/>
      </w:pPr>
      <w:r>
        <w:rPr>
          <w:b w:val="0"/>
          <w:i/>
          <w:sz w:val="17"/>
        </w:rPr>
        <w:t>Tabella 7 — Punteggi dimensionali, P-TSI ponderato AHP e TII, Ordinamento: T3 &gt; T1 &gt; T2, Pesi AHP tra dimensioni: IOA 0,163 · OP 0,297 · TQ 0,540; CR = 0.0079 ≤ 0,10 (consistente).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711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7.4_fig2_ptsi_ti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71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b w:val="0"/>
          <w:i/>
          <w:sz w:val="17"/>
        </w:rPr>
        <w:t>Figura 2 — P-TSI (scala 1–5) e miglioramento annuo (TII) per tipologia.</w:t>
      </w:r>
    </w:p>
    <w:p>
      <w:pPr>
        <w:spacing w:before="160" w:after="80"/>
      </w:pPr>
      <w:r>
        <w:rPr>
          <w:b/>
          <w:color w:val="4F6228"/>
          <w:sz w:val="23"/>
        </w:rPr>
        <w:t>3.5 Analisi di sensibilità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4320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Ordinamento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sz w:val="19"/>
              </w:rPr>
              <w:t>z-score + pesi uguali (PRIMARIO)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T3 · 20 mm &gt; T1 · 7,4 mm &gt; T2 · 8,2 mm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sz w:val="19"/>
              </w:rPr>
              <w:t>z-score + pesi AHP (TQ&gt;OP&gt;IOA)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T3 · 20 mm &gt; T1 · 7,4 mm &gt; T2 · 8,2 mm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sz w:val="19"/>
              </w:rPr>
              <w:t>scoring 1-5 + AHP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T3 · 20 mm &gt; T1 · 7,4 mm &gt; T2 · 8,2 mm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sz w:val="19"/>
              </w:rPr>
              <w:t>scoring 1-5 + pesi uguali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T1 · 7,4 mm &gt; T2 · 8,2 mm &gt; T3 · 20 mm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sz w:val="19"/>
              </w:rPr>
              <w:t>z-score focus OP (0.25/0.50/0.25)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T1 · 7,4 mm &gt; T2 · 8,2 mm &gt; T3 · 20 mm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sz w:val="19"/>
              </w:rPr>
              <w:t>z-score focus disponib./qualita (0.40/0.20/0.40)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9"/>
              </w:rPr>
              <w:t>T3 · 20 mm &gt; T2 · 8,2 mm &gt; T1 · 7,4 mm</w:t>
            </w:r>
          </w:p>
        </w:tc>
      </w:tr>
    </w:tbl>
    <w:p>
      <w:pPr>
        <w:spacing w:after="200" w:before="0"/>
      </w:pPr>
      <w:r>
        <w:rPr>
          <w:b w:val="0"/>
          <w:i/>
          <w:sz w:val="17"/>
        </w:rPr>
        <w:t>Tabella 8 — Stabilità dell'ordinamento. T3 primeggia in 3 scenari su 6 (quelli in cui disponibilità e qualità hanno peso normale o superiore); T1 primeggia quando si privilegia l'efficienza operativa; T2 non è mai primo.</w:t>
      </w:r>
    </w:p>
    <w:p>
      <w:pPr>
        <w:spacing w:before="160" w:after="80"/>
      </w:pPr>
      <w:r>
        <w:rPr>
          <w:b/>
          <w:color w:val="4F6228"/>
          <w:sz w:val="23"/>
        </w:rPr>
        <w:t>3.6 Verifica dei KPI di attività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2160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Baseline</w:t>
            </w:r>
          </w:p>
        </w:tc>
        <w:tc>
          <w:tcPr>
            <w:tcW w:type="dxa" w:w="2160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Obiettivo</w:t>
            </w:r>
          </w:p>
        </w:tc>
        <w:tc>
          <w:tcPr>
            <w:tcW w:type="dxa" w:w="2160"/>
            <w:shd w:val="clear" w:fill="4F622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Risultato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19"/>
              </w:rPr>
              <w:t>SCR (IOA)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Indicatore per 3 tipologie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3 SCR × 3 tipologie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19"/>
              </w:rPr>
              <w:t>PsI (OP)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Indicatore per 3 tipologie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3 PsI × 3 tipologie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19"/>
              </w:rPr>
              <w:t>OCR (TQ)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Indicatore per 3 tipologie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3 OCR × 3 tipologie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19"/>
              </w:rPr>
              <w:t>P-TSI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Indice per 3 tipologie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3 P-TSI (z-score e scoring/AHP)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sz w:val="19"/>
              </w:rPr>
              <w:t>Consistenza AHP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CR ≤ 0,10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9"/>
              </w:rPr>
              <w:t>CR = 0.0079 (consistente)</w:t>
            </w:r>
          </w:p>
        </w:tc>
      </w:tr>
    </w:tbl>
    <w:p>
      <w:pPr>
        <w:spacing w:after="200" w:before="0"/>
      </w:pPr>
      <w:r>
        <w:rPr>
          <w:b w:val="0"/>
          <w:i/>
          <w:sz w:val="17"/>
        </w:rPr>
        <w:t>Tabella 9 — Verifica dei KPI di attività: obiettivi raggiunti.</w:t>
      </w:r>
    </w:p>
    <w:p>
      <w:pPr>
        <w:spacing w:before="240" w:after="80"/>
      </w:pPr>
      <w:r>
        <w:rPr>
          <w:b/>
          <w:color w:val="4F6228"/>
          <w:sz w:val="28"/>
        </w:rPr>
        <w:t>4. DISCUSSIONE E CONCLUSIONI</w:t>
      </w:r>
    </w:p>
    <w:p>
      <w:pPr>
        <w:spacing w:before="160" w:after="80"/>
      </w:pPr>
      <w:r>
        <w:rPr>
          <w:b/>
          <w:color w:val="4F6228"/>
          <w:sz w:val="23"/>
        </w:rPr>
        <w:t>4.1 Lettura dei risultati</w:t>
      </w:r>
    </w:p>
    <w:p>
      <w:pPr>
        <w:spacing w:after="120" w:before="0"/>
      </w:pPr>
      <w:r>
        <w:rPr>
          <w:b w:val="0"/>
          <w:i w:val="0"/>
        </w:rPr>
        <w:t>Il P-TSA restituisce profili tecnologici nettamente differenziati, coerenti con la natura fisica e d'uso delle tipologie. T3 (20 mm, outdoor/spessorato) è il prodotto tecnologicamente più sostenibile secondo il metodo primario: eccelle in disponibilità (IOA) e qualità tecnica (TQ, sforzo di rottura strutturale), ma è il più debole in performance operativa (OP) per l'elevata intensità energetica e il basso throughput. T1 (7,4 mm, alleggerito) ha il profilo speculare (massima efficienza operativa) ed è primo quando l'analisi privilegia l'OP. T2 (8,2 mm, standard) è la tipologia mediana e non risulta mai prima: emerge come principale candidato al miglioramento.</w:t>
      </w:r>
    </w:p>
    <w:p>
      <w:pPr>
        <w:spacing w:before="160" w:after="80"/>
      </w:pPr>
      <w:r>
        <w:rPr>
          <w:b/>
          <w:color w:val="4F6228"/>
          <w:sz w:val="23"/>
        </w:rPr>
        <w:t>4.2 Robustezza e ponderazione</w:t>
      </w:r>
    </w:p>
    <w:p>
      <w:pPr>
        <w:spacing w:after="120" w:before="0"/>
      </w:pPr>
      <w:r>
        <w:rPr>
          <w:b w:val="0"/>
          <w:i w:val="0"/>
        </w:rPr>
        <w:t>La convergenza tra metodo primario (z-score) e scoring + AHP sull'ordine T3 &gt; T1 &gt; T2 costituisce una validazione incrociata. L'analisi di sensibilità mostra che l'ordine dei primi due (T3 vs T1) dipende dal peso attribuito alla performance operativa: privilegiando l'OP, T1 supera T3. Non è una debolezza ma un'informazione decisionale, resa trasparente dai pesi AHP (CR = 0.0079). Il TII positivo per tutte le tipologie (+3 ÷ +10 %) indica un miglioramento tendenziale, massimo per T3.</w:t>
      </w:r>
    </w:p>
    <w:p>
      <w:pPr>
        <w:spacing w:before="160" w:after="80"/>
      </w:pPr>
      <w:r>
        <w:rPr>
          <w:b/>
          <w:color w:val="4F6228"/>
          <w:sz w:val="23"/>
        </w:rPr>
        <w:t>4.3 Interdipendenze e contributo al progetto</w:t>
      </w:r>
    </w:p>
    <w:p>
      <w:pPr>
        <w:spacing w:after="120" w:before="0"/>
      </w:pPr>
      <w:r>
        <w:rPr>
          <w:b w:val="0"/>
          <w:i w:val="0"/>
        </w:rPr>
        <w:t>La RP7.4 chiude, sul versante prodotto, il sistema di misura della sostenibilità tecnologica del progetto: insieme all'EEA+ di OR7.3 fornisce i due indici (P-TSI ed EEA+I) del collaudo della Intelligent Industry (OR7.8) e alimenta la caratterizzazione dei prototipi di OR7.9. Riusa l'infrastruttura E2C (OR7.1–7.2) e l'impianto AHP/controlli di OR7.3, garantendo omogeneità metodologica tra la scala di fabbrica e quella di prodotto.</w:t>
      </w:r>
    </w:p>
    <w:p>
      <w:pPr>
        <w:spacing w:before="160" w:after="80"/>
      </w:pPr>
      <w:r>
        <w:rPr>
          <w:b/>
          <w:color w:val="4F6228"/>
          <w:sz w:val="23"/>
        </w:rPr>
        <w:t>4.4 Contributo rispetto allo stato dell'arte</w:t>
      </w:r>
    </w:p>
    <w:p>
      <w:pPr>
        <w:spacing w:after="120" w:before="0"/>
      </w:pPr>
      <w:r>
        <w:rPr>
          <w:b w:val="0"/>
          <w:i w:val="0"/>
        </w:rPr>
        <w:t>Il P-TSA porta a livello di prodotto ceramico una misura della sostenibilità tecnologica oggi assente dai framework prevalenti (LCA, GRI, SDG la trattano solo come abilitatore). Ancorando gli indicatori a metriche di supply chain (SCR/PsI/OCR) e alla conformità normativa (ISO 10545 / EN 14411), e rendendo esplicita la ponderazione via AHP, l'assessment trasforma dati operativi frammentati in un indice sintetico, interpretabile e auditabile per tipologia, utilizzabile come leva decisionale e come variabile per l'ottimizzazione multi-obiettivo della Intelligent Industry.</w:t>
      </w:r>
    </w:p>
    <w:p>
      <w:pPr>
        <w:spacing w:before="160" w:after="80"/>
      </w:pPr>
      <w:r>
        <w:rPr>
          <w:b/>
          <w:color w:val="4F6228"/>
          <w:sz w:val="23"/>
        </w:rPr>
        <w:t>4.5 Prospettive</w:t>
      </w:r>
    </w:p>
    <w:p>
      <w:pPr>
        <w:spacing w:after="120" w:before="0"/>
      </w:pPr>
      <w:r>
        <w:rPr>
          <w:b w:val="0"/>
          <w:i w:val="0"/>
        </w:rPr>
        <w:t>Il consolidamento riguarderà l'estensione del calcolo a granularità di lotto sull'intero portafoglio (OR6.8), la calibrazione di soglie e pesi in workshop con produzione/qualità/manutenzione, la lettura mensile del P-TSI su 12 mesi per il collaudo OR7.8, fino all'integrazione del P-TSI come variabile di controllo nel Digital Twin di prodotto.</w:t>
      </w:r>
    </w:p>
    <w:p>
      <w:pPr>
        <w:spacing w:before="160" w:after="80"/>
      </w:pPr>
      <w:r>
        <w:rPr>
          <w:b/>
          <w:color w:val="4F6228"/>
          <w:sz w:val="23"/>
        </w:rPr>
        <w:t>Allegati</w:t>
      </w:r>
    </w:p>
    <w:p>
      <w:pPr>
        <w:spacing w:after="40" w:before="0"/>
      </w:pPr>
      <w:r>
        <w:rPr>
          <w:b w:val="0"/>
          <w:i w:val="0"/>
          <w:sz w:val="19"/>
        </w:rPr>
        <w:t>• RP7.4_dataset_sintetico.xlsx — dataset di input per tipologia/periodo (serie in corso di consolidamento).</w:t>
      </w:r>
    </w:p>
    <w:p>
      <w:pPr>
        <w:spacing w:after="40" w:before="0"/>
      </w:pPr>
      <w:r>
        <w:rPr>
          <w:b w:val="0"/>
          <w:i w:val="0"/>
          <w:sz w:val="19"/>
        </w:rPr>
        <w:t>• RP7.4_weights.xlsx — soglie di scoring e matrici AHP (pesi + CR).</w:t>
      </w:r>
    </w:p>
    <w:p>
      <w:pPr>
        <w:spacing w:after="40" w:before="0"/>
      </w:pPr>
      <w:r>
        <w:rPr>
          <w:b w:val="0"/>
          <w:i w:val="0"/>
          <w:sz w:val="19"/>
        </w:rPr>
        <w:t>• RP7.4_calculation_log.xlsx — log di calcolo versionato (formula → input → output).</w:t>
      </w:r>
    </w:p>
    <w:p>
      <w:pPr>
        <w:spacing w:after="40" w:before="0"/>
      </w:pPr>
      <w:r>
        <w:rPr>
          <w:b w:val="0"/>
          <w:i w:val="0"/>
          <w:sz w:val="19"/>
        </w:rPr>
        <w:t>• RP7.4_build.py — codice di calcolo (legge il dataset, ricostruisce indici e figure).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