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val="0"/>
          <w:color w:val="183128"/>
          <w:sz w:val="46"/>
        </w:rPr>
        <w:t>G-Plane Executive Brief</w:t>
      </w:r>
    </w:p>
    <w:p>
      <w:pPr>
        <w:jc w:val="center"/>
      </w:pPr>
      <w:r>
        <w:rPr>
          <w:rFonts w:ascii="Georgia" w:hAnsi="Georgia"/>
          <w:i/>
          <w:color w:val="53605A"/>
          <w:sz w:val="22"/>
        </w:rPr>
        <w:t>Why autonomous action needs runtime authority before consequence</w:t>
      </w:r>
    </w:p>
    <w:p>
      <w:pPr>
        <w:jc w:val="center"/>
      </w:pPr>
      <w:r>
        <w:rPr>
          <w:rFonts w:ascii="Georgia" w:hAnsi="Georgia"/>
          <w:sz w:val="20"/>
        </w:rPr>
        <w:t>J. D. "Pepper" Petersen</w:t>
        <w:br/>
        <w:t>Aristotle Agentic</w:t>
        <w:br/>
        <w:t>June 2026</w:t>
      </w:r>
    </w:p>
    <w:p>
      <w:pPr>
        <w:pStyle w:val="Heading1"/>
      </w:pPr>
      <w:r>
        <w:t>The Claim</w:t>
      </w:r>
    </w:p>
    <w:p>
      <w:r>
        <w:t>The next problem in AI governance is not only model behavior. It is autonomous action. When systems can call tools, move money, change infrastructure, control robots, or coordinate agents, governance must bind before consequence.</w:t>
      </w:r>
    </w:p>
    <w:p>
      <w:r>
        <w:t>G-Plane is a runtime governance architecture for that problem. Its central rule is plain: before autonomous power acts, it must show legitimate, bounded, current authority. Power must show its Warrant.</w:t>
      </w:r>
    </w:p>
    <w:p>
      <w:pPr>
        <w:pStyle w:val="Heading1"/>
      </w:pPr>
      <w:r>
        <w:t>Why It Matters Now</w:t>
      </w:r>
    </w:p>
    <w:p>
      <w:r>
        <w:t>The field is converging on runtime governance. NIST supplies broad trustworthiness and critical-infrastructure risk framing. Faramesh and similar systems enforce tool-call policy and audit trails. LangChain supports human interruption of tool calls. Research systems increasingly focus on execution paths, semantic telemetry, continuous authorization, conformance, drift detection, and containment.</w:t>
      </w:r>
    </w:p>
    <w:p>
      <w:r>
        <w:t>G-Plane belongs in that lane, but its distinctive contribution is constitutional authority: Wards for protected context, Warrants for action-bound authority, Commit Gates for execution-boundary admissibility, Physical Invariant Gaters for hard physical consequence, and Governance Evidence Ledgers for reconstructable institutional memory.</w:t>
      </w:r>
    </w:p>
    <w:p>
      <w:pPr>
        <w:pStyle w:val="Heading1"/>
      </w:pPr>
      <w:r>
        <w:t>What Must Be Built</w:t>
      </w:r>
    </w:p>
    <w:p>
      <w:r>
        <w:t>The immediate next step is not another manifesto. It is a reference implementation and test harness. A narrow demo should prove that a Warrant can be issued, validated, refused, revoked, recorded, and reconstructed in one consequential domain.</w:t>
      </w:r>
    </w:p>
    <w:p>
      <w:r>
        <w:t>Best first domain: simulated drone or robotics coordination under intermittent connectivity. It demonstrates Wards, local Authority Domains, delegated mission scope, action Warrants, Commit Gates, physical invariants, revocation, degraded operation, and post-run evidence review.</w:t>
      </w:r>
    </w:p>
    <w:p>
      <w:pPr>
        <w:pStyle w:val="Heading1"/>
      </w:pPr>
      <w:r>
        <w:t>Decision Standard</w:t>
      </w:r>
    </w:p>
    <w:p>
      <w:r>
        <w:t>Treat G-Plane as a serious candidate architecture, not a finished standard. It becomes commercially and academically stronger when converted into schemas, state machines, threat models, comparison matrices, and working code.</w:t>
      </w:r>
    </w:p>
    <w:tbl>
      <w:tblPr>
        <w:tblStyle w:val="TableGrid"/>
        <w:tblW w:type="auto" w:w="0"/>
        <w:jc w:val="center"/>
        <w:tblLook w:firstColumn="1" w:firstRow="1" w:lastColumn="0" w:lastRow="0" w:noHBand="0" w:noVBand="1" w:val="04A0"/>
      </w:tblPr>
      <w:tblGrid>
        <w:gridCol w:w="4939"/>
        <w:gridCol w:w="4939"/>
      </w:tblGrid>
      <w:tr>
        <w:tc>
          <w:tcPr>
            <w:tcW w:type="dxa" w:w="4939"/>
            <w:shd w:fill="E7E7E7"/>
            <w:vAlign w:val="top"/>
          </w:tcPr>
          <w:p>
            <w:r>
              <w:rPr>
                <w:color w:val="000000"/>
              </w:rPr>
            </w:r>
            <w:r>
              <w:rPr>
                <w:rFonts w:ascii="Times New Roman" w:hAnsi="Times New Roman"/>
                <w:b/>
                <w:color w:val="000000"/>
                <w:sz w:val="14"/>
              </w:rPr>
              <w:t>Question</w:t>
            </w:r>
          </w:p>
        </w:tc>
        <w:tc>
          <w:tcPr>
            <w:tcW w:type="dxa" w:w="4939"/>
            <w:shd w:fill="E7E7E7"/>
            <w:vAlign w:val="top"/>
          </w:tcPr>
          <w:p>
            <w:r>
              <w:rPr>
                <w:color w:val="000000"/>
              </w:rPr>
            </w:r>
            <w:r>
              <w:rPr>
                <w:rFonts w:ascii="Times New Roman" w:hAnsi="Times New Roman"/>
                <w:b/>
                <w:color w:val="000000"/>
                <w:sz w:val="14"/>
              </w:rPr>
              <w:t>Executive Answer</w:t>
            </w:r>
          </w:p>
        </w:tc>
      </w:tr>
      <w:tr>
        <w:tc>
          <w:tcPr>
            <w:tcW w:type="dxa" w:w="4939"/>
            <w:vAlign w:val="top"/>
          </w:tcPr>
          <w:p>
            <w:r/>
            <w:r>
              <w:rPr>
                <w:rFonts w:ascii="Times New Roman" w:hAnsi="Times New Roman"/>
                <w:b w:val="0"/>
                <w:sz w:val="14"/>
              </w:rPr>
              <w:t>Is it just AI-governance prose?</w:t>
            </w:r>
          </w:p>
        </w:tc>
        <w:tc>
          <w:tcPr>
            <w:tcW w:type="dxa" w:w="4939"/>
            <w:vAlign w:val="top"/>
          </w:tcPr>
          <w:p>
            <w:r/>
            <w:r>
              <w:rPr>
                <w:rFonts w:ascii="Times New Roman" w:hAnsi="Times New Roman"/>
                <w:b w:val="0"/>
                <w:sz w:val="14"/>
              </w:rPr>
              <w:t>No. The primitives form a coherent legitimacy-to-execution stack.</w:t>
            </w:r>
          </w:p>
        </w:tc>
      </w:tr>
      <w:tr>
        <w:tc>
          <w:tcPr>
            <w:tcW w:type="dxa" w:w="4939"/>
            <w:vAlign w:val="top"/>
          </w:tcPr>
          <w:p>
            <w:r/>
            <w:r>
              <w:rPr>
                <w:rFonts w:ascii="Times New Roman" w:hAnsi="Times New Roman"/>
                <w:b w:val="0"/>
                <w:sz w:val="14"/>
              </w:rPr>
              <w:t>Is it validated?</w:t>
            </w:r>
          </w:p>
        </w:tc>
        <w:tc>
          <w:tcPr>
            <w:tcW w:type="dxa" w:w="4939"/>
            <w:vAlign w:val="top"/>
          </w:tcPr>
          <w:p>
            <w:r/>
            <w:r>
              <w:rPr>
                <w:rFonts w:ascii="Times New Roman" w:hAnsi="Times New Roman"/>
                <w:b w:val="0"/>
                <w:sz w:val="14"/>
              </w:rPr>
              <w:t>Not yet. It needs implementation and tests.</w:t>
            </w:r>
          </w:p>
        </w:tc>
      </w:tr>
      <w:tr>
        <w:tc>
          <w:tcPr>
            <w:tcW w:type="dxa" w:w="4939"/>
            <w:vAlign w:val="top"/>
          </w:tcPr>
          <w:p>
            <w:r/>
            <w:r>
              <w:rPr>
                <w:rFonts w:ascii="Times New Roman" w:hAnsi="Times New Roman"/>
                <w:b w:val="0"/>
                <w:sz w:val="14"/>
              </w:rPr>
              <w:t>What is novel?</w:t>
            </w:r>
          </w:p>
        </w:tc>
        <w:tc>
          <w:tcPr>
            <w:tcW w:type="dxa" w:w="4939"/>
            <w:vAlign w:val="top"/>
          </w:tcPr>
          <w:p>
            <w:r/>
            <w:r>
              <w:rPr>
                <w:rFonts w:ascii="Times New Roman" w:hAnsi="Times New Roman"/>
                <w:b w:val="0"/>
                <w:sz w:val="14"/>
              </w:rPr>
              <w:t>The Ward/Warrant/Commit Gate/GEL framing around constitutional authority and consequence.</w:t>
            </w:r>
          </w:p>
        </w:tc>
      </w:tr>
      <w:tr>
        <w:tc>
          <w:tcPr>
            <w:tcW w:type="dxa" w:w="4939"/>
            <w:vAlign w:val="top"/>
          </w:tcPr>
          <w:p>
            <w:r/>
            <w:r>
              <w:rPr>
                <w:rFonts w:ascii="Times New Roman" w:hAnsi="Times New Roman"/>
                <w:b w:val="0"/>
                <w:sz w:val="14"/>
              </w:rPr>
              <w:t>What should ship next?</w:t>
            </w:r>
          </w:p>
        </w:tc>
        <w:tc>
          <w:tcPr>
            <w:tcW w:type="dxa" w:w="4939"/>
            <w:vAlign w:val="top"/>
          </w:tcPr>
          <w:p>
            <w:r/>
            <w:r>
              <w:rPr>
                <w:rFonts w:ascii="Times New Roman" w:hAnsi="Times New Roman"/>
                <w:b w:val="0"/>
                <w:sz w:val="14"/>
              </w:rPr>
              <w:t>A 1-domain demo, primitive schemas, test cases, and evidence viewer.</w:t>
            </w:r>
          </w:p>
        </w:tc>
      </w:tr>
    </w:tbl>
    <w:p/>
    <w:sectPr w:rsidR="00FC693F" w:rsidRPr="0006063C" w:rsidSect="00034616">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Georgia" w:hAnsi="Georgia"/>
      <w:b/>
      <w:bCs/>
      <w:color w:val="1831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355B4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8312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G-Plane Executive Brief</dc:title>
  <dc:subject/>
  <dc:creator>J. D. "Pepper" Petersen</dc:creator>
  <cp:keywords/>
  <dc:description>generated by python-docx</dc:description>
  <cp:lastModifiedBy/>
  <cp:revision>1</cp:revision>
  <dcterms:created xsi:type="dcterms:W3CDTF">2013-12-23T23:15:00Z</dcterms:created>
  <dcterms:modified xsi:type="dcterms:W3CDTF">2013-12-23T23:15:00Z</dcterms:modified>
  <cp:category/>
</cp:coreProperties>
</file>