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Pr>
          <w:kern w:val="48"/>
        </w:rPr>
        <w:t>GuardReady, a Zero Trust Web System for Tracking Security Guard Credentials and Deployment Readiness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Pr>
          <w:sz w:val="18"/>
          <w:szCs w:val="18"/>
        </w:rPr>
        <w:t>Henrich Lumanas</w:t>
      </w:r>
      <w:r>
        <w:rPr>
          <w:i/>
          <w:iCs/>
          <w:sz w:val="18"/>
          <w:szCs w:val="18"/>
        </w:rPr>
        <w:br/>
        <w:t>[Department]</w:t>
      </w:r>
      <w:r>
        <w:rPr>
          <w:i/>
          <w:iCs/>
          <w:sz w:val="18"/>
          <w:szCs w:val="18"/>
        </w:rPr>
        <w:br/>
        <w:t>Mapúa Malayan Colleges Mindanao</w:t>
      </w:r>
      <w:r>
        <w:rPr>
          <w:sz w:val="18"/>
          <w:szCs w:val="18"/>
        </w:rPr>
        <w:br/>
        <w:t>Davao City, Philippines</w:t>
      </w:r>
      <w:r>
        <w:rPr>
          <w:sz w:val="18"/>
          <w:szCs w:val="18"/>
        </w:rPr>
        <w:br/>
        <w:t>[email]</w:t>
      </w:r>
      <w:r>
        <w:rPr>
          <w:sz w:val="18"/>
          <w:szCs w:val="18"/>
        </w:rPr>
        <w:br w:type="column"/>
        <w:t>[Groupmate name]</w:t>
      </w:r>
      <w:r>
        <w:rPr>
          <w:i/>
          <w:iCs/>
          <w:sz w:val="18"/>
          <w:szCs w:val="18"/>
        </w:rPr>
        <w:br/>
        <w:t>[Department]</w:t>
      </w:r>
      <w:r>
        <w:rPr>
          <w:i/>
          <w:iCs/>
          <w:sz w:val="18"/>
          <w:szCs w:val="18"/>
        </w:rPr>
        <w:br/>
        <w:t>Mapúa Malayan Colleges Mindanao</w:t>
      </w:r>
      <w:r>
        <w:rPr>
          <w:sz w:val="18"/>
          <w:szCs w:val="18"/>
        </w:rPr>
        <w:br/>
        <w:t>Davao City, Philippines</w:t>
      </w:r>
      <w:r>
        <w:rPr>
          <w:sz w:val="18"/>
          <w:szCs w:val="18"/>
        </w:rPr>
        <w:br/>
        <w:t>[email]</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2"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t>A security guard in the Philippines needs a valid license to work, and each guard has other papers, such as clearances and medical tests, that expire on their own dates. When these papers are kept in folders or in one shared spreadsheet, an expired paper can be missed, and every user can read private records. We built GuardReady, a web system that tracks six papers for each guard, shows whether the guard is cleared, expiring soon or not cleared, and gives notices 60, 30, 14, 7 and 1 days before a paper expires. It refuses to post a guard whose papers are missing or expired, and it logs every refusal. We built it in Python with the Django framework and an object-oriented design that uses abstract base classes, inheritance, polymorphism and encapsulation. Following zero trust ideas, every page checks the user’s permission, sensitive details need the password again, idle sessions end, and an append-only audit log keeps every view, change and refusal. Our automated test suite has 247 tests, and all of them pass. They cover the readiness rules, refused access and its log entries, append-only records, and reports that hide sensitive data.</w:t>
      </w:r>
    </w:p>
    <w:p w14:paraId="58B10678" w14:textId="77777777" w:rsidR="009303D9" w:rsidRPr="004D72B5" w:rsidRDefault="004D72B5" w:rsidP="00972203">
      <w:pPr>
        <w:pStyle w:val="Keywords"/>
      </w:pPr>
      <w:r w:rsidRPr="004D72B5">
        <w:t>Keywords—</w:t>
      </w:r>
      <w:r>
        <w:t>credential tracking, deployment readiness, object-oriented programming, zero trust, data privacy, Django</w:t>
      </w:r>
    </w:p>
    <w:p>
      <w:pPr>
        <w:pStyle w:val="Heading1"/>
      </w:pPr>
      <w:r>
        <w:t>Introduction</w:t>
      </w:r>
    </w:p>
    <w:p>
      <w:pPr>
        <w:pStyle w:val="Heading2"/>
      </w:pPr>
      <w:r>
        <w:t>Background</w:t>
      </w:r>
    </w:p>
    <w:p>
      <w:pPr>
        <w:pStyle w:val="BodyText"/>
      </w:pPr>
      <w:r>
        <w:t>In the Philippines, the private security industry is regulated by Republic Act (RA) No. 11917, the Private Security Services Industry Act, which lapsed into law on July 30, 2022 and repealed RA No. 5487 [1]. Under this law, the Chief of the Philippine National Police (PNP) issues two key permits. A License to Exercise Security Profession (LESP) recognizes a person as qualified to work as a security professional, and a License to Operate (LTO) allows an agency to employ and deploy security guards [1]. The LESP is valid for five years from the date it was issued, and the LTO is valid for a maximum of five years [1]. The law also requires that the training for an LESP be authorized by the Supervisory Office for Security and Investigation Agency (SOSIA) [1]. A person who works as a security professional without a valid license, or with only an expired one, can be fined from 50,000 to 100,000 pesos [1].</w:t>
      </w:r>
    </w:p>
    <w:p>
      <w:pPr>
        <w:pStyle w:val="BodyText"/>
      </w:pPr>
      <w:r>
        <w:t>Besides the LESP, GuardReady tracks five other papers for each guard: the National Bureau of Investigation (NBI) clearance, the police clearance, a drug test, a neuro-psychiatric exam and the Basic Security Guard Course certificate. Each of the six papers expires on its own date.</w:t>
      </w:r>
    </w:p>
    <w:p>
      <w:pPr>
        <w:pStyle w:val="Heading2"/>
      </w:pPr>
      <w:r>
        <w:t>Problem Statement</w:t>
      </w:r>
    </w:p>
    <w:p>
      <w:pPr>
        <w:pStyle w:val="BodyText"/>
      </w:pPr>
      <w:r>
        <w:t>When these papers are kept in paper folders or in one shared Excel file, it is easy to miss an expiry date, and an expired paper may only be found during an inspection or after a client complains. A guard management software vendor notes that many security companies still manage credentials with spreadsheets and folders, which it calls error-prone and says makes it easy to miss expirations [2]. Research on spreadsheets has also found that spreadsheet errors are common and non-trivial [3].</w:t>
      </w:r>
    </w:p>
    <w:p>
      <w:pPr>
        <w:pStyle w:val="BodyText"/>
      </w:pPr>
      <w:r>
        <w:t>A shared file causes a second problem. Everyone who can open it can read every guard’s health results, home address and government numbers, and the file does not show who opened what. The Data Privacy Act of 2012, RA No. 10173, counts information about a person’s health and numbers issued by government agencies, such as social security numbers, as sensitive personal information [4].</w:t>
      </w:r>
    </w:p>
    <w:p>
      <w:pPr>
        <w:pStyle w:val="Heading2"/>
      </w:pPr>
      <w:r>
        <w:t>Objectives</w:t>
      </w:r>
    </w:p>
    <w:p>
      <w:pPr>
        <w:pStyle w:val="BodyText"/>
      </w:pPr>
      <w:r>
        <w:t>Our general objective is to build a web system that shows which guards can be posted, and why. Our specific objectives are:</w:t>
      </w:r>
    </w:p>
    <w:p>
      <w:pPr>
        <w:pStyle w:val="bulletlist"/>
      </w:pPr>
      <w:r>
        <w:t>to keep one record per guard with all six papers and work out each guard’s readiness;</w:t>
      </w:r>
    </w:p>
    <w:p>
      <w:pPr>
        <w:pStyle w:val="bulletlist"/>
      </w:pPr>
      <w:r>
        <w:t>to warn human resources (HR) staff before a paper expires, and to refuse to post a guard who is not ready;</w:t>
      </w:r>
    </w:p>
    <w:p>
      <w:pPr>
        <w:pStyle w:val="bulletlist"/>
      </w:pPr>
      <w:r>
        <w:t>to apply zero trust ideas, namely a permission check on every page, a second password check for sensitive records, an idle timeout and an append-only audit log; and</w:t>
      </w:r>
    </w:p>
    <w:p>
      <w:pPr>
        <w:pStyle w:val="bulletlist"/>
      </w:pPr>
      <w:r>
        <w:t>to design the system with object-oriented programming (OOP) and to test it with automated tests.</w:t>
      </w:r>
    </w:p>
    <w:p>
      <w:pPr>
        <w:pStyle w:val="Heading2"/>
      </w:pPr>
      <w:r>
        <w:t>Scope and Limitations</w:t>
      </w:r>
    </w:p>
    <w:p>
      <w:pPr>
        <w:pStyle w:val="BodyText"/>
      </w:pPr>
      <w:r>
        <w:t>GuardReady has two roles, Admin/HR and Guard. It covers credential tracking with expiry notices, guard history, guard reports, compliance reports, complete guard records, employment status, security alerts and the agency’s own LTO. It uses SQLite as its database. It has no email or Short Message Service (SMS) reminders, no upload of scanned papers, no account management screens, no application programming interface (API) for other systems and no background workers, so the daily expiry check must be started by a scheduler, such as Windows Task Scheduler, or by hand. Some values are placeholders that we still need to confirm with the agency and SOSIA: the validity periods of the two clearances, the neuro-psychiatric exam and the training certificate, the guard types, the employment status reasons, and the limits used by the security alerts. All names and records in our demo data are made up.</w:t>
      </w:r>
    </w:p>
    <w:p>
      <w:pPr>
        <w:pStyle w:val="Heading2"/>
      </w:pPr>
      <w:r>
        <w:t>Link to the Sustainable Development Goals</w:t>
      </w:r>
    </w:p>
    <w:p>
      <w:pPr>
        <w:pStyle w:val="BodyText"/>
      </w:pPr>
      <w:r>
        <w:t>GuardReady mainly supports Sustainable Development Goal (SDG) 8 of the United Nations, which is to promote sustained, inclusive and sustainable economic growth, full and productive employment and decent work for all [5]. When papers are renewed on time, guards can stay posted and keep working. We use SDG 16 only for accountability and privacy. Its target 16.6 is to develop effective, accountable and transparent institutions at all levels, and target 16.10 includes protecting fundamental freedoms in line with national laws [6]. Our audit log supports accountability, and our privacy rules limit who can see sensitive data. We do not claim that GuardReady prevents crime.</w:t>
      </w:r>
    </w:p>
    <w:p>
      <w:pPr>
        <w:pStyle w:val="Heading1"/>
      </w:pPr>
      <w:r>
        <w:t>Review of Related Literature</w:t>
      </w:r>
    </w:p>
    <w:p>
      <w:pPr>
        <w:pStyle w:val="Heading2"/>
      </w:pPr>
      <w:r>
        <w:t>Zero Trust and Access Control</w:t>
      </w:r>
    </w:p>
    <w:p>
      <w:pPr>
        <w:pStyle w:val="BodyText"/>
      </w:pPr>
      <w:r>
        <w:t>The National Institute of Standards and Technology (NIST) describes zero trust as a cybersecurity paradigm focused on resource protection [7]. It assumes that no implicit trust is granted to assets or user accounts based only on their network location or on who owns them [7]. Its tenets include granting access to each resource on a per-session basis, making all authentication and authorization dynamic and strictly enforced before access is allowed, and collecting as much information as possible about the current state of the system to improve its security [7].</w:t>
      </w:r>
    </w:p>
    <w:p>
      <w:pPr>
        <w:pStyle w:val="BodyText"/>
      </w:pPr>
      <w:r>
        <w:t>Zero trust still needs a way to decide who may do what. Ferraiolo and Kuhn described role-based access control (RBAC), in which access control decisions are often determined by the roles that users take on in an organization, and users cannot pass access permissions on to other users at their discretion [8]. NIST’s authentication guidelines also limit sessions. An inactivity timeout ends a session that has had no activity for a set period, and periodic reauthentication is required [9]. At the second authentication assurance level, the inactivity timeout should be no more than one hour [9]. Last, a log is a record of the events that occur within an organization’s systems and networks [10]. Routine log analysis helps to identify security incidents, policy violations, fraudulent activity and operational problems, and logs are also useful for auditing and forensic analysis [10].</w:t>
      </w:r>
    </w:p>
    <w:p>
      <w:pPr>
        <w:pStyle w:val="Heading2"/>
      </w:pPr>
      <w:r>
        <w:t>Data Privacy Rules</w:t>
      </w:r>
    </w:p>
    <w:p>
      <w:pPr>
        <w:pStyle w:val="BodyText"/>
      </w:pPr>
      <w:r>
        <w:t>RA No. 10173 protects personal information in information and communications systems, and it created the National Privacy Commission (NPC) to administer and implement the law [4]. Personal information is information from which a person’s identity is apparent or can be reasonably and directly ascertained [4]. Sensitive personal information includes information about a person’s health, and information issued by government agencies that is peculiar to a person, such as social security numbers, health records, licenses and tax returns [4]. Processing must follow the principles of transparency, legitimate purpose and proportionality [4].</w:t>
      </w:r>
    </w:p>
    <w:p>
      <w:pPr>
        <w:pStyle w:val="BodyText"/>
      </w:pPr>
      <w:r>
        <w:t>The implementing rules and regulations (IRR) issued by the NPC add that processing must be adequate, relevant, suitable, necessary and not excessive [11]. They also call for reasonable and appropriate organizational, physical and technical security measures, including safeguards against unauthorized use of the computer network, regular monitoring for security breaches, and authentication and other technical measures that control and limit access [11].</w:t>
      </w:r>
    </w:p>
    <w:p>
      <w:pPr>
        <w:pStyle w:val="Heading2"/>
      </w:pPr>
      <w:r>
        <w:t>Credential and Compliance Tracking</w:t>
      </w:r>
    </w:p>
    <w:p>
      <w:pPr>
        <w:pStyle w:val="BodyText"/>
      </w:pPr>
      <w:r>
        <w:t>As noted in Section I, one vendor reports that many security companies still track credentials with spreadsheets and folders [2], and research shows that spreadsheet errors are common [3]. Commercial guard management tools automate part of this work. GuardsPro describes license expiration alerts sent to both the admin and the guard, custom alert windows of 30, 60 or 90 days, and a dashboard that shows which licenses are valid, expiring soon or expired [2]. Guardhouse describes renewal alerts for guards and managers, and scheduling alerts that notify managers when they roster guards who do not hold current licenses [12].</w:t>
      </w:r>
    </w:p>
    <w:p>
      <w:pPr>
        <w:pStyle w:val="BodyText"/>
      </w:pPr>
      <w:r>
        <w:t>These tools focus on alerts. The pages we reviewed do not describe a rule that refuses the posting itself, a log of every refused attempt, or a second password check before sensitive records are shown. GuardReady adds these zero trust controls to credential tracking, and it is built around the Philippine permits and privacy rules above.</w:t>
      </w:r>
    </w:p>
    <w:p>
      <w:pPr>
        <w:pStyle w:val="Heading1"/>
      </w:pPr>
      <w:r>
        <w:t>Methodology</w:t>
      </w:r>
    </w:p>
    <w:p>
      <w:pPr>
        <w:pStyle w:val="Heading2"/>
      </w:pPr>
      <w:r>
        <w:t>System Architecture</w:t>
      </w:r>
    </w:p>
    <w:p>
      <w:pPr>
        <w:pStyle w:val="BodyText"/>
      </w:pPr>
      <w:r>
        <w:t>We built GuardReady in Python 3.12 with Django 6.1, SQLite and Bootstrap Cascading Style Sheets (CSS), with no JavaScript. Django follows a Model, Template, View (MTV) pattern. A view is the Python function for a web address that decides which data is shown, a template decides how the data is shown, and the framework itself acts as the controller, because it sends each request to the right view through its uniform resource locator (URL) configuration [13].</w:t>
      </w:r>
    </w:p>
    <w:p>
      <w:pPr>
        <w:pStyle w:val="BodyText"/>
        <w:sectPr w:rsidR="00836367" w:rsidRPr="00F96569" w:rsidSect="003B4E04">
          <w:type w:val="continuous"/>
          <w:pgSz w:w="595.30pt" w:h="841.90pt" w:code="9"/>
          <w:pgMar w:top="54pt" w:right="45.35pt" w:bottom="72pt" w:left="45.35pt" w:header="36pt" w:footer="36pt" w:gutter="0pt"/>
          <w:cols w:num="2" w:space="18pt"/>
          <w:docGrid w:linePitch="360"/>
        </w:sectPr>
      </w:pPr>
      <w:r>
        <w:t>Our code has five Django apps. The accounts app handles login, roles, permission checks, step-up and the idle timeout. The guards app holds the guards, their papers, employment status, expiry notices, agency permits and the dashboard. The deployment app holds client sites, posts and assignments. The audit app holds the audit log, change summaries, security alerts and guard history. The reports app holds attendance, evaluations, guard reports and compliance reports. We kept the rules in classes. Views only check access, call methods and render pages, and templates only display data. Fig. 1 shows the main classes and how they are linked.</w:t>
      </w:r>
    </w:p>
    <w:tbl>
      <w:tblPr>
        <w:tblW w:w="10080" w:type="dxa"/>
        <w:jc w:val="center"/>
        <w:tblBorders>
          <w:top w:val="dashed" w:sz="6" w:space="0" w:color="auto"/>
          <w:start w:val="dashed" w:sz="6" w:space="0" w:color="auto"/>
          <w:bottom w:val="dashed" w:sz="6" w:space="0" w:color="auto"/>
          <w:end w:val="dashed" w:sz="6" w:space="0" w:color="auto"/>
        </w:tblBorders>
        <w:tblLayout w:type="fixed"/>
        <w:tblCellMar>
          <w:start w:w="72" w:type="dxa"/>
          <w:end w:w="72" w:type="dxa"/>
        </w:tblCellMar>
        <w:tblLook w:firstRow="0" w:lastRow="0" w:firstColumn="0" w:lastColumn="0" w:noHBand="0" w:noVBand="0"/>
      </w:tblPr>
      <w:tblGrid>
        <w:gridCol w:w="10080"/>
      </w:tblGrid>
      <w:tr>
        <w:trPr>
          <w:cantSplit/>
          <w:trHeight w:val="6296" w:hRule="exact"/>
          <w:jc w:val="center"/>
        </w:trPr>
        <w:tc>
          <w:tcPr>
            <w:tcW w:w="10080" w:type="dxa"/>
            <w:vAlign w:val="center"/>
          </w:tcPr>
          <w:p>
            <w:pPr>
              <w:keepNext/>
              <w:rPr>
                <w:sz w:val="16"/>
                <w:szCs w:val="16"/>
              </w:rPr>
            </w:pPr>
            <w:r>
              <w:rPr>
                <w:b/>
                <w:bCs/>
                <w:sz w:val="16"/>
                <w:szCs w:val="16"/>
              </w:rPr>
              <w:t>[Fig. 1 placeholder: class diagram]</w:t>
            </w:r>
          </w:p>
          <w:p>
            <w:pPr>
              <w:keepNext/>
              <w:rPr>
                <w:sz w:val="16"/>
                <w:szCs w:val="16"/>
              </w:rPr>
            </w:pPr>
            <w:r>
              <w:rPr>
                <w:sz w:val="16"/>
                <w:szCs w:val="16"/>
              </w:rPr>
              <w:t>Delete this box (click in it, then Table Layout, Delete, Delete Table). On the empty line under it, insert docs/paper/fig_class.png (Insert, Pictures), 7 inches wide. It is made from fig_class.mmd, which you can edit and export again at mermaid.live.</w:t>
            </w:r>
          </w:p>
        </w:tc>
      </w:tr>
    </w:tbl>
    <w:p>
      <w:pPr>
        <w:keepNext/>
        <w:jc w:val="center"/>
        <w:rPr>
          <w:sz w:val="16"/>
          <w:szCs w:val="16"/>
        </w:rPr>
      </w:pPr>
    </w:p>
    <w:p>
      <w:pPr>
        <w:pStyle w:val="figurecaption"/>
        <w:sectPr w:rsidR="00836367" w:rsidRPr="00F96569" w:rsidSect="003B4E04">
          <w:type w:val="continuous"/>
          <w:pgSz w:w="595.30pt" w:h="841.90pt" w:code="9"/>
          <w:pgMar w:top="54pt" w:right="45.35pt" w:bottom="72pt" w:left="45.35pt" w:header="36pt" w:footer="36pt" w:gutter="0pt"/>
          <w:cols w:space="18pt"/>
          <w:docGrid w:linePitch="360"/>
        </w:sectPr>
      </w:pPr>
      <w:r>
        <w:t>Main classes of GuardReady and how they are linked.</w:t>
      </w:r>
    </w:p>
    <w:p>
      <w:pPr>
        <w:pStyle w:val="Heading2"/>
      </w:pPr>
      <w:r>
        <w:t>Conceptual Framework</w:t>
      </w:r>
    </w:p>
    <w:p>
      <w:pPr>
        <w:pStyle w:val="BodyText"/>
      </w:pPr>
      <w:r>
        <w:t>Fig. 2 shows our conceptual framework in Input, Process, Output form, with a feedback loop. The inputs are the guard records with six papers each, the agency’s LTO, attendance and evaluations, and the logins and actions of each role. In the process, our classes work out each paper’s days left, status and notice band, each guard’s readiness and refusal reasons, the punctuality and evaluation results, and the zero trust checks. The outputs are the dashboard counts and urgent banner, the expiry notices, refused postings, guard reports and comma-separated values (CSV) files, the audit log, the security alerts and the compliance reports. When HR renews or corrects a paper, the new paper goes back in as an input, so the status and the notices update.</w:t>
      </w:r>
    </w:p>
    <w:tbl>
      <w:tblPr>
        <w:tblW w:w="4860" w:type="dxa"/>
        <w:jc w:val="center"/>
        <w:tblBorders>
          <w:top w:val="dashed" w:sz="6" w:space="0" w:color="auto"/>
          <w:start w:val="dashed" w:sz="6" w:space="0" w:color="auto"/>
          <w:bottom w:val="dashed" w:sz="6" w:space="0" w:color="auto"/>
          <w:end w:val="dashed" w:sz="6" w:space="0" w:color="auto"/>
        </w:tblBorders>
        <w:tblLayout w:type="fixed"/>
        <w:tblCellMar>
          <w:start w:w="72" w:type="dxa"/>
          <w:end w:w="72" w:type="dxa"/>
        </w:tblCellMar>
        <w:tblLook w:firstRow="0" w:lastRow="0" w:firstColumn="0" w:lastColumn="0" w:noHBand="0" w:noVBand="0"/>
      </w:tblPr>
      <w:tblGrid>
        <w:gridCol w:w="4860"/>
      </w:tblGrid>
      <w:tr>
        <w:trPr>
          <w:cantSplit/>
          <w:trHeight w:val="3847" w:hRule="exact"/>
          <w:jc w:val="center"/>
        </w:trPr>
        <w:tc>
          <w:tcPr>
            <w:tcW w:w="4860" w:type="dxa"/>
            <w:vAlign w:val="center"/>
          </w:tcPr>
          <w:p>
            <w:pPr>
              <w:keepNext/>
              <w:rPr>
                <w:sz w:val="16"/>
                <w:szCs w:val="16"/>
              </w:rPr>
            </w:pPr>
            <w:r>
              <w:rPr>
                <w:b/>
                <w:bCs/>
                <w:sz w:val="16"/>
                <w:szCs w:val="16"/>
              </w:rPr>
              <w:t>[Fig. 2 placeholder: conceptual framework]</w:t>
            </w:r>
          </w:p>
          <w:p>
            <w:pPr>
              <w:keepNext/>
              <w:rPr>
                <w:sz w:val="16"/>
                <w:szCs w:val="16"/>
              </w:rPr>
            </w:pPr>
            <w:r>
              <w:rPr>
                <w:sz w:val="16"/>
                <w:szCs w:val="16"/>
              </w:rPr>
              <w:t>Delete this box (click in it, then Table Layout, Delete, Delete Table). On the empty line under it, insert docs/paper/fig_framework.png, one column wide. It is made from fig_framework.mmd, which you can edit and export again at mermaid.live.</w:t>
            </w:r>
          </w:p>
        </w:tc>
      </w:tr>
    </w:tbl>
    <w:p>
      <w:pPr>
        <w:keepNext/>
        <w:jc w:val="center"/>
        <w:rPr>
          <w:sz w:val="16"/>
          <w:szCs w:val="16"/>
        </w:rPr>
      </w:pPr>
    </w:p>
    <w:p>
      <w:pPr>
        <w:pStyle w:val="figurecaption"/>
      </w:pPr>
      <w:r>
        <w:t>Conceptual framework of GuardReady in Input, Process, Output form, with the feedback loop.</w:t>
      </w:r>
    </w:p>
    <w:p>
      <w:pPr>
        <w:pStyle w:val="Heading2"/>
      </w:pPr>
      <w:r>
        <w:t>Object-Oriented Design</w:t>
      </w:r>
    </w:p>
    <w:p>
      <w:pPr>
        <w:pStyle w:val="BodyText"/>
      </w:pPr>
      <w:r>
        <w:t>We followed the OOP rules of our course. A family of similar things gets a base class, and each subclass overrides its methods. Plain Python classes use abstract base classes (ABCs) from the abc module, and a class with abstract methods cannot be instantiated until all of them are overridden [14]. For models, we used Django abstract base classes, which put common information into a number of other models, and proxy models, which work on the same database table as their parent [15]. In our model bases, the base method raises NotImplementedError instead, like validity_months() in ExpiringDocument.</w:t>
      </w:r>
    </w:p>
    <w:p>
      <w:pPr>
        <w:pStyle w:val="BodyText"/>
      </w:pPr>
      <w:r>
        <w:t>The classes in Fig. 1 show the four pillars of OOP. Person and Employee are abstract models, and Guard extends Employee, so the guard classes have three levels of inheritance. ExpiringDocument holds what every paper with dates shares: the number, the issue and expiry dates, the status rules, and the shared steps of renew() and make_notice(). Credential extends it, and its four proxies, License, Clearance, MedicalCert and TrainingCert, override validity_months(). MedicalCert also overrides is_sensitive() and row(), so medical results stay hidden until step-up. The typed() method picks the right proxy class from the kind field, which works like a factory. The renew() method is the only way to change a credential, and it saves the old values in a CredentialVersion first. CredentialVersion and AuditEntry extend AppendOnlyRecord, which refuses edits and deletes. A Guard owns its credentials and a ClientSite owns its posts, which is composition. A Post holds guards through assignments, which is aggregation, because a guard exists on its own and can move to another post. Report is the abstract base of every report, and ComplianceReport, GuardReport and SummaryReport extend it.</w:t>
      </w:r>
    </w:p>
    <w:p>
      <w:pPr>
        <w:pStyle w:val="Heading2"/>
      </w:pPr>
      <w:r>
        <w:t>Zero Trust and Privacy Design</w:t>
      </w:r>
    </w:p>
    <w:p>
      <w:pPr>
        <w:pStyle w:val="BodyText"/>
      </w:pPr>
      <w:r>
        <w:t>We mapped the zero trust requirements given by our professor to the NIST tenets [7] and to the access measures in the IRR [11] as follows:</w:t>
      </w:r>
    </w:p>
    <w:p>
      <w:pPr>
        <w:pStyle w:val="bulletlist"/>
      </w:pPr>
      <w:r>
        <w:t>Roles: there are two roles, Admin/HR and Guard. One dictionary, ROLE_PERMISSIONS, is the only place that decides what a role can do, and the demo data builds Django groups from it. Django has a built-in permissions system, and its Group model is a generic way to group users so that permissions can be applied to them [16].</w:t>
      </w:r>
    </w:p>
    <w:p>
      <w:pPr>
        <w:pStyle w:val="bulletlist"/>
      </w:pPr>
      <w:r>
        <w:t>A check on every request: every view uses the @access_required decorator, and can_view_guard() checks the guard record itself, so a guard can open only their own record. A refusal raises PermissionDenied, and the AuditMiddleware logs it as a DENY entry.</w:t>
      </w:r>
    </w:p>
    <w:p>
      <w:pPr>
        <w:pStyle w:val="bulletlist"/>
      </w:pPr>
      <w:r>
        <w:t>Step-up: to see sensitive details, the user types the password again and gives a reason. This unlocks one guard for 120 seconds. Printing a compliance report also asks for the password again.</w:t>
      </w:r>
    </w:p>
    <w:p>
      <w:pPr>
        <w:pStyle w:val="bulletlist"/>
      </w:pPr>
      <w:r>
        <w:t>Idle timeout: the IdleTimeoutMiddleware logs the user out after 180 seconds without activity and writes a TIMEOUT entry. We chose this short value for the demo, while NIST suggests no more than one hour at its second assurance level [9].</w:t>
      </w:r>
    </w:p>
    <w:p>
      <w:pPr>
        <w:pStyle w:val="bulletlist"/>
      </w:pPr>
      <w:r>
        <w:t>Append-only audit log: AuditEntry extends AppendOnlyRecord. Its save() refuses to change a saved row, its delete() always raises RecordLockedError, and its query set blocks bulk updates and deletes. The log keeps every view, change and refusal.</w:t>
      </w:r>
    </w:p>
    <w:p>
      <w:pPr>
        <w:pStyle w:val="bulletlist"/>
      </w:pPr>
      <w:r>
        <w:t>Masked data: medical results, birth date, home address, contact number and government numbers stay hidden until step-up, and masked_contact() shows only the last four digits of the contact number. These details never appear in notices, history, guard reports, CSV files or compliance reports. A client report shows only Cleared or Not cleared, never the reason. We based these rules on the proportionality principle [4], [11].</w:t>
      </w:r>
    </w:p>
    <w:p>
      <w:pPr>
        <w:pStyle w:val="Heading1"/>
      </w:pPr>
      <w:r>
        <w:t>Implementation</w:t>
      </w:r>
    </w:p>
    <w:p>
      <w:pPr>
        <w:pStyle w:val="BodyText"/>
      </w:pPr>
      <w:r>
        <w:t>This section describes each feature that is built and working, with the main classes behind it.</w:t>
      </w:r>
    </w:p>
    <w:p>
      <w:pPr>
        <w:pStyle w:val="Heading2"/>
      </w:pPr>
      <w:r>
        <w:t>Guard Records and Readiness</w:t>
      </w:r>
    </w:p>
    <w:p>
      <w:pPr>
        <w:pStyle w:val="BodyText"/>
      </w:pPr>
      <w:r>
        <w:t>Admin/HR adds a guard on one Add Guard page with the basic details, personal details, government numbers and the six papers, and the guard and the papers are saved in one transaction. Guard.add_credential() is the only way to add a paper, and renew() is the only way to change one, through the Renew or correct button. A paper is Expired on its expiry date, Expiring soon within 60 days of it, and Valid otherwise. Guard.readiness() returns Not cleared if a paper is missing or expired, Expiring soon if a paper expires within 60 days, and Cleared otherwise, and block_reasons() lists why a guard cannot be posted.</w:t>
      </w:r>
    </w:p>
    <w:p>
      <w:pPr>
        <w:pStyle w:val="BodyText"/>
      </w:pPr>
      <w:r>
        <w:t>The validity months only fill in a suggested expiry date, and HR always types the date printed on the paper. We used five years for the LESP [1] and one year for the drug test, because a drug test certificate from an accredited center is valid for one year from the date of issue [17]. The other periods are placeholders. Fig. 3 shows the dashboard with the readiness counts, the urgent banner and the LTO line. Fig. 4 shows a guard profile, where each paper has its status and the sensitive section stays locked until step-up.</w:t>
      </w:r>
    </w:p>
    <w:tbl>
      <w:tblPr>
        <w:tblW w:w="4860" w:type="dxa"/>
        <w:jc w:val="center"/>
        <w:tblBorders>
          <w:top w:val="dashed" w:sz="6" w:space="0" w:color="auto"/>
          <w:start w:val="dashed" w:sz="6" w:space="0" w:color="auto"/>
          <w:bottom w:val="dashed" w:sz="6" w:space="0" w:color="auto"/>
          <w:end w:val="dashed" w:sz="6" w:space="0" w:color="auto"/>
        </w:tblBorders>
        <w:tblLayout w:type="fixed"/>
        <w:tblCellMar>
          <w:start w:w="72" w:type="dxa"/>
          <w:end w:w="72" w:type="dxa"/>
        </w:tblCellMar>
        <w:tblLook w:firstRow="0" w:lastRow="0" w:firstColumn="0" w:lastColumn="0" w:noHBand="0" w:noVBand="0"/>
      </w:tblPr>
      <w:tblGrid>
        <w:gridCol w:w="4860"/>
      </w:tblGrid>
      <w:tr>
        <w:trPr>
          <w:cantSplit/>
          <w:trHeight w:val="2696" w:hRule="exact"/>
          <w:jc w:val="center"/>
        </w:trPr>
        <w:tc>
          <w:tcPr>
            <w:tcW w:w="4860" w:type="dxa"/>
            <w:vAlign w:val="center"/>
          </w:tcPr>
          <w:p>
            <w:pPr>
              <w:keepNext/>
              <w:rPr>
                <w:sz w:val="16"/>
                <w:szCs w:val="16"/>
              </w:rPr>
            </w:pPr>
            <w:r>
              <w:rPr>
                <w:b/>
                <w:bCs/>
                <w:sz w:val="16"/>
                <w:szCs w:val="16"/>
              </w:rPr>
              <w:t>[Fig. 3 placeholder: dashboard screenshot]</w:t>
            </w:r>
          </w:p>
          <w:p>
            <w:pPr>
              <w:keepNext/>
              <w:rPr>
                <w:sz w:val="16"/>
                <w:szCs w:val="16"/>
              </w:rPr>
            </w:pPr>
            <w:r>
              <w:rPr>
                <w:sz w:val="16"/>
                <w:szCs w:val="16"/>
              </w:rPr>
              <w:t>Log in as admin and take gui_1_dashboard.png (see docs/presentation/screenshots.md). Delete this box, then insert the picture on the empty line under it, one column wide.</w:t>
            </w:r>
          </w:p>
        </w:tc>
      </w:tr>
    </w:tbl>
    <w:p>
      <w:pPr>
        <w:keepNext/>
        <w:jc w:val="center"/>
        <w:rPr>
          <w:sz w:val="16"/>
          <w:szCs w:val="16"/>
        </w:rPr>
      </w:pPr>
    </w:p>
    <w:p>
      <w:pPr>
        <w:pStyle w:val="figurecaption"/>
      </w:pPr>
      <w:r>
        <w:t>Dashboard with the readiness counts, the urgent banner and the LTO line (demo data).</w:t>
      </w:r>
    </w:p>
    <w:tbl>
      <w:tblPr>
        <w:tblW w:w="4860" w:type="dxa"/>
        <w:jc w:val="center"/>
        <w:tblBorders>
          <w:top w:val="dashed" w:sz="6" w:space="0" w:color="auto"/>
          <w:start w:val="dashed" w:sz="6" w:space="0" w:color="auto"/>
          <w:bottom w:val="dashed" w:sz="6" w:space="0" w:color="auto"/>
          <w:end w:val="dashed" w:sz="6" w:space="0" w:color="auto"/>
        </w:tblBorders>
        <w:tblLayout w:type="fixed"/>
        <w:tblCellMar>
          <w:start w:w="72" w:type="dxa"/>
          <w:end w:w="72" w:type="dxa"/>
        </w:tblCellMar>
        <w:tblLook w:firstRow="0" w:lastRow="0" w:firstColumn="0" w:lastColumn="0" w:noHBand="0" w:noVBand="0"/>
      </w:tblPr>
      <w:tblGrid>
        <w:gridCol w:w="4860"/>
      </w:tblGrid>
      <w:tr>
        <w:trPr>
          <w:cantSplit/>
          <w:trHeight w:val="2696" w:hRule="exact"/>
          <w:jc w:val="center"/>
        </w:trPr>
        <w:tc>
          <w:tcPr>
            <w:tcW w:w="4860" w:type="dxa"/>
            <w:vAlign w:val="center"/>
          </w:tcPr>
          <w:p>
            <w:pPr>
              <w:keepNext/>
              <w:rPr>
                <w:sz w:val="16"/>
                <w:szCs w:val="16"/>
              </w:rPr>
            </w:pPr>
            <w:r>
              <w:rPr>
                <w:b/>
                <w:bCs/>
                <w:sz w:val="16"/>
                <w:szCs w:val="16"/>
              </w:rPr>
              <w:t>[Fig. 4 placeholder: guard profile screenshot]</w:t>
            </w:r>
          </w:p>
          <w:p>
            <w:pPr>
              <w:keepNext/>
              <w:rPr>
                <w:sz w:val="16"/>
                <w:szCs w:val="16"/>
              </w:rPr>
            </w:pPr>
            <w:r>
              <w:rPr>
                <w:sz w:val="16"/>
                <w:szCs w:val="16"/>
              </w:rPr>
              <w:t>As admin, open Rowena Villanueva’s profile and take gui_2_profile_locked.png (see docs/presentation/screenshots.md). Delete this box, then insert the picture on the empty line under it, one column wide.</w:t>
            </w:r>
          </w:p>
        </w:tc>
      </w:tr>
    </w:tbl>
    <w:p>
      <w:pPr>
        <w:keepNext/>
        <w:jc w:val="center"/>
        <w:rPr>
          <w:sz w:val="16"/>
          <w:szCs w:val="16"/>
        </w:rPr>
      </w:pPr>
    </w:p>
    <w:p>
      <w:pPr>
        <w:pStyle w:val="figurecaption"/>
      </w:pPr>
      <w:r>
        <w:t>Guard profile with the sensitive records locked until step-up (demo data).</w:t>
      </w:r>
    </w:p>
    <w:p>
      <w:pPr>
        <w:pStyle w:val="Heading2"/>
      </w:pPr>
      <w:r>
        <w:t>Expiry Notices</w:t>
      </w:r>
    </w:p>
    <w:p>
      <w:pPr>
        <w:pStyle w:val="BodyText"/>
      </w:pPr>
      <w:r>
        <w:t>The check_expiry() function, run with the command python manage.py check_expiry, goes through the papers of every current guard and every agency permit, and it calls make_notice() on each one with no if or elif on the type. Each paper gets at most one notice per band and expiry date, at 60, 30, 14, 7 and 1 days before expiry and on the expiry date. Notification and AgencyNotice both extend the abstract ExpiryNotice, so the Notifications page and the dashboard banner show both kinds together. A notice changes only through move_to(), which moves forward from New to Seen to Resolved, and renewing a paper resolves its open notices about the old expiry date. The agency’s LTO is an AgencyPermit with the LicenseToOperate proxy, so it is tracked like a guard’s paper.</w:t>
      </w:r>
    </w:p>
    <w:p>
      <w:pPr>
        <w:pStyle w:val="Heading2"/>
      </w:pPr>
      <w:r>
        <w:t>Deployment and Guard History</w:t>
      </w:r>
    </w:p>
    <w:p>
      <w:pPr>
        <w:pStyle w:val="BodyText"/>
      </w:pPr>
      <w:r>
        <w:t>On the Sites pages, Admin/HR assigns guards to posts at client sites. Post.refusal_reasons() checks, in this order, the guard’s employment status, the guard’s papers, whether the guard is already posted, and whether the post is full. The assign_guard() service asks it first. A refusal posts nobody and writes an ASSIGN entry with the outcome Denied and every reason, and there is no override. Each guard also has a History tab that lists postings, refused postings, paper changes and notices, newest first. Four subclasses of the abstract HistoryEvent build these rows, and none of them shows a medical result.</w:t>
      </w:r>
    </w:p>
    <w:p>
      <w:pPr>
        <w:pStyle w:val="Heading2"/>
      </w:pPr>
      <w:r>
        <w:t>Employment Status</w:t>
      </w:r>
    </w:p>
    <w:p>
      <w:pPr>
        <w:pStyle w:val="BodyText"/>
      </w:pPr>
      <w:r>
        <w:t>A guard can be Active, On leave, Resigned or Let go. Each status is a class that extends the abstract EmploymentStatus and answers questions such as can_be_assigned(), gets_notices() and allows_login(). Resigned and Let go share their rules through SeparatedStatus. Guards who left drop out of the lists, counts and notices, their open posting is closed, and their login stops working. Status changes are kept in EmploymentStatusChange, which is append-only.</w:t>
      </w:r>
    </w:p>
    <w:p>
      <w:pPr>
        <w:pStyle w:val="Heading2"/>
      </w:pPr>
      <w:r>
        <w:t>Reports and Security Alerts</w:t>
      </w:r>
    </w:p>
    <w:p>
      <w:pPr>
        <w:pStyle w:val="BodyText"/>
      </w:pPr>
      <w:r>
        <w:t>Report is the abstract base of every report, and its write_csv() method is the one CSV writer for all of them. GuardReport and SummaryReport show punctuality, guard type and character evaluations for a period. Admin/HR records duties and evaluations through AttendanceRecord.record() and Evaluation.record(), which check the rules first. Each CSV download writes one REPORT entry, and a cell that starts like a spreadsheet formula gets an apostrophe in front, so it is read as plain text. ComplianceReport and its subclasses, SosiaReport, NpcReport, OtherGovernmentReport and ClientReport, print only what each requester needs, after a password check.</w:t>
      </w:r>
    </w:p>
    <w:p>
      <w:pPr>
        <w:pStyle w:val="BodyText"/>
      </w:pPr>
      <w:r>
        <w:t>The Security alerts page reads the last seven days of the audit log and flags failed logins, repeated refusals, many unlocks, bulk viewing of guard profiles, and Admin/HR activity outside office hours. Each rule is a subclass of the abstract AlertRule, and four of them share their counting logic through ThresholdRule.</w:t>
      </w:r>
    </w:p>
    <w:p>
      <w:pPr>
        <w:pStyle w:val="Heading2"/>
      </w:pPr>
      <w:r>
        <w:t>Roles and OOP Mapping</w:t>
      </w:r>
    </w:p>
    <w:p>
      <w:pPr>
        <w:pStyle w:val="BodyText"/>
      </w:pPr>
      <w:r>
        <w:t>Table I lists the permissions of each role, taken from ROLE_PERMISSIONS in accounts/roles.py. Table II maps each OOP concept to the classes that show it.</w:t>
      </w:r>
    </w:p>
    <w:p>
      <w:pPr>
        <w:pStyle w:val="tablehead"/>
        <w:keepNext/>
      </w:pPr>
      <w:r>
        <w:t>Permissions per Role</w:t>
      </w:r>
    </w:p>
    <w:tbl>
      <w:tblPr>
        <w:tblW w:w="486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72" w:type="dxa"/>
          <w:end w:w="72" w:type="dxa"/>
        </w:tblCellMar>
        <w:tblLook w:firstRow="0" w:lastRow="0" w:firstColumn="0" w:lastColumn="0" w:noHBand="0" w:noVBand="0"/>
      </w:tblPr>
      <w:tblGrid>
        <w:gridCol w:w="1640"/>
        <w:gridCol w:w="1660"/>
        <w:gridCol w:w="820"/>
        <w:gridCol w:w="740"/>
      </w:tblGrid>
      <w:tr>
        <w:trPr>
          <w:cantSplit/>
          <w:tblHeader/>
          <w:jc w:val="center"/>
        </w:trPr>
        <w:tc>
          <w:tcPr>
            <w:tcW w:w="1640" w:type="dxa"/>
            <w:vAlign w:val="center"/>
          </w:tcPr>
          <w:p>
            <w:pPr>
              <w:pStyle w:val="tablecolhead"/>
              <w:keepNext/>
            </w:pPr>
            <w:r>
              <w:t>Permission</w:t>
            </w:r>
          </w:p>
        </w:tc>
        <w:tc>
          <w:tcPr>
            <w:tcW w:w="1660" w:type="dxa"/>
            <w:vAlign w:val="center"/>
          </w:tcPr>
          <w:p>
            <w:pPr>
              <w:pStyle w:val="tablecolhead"/>
              <w:keepNext/>
            </w:pPr>
            <w:r>
              <w:t>What it allows</w:t>
            </w:r>
          </w:p>
        </w:tc>
        <w:tc>
          <w:tcPr>
            <w:tcW w:w="820" w:type="dxa"/>
            <w:vAlign w:val="center"/>
          </w:tcPr>
          <w:p>
            <w:pPr>
              <w:pStyle w:val="tablecolhead"/>
              <w:keepNext/>
            </w:pPr>
            <w:r>
              <w:t>Admin/HR</w:t>
            </w:r>
          </w:p>
        </w:tc>
        <w:tc>
          <w:tcPr>
            <w:tcW w:w="740" w:type="dxa"/>
            <w:vAlign w:val="center"/>
          </w:tcPr>
          <w:p>
            <w:pPr>
              <w:pStyle w:val="tablecolhead"/>
              <w:keepNext/>
            </w:pPr>
            <w:r>
              <w:t>Guard</w:t>
            </w:r>
          </w:p>
        </w:tc>
      </w:tr>
      <w:tr>
        <w:trPr>
          <w:cantSplit/>
          <w:jc w:val="center"/>
        </w:trPr>
        <w:tc>
          <w:tcPr>
            <w:tcW w:w="1640" w:type="dxa"/>
            <w:vAlign w:val="center"/>
          </w:tcPr>
          <w:p>
            <w:pPr>
              <w:pStyle w:val="tablecopy"/>
              <w:keepNext/>
              <w:jc w:val="start"/>
            </w:pPr>
            <w:r>
              <w:t>view_dashboard</w:t>
            </w:r>
          </w:p>
        </w:tc>
        <w:tc>
          <w:tcPr>
            <w:tcW w:w="1660" w:type="dxa"/>
            <w:vAlign w:val="center"/>
          </w:tcPr>
          <w:p>
            <w:pPr>
              <w:pStyle w:val="tablecopy"/>
              <w:keepNext/>
              <w:jc w:val="start"/>
            </w:pPr>
            <w:r>
              <w:t>Dashboard</w:t>
            </w:r>
          </w:p>
        </w:tc>
        <w:tc>
          <w:tcPr>
            <w:tcW w:w="820" w:type="dxa"/>
            <w:vAlign w:val="center"/>
          </w:tcPr>
          <w:p>
            <w:pPr>
              <w:pStyle w:val="tablecopy"/>
              <w:keepNext/>
              <w:jc w:val="center"/>
            </w:pPr>
            <w:r>
              <w:t>Yes</w:t>
            </w:r>
          </w:p>
        </w:tc>
        <w:tc>
          <w:tcPr>
            <w:tcW w:w="740" w:type="dxa"/>
            <w:vAlign w:val="center"/>
          </w:tcPr>
          <w:p>
            <w:pPr>
              <w:pStyle w:val="tablecopy"/>
              <w:keepNext/>
              <w:jc w:val="center"/>
            </w:pPr>
            <w:r>
              <w:t>No</w:t>
            </w:r>
          </w:p>
        </w:tc>
      </w:tr>
      <w:tr>
        <w:trPr>
          <w:cantSplit/>
          <w:jc w:val="center"/>
        </w:trPr>
        <w:tc>
          <w:tcPr>
            <w:tcW w:w="1640" w:type="dxa"/>
            <w:vAlign w:val="center"/>
          </w:tcPr>
          <w:p>
            <w:pPr>
              <w:pStyle w:val="tablecopy"/>
              <w:keepNext/>
              <w:jc w:val="start"/>
            </w:pPr>
            <w:r>
              <w:t>view_all_guards</w:t>
            </w:r>
          </w:p>
        </w:tc>
        <w:tc>
          <w:tcPr>
            <w:tcW w:w="1660" w:type="dxa"/>
            <w:vAlign w:val="center"/>
          </w:tcPr>
          <w:p>
            <w:pPr>
              <w:pStyle w:val="tablecopy"/>
              <w:keepNext/>
              <w:jc w:val="start"/>
            </w:pPr>
            <w:r>
              <w:t>Guard list and every profile</w:t>
            </w:r>
          </w:p>
        </w:tc>
        <w:tc>
          <w:tcPr>
            <w:tcW w:w="820" w:type="dxa"/>
            <w:vAlign w:val="center"/>
          </w:tcPr>
          <w:p>
            <w:pPr>
              <w:pStyle w:val="tablecopy"/>
              <w:keepNext/>
              <w:jc w:val="center"/>
            </w:pPr>
            <w:r>
              <w:t>Yes</w:t>
            </w:r>
          </w:p>
        </w:tc>
        <w:tc>
          <w:tcPr>
            <w:tcW w:w="740" w:type="dxa"/>
            <w:vAlign w:val="center"/>
          </w:tcPr>
          <w:p>
            <w:pPr>
              <w:pStyle w:val="tablecopy"/>
              <w:keepNext/>
              <w:jc w:val="center"/>
            </w:pPr>
            <w:r>
              <w:t>No</w:t>
            </w:r>
          </w:p>
        </w:tc>
      </w:tr>
      <w:tr>
        <w:trPr>
          <w:cantSplit/>
          <w:jc w:val="center"/>
        </w:trPr>
        <w:tc>
          <w:tcPr>
            <w:tcW w:w="1640" w:type="dxa"/>
            <w:vAlign w:val="center"/>
          </w:tcPr>
          <w:p>
            <w:pPr>
              <w:pStyle w:val="tablecopy"/>
              <w:keepNext/>
              <w:jc w:val="start"/>
            </w:pPr>
            <w:r>
              <w:t>view_own_record</w:t>
            </w:r>
          </w:p>
        </w:tc>
        <w:tc>
          <w:tcPr>
            <w:tcW w:w="1660" w:type="dxa"/>
            <w:vAlign w:val="center"/>
          </w:tcPr>
          <w:p>
            <w:pPr>
              <w:pStyle w:val="tablecopy"/>
              <w:keepNext/>
              <w:jc w:val="start"/>
            </w:pPr>
            <w:r>
              <w:t>My record, read only</w:t>
            </w:r>
          </w:p>
        </w:tc>
        <w:tc>
          <w:tcPr>
            <w:tcW w:w="820" w:type="dxa"/>
            <w:vAlign w:val="center"/>
          </w:tcPr>
          <w:p>
            <w:pPr>
              <w:pStyle w:val="tablecopy"/>
              <w:keepNext/>
              <w:jc w:val="center"/>
            </w:pPr>
            <w:r>
              <w:t>No</w:t>
            </w:r>
          </w:p>
        </w:tc>
        <w:tc>
          <w:tcPr>
            <w:tcW w:w="740" w:type="dxa"/>
            <w:vAlign w:val="center"/>
          </w:tcPr>
          <w:p>
            <w:pPr>
              <w:pStyle w:val="tablecopy"/>
              <w:keepNext/>
              <w:jc w:val="center"/>
            </w:pPr>
            <w:r>
              <w:t>Yes</w:t>
            </w:r>
          </w:p>
        </w:tc>
      </w:tr>
      <w:tr>
        <w:trPr>
          <w:cantSplit/>
          <w:jc w:val="center"/>
        </w:trPr>
        <w:tc>
          <w:tcPr>
            <w:tcW w:w="1640" w:type="dxa"/>
            <w:vAlign w:val="center"/>
          </w:tcPr>
          <w:p>
            <w:pPr>
              <w:pStyle w:val="tablecopy"/>
              <w:keepNext/>
              <w:jc w:val="start"/>
            </w:pPr>
            <w:r>
              <w:t>step_up_sensitive</w:t>
            </w:r>
          </w:p>
        </w:tc>
        <w:tc>
          <w:tcPr>
            <w:tcW w:w="1660" w:type="dxa"/>
            <w:vAlign w:val="center"/>
          </w:tcPr>
          <w:p>
            <w:pPr>
              <w:pStyle w:val="tablecopy"/>
              <w:keepNext/>
              <w:jc w:val="start"/>
            </w:pPr>
            <w:r>
              <w:t>Unlock sensitive details</w:t>
            </w:r>
          </w:p>
        </w:tc>
        <w:tc>
          <w:tcPr>
            <w:tcW w:w="820" w:type="dxa"/>
            <w:vAlign w:val="center"/>
          </w:tcPr>
          <w:p>
            <w:pPr>
              <w:pStyle w:val="tablecopy"/>
              <w:keepNext/>
              <w:jc w:val="center"/>
            </w:pPr>
            <w:r>
              <w:t>Yes</w:t>
            </w:r>
          </w:p>
        </w:tc>
        <w:tc>
          <w:tcPr>
            <w:tcW w:w="740" w:type="dxa"/>
            <w:vAlign w:val="center"/>
          </w:tcPr>
          <w:p>
            <w:pPr>
              <w:pStyle w:val="tablecopy"/>
              <w:keepNext/>
              <w:jc w:val="center"/>
            </w:pPr>
            <w:r>
              <w:t>Own record</w:t>
            </w:r>
          </w:p>
        </w:tc>
      </w:tr>
      <w:tr>
        <w:trPr>
          <w:cantSplit/>
          <w:jc w:val="center"/>
        </w:trPr>
        <w:tc>
          <w:tcPr>
            <w:tcW w:w="1640" w:type="dxa"/>
            <w:vAlign w:val="center"/>
          </w:tcPr>
          <w:p>
            <w:pPr>
              <w:pStyle w:val="tablecopy"/>
              <w:keepNext/>
              <w:jc w:val="start"/>
            </w:pPr>
            <w:r>
              <w:t>add_guard</w:t>
            </w:r>
          </w:p>
        </w:tc>
        <w:tc>
          <w:tcPr>
            <w:tcW w:w="1660" w:type="dxa"/>
            <w:vAlign w:val="center"/>
          </w:tcPr>
          <w:p>
            <w:pPr>
              <w:pStyle w:val="tablecopy"/>
              <w:keepNext/>
              <w:jc w:val="start"/>
            </w:pPr>
            <w:r>
              <w:t>Add Guard</w:t>
            </w:r>
          </w:p>
        </w:tc>
        <w:tc>
          <w:tcPr>
            <w:tcW w:w="820" w:type="dxa"/>
            <w:vAlign w:val="center"/>
          </w:tcPr>
          <w:p>
            <w:pPr>
              <w:pStyle w:val="tablecopy"/>
              <w:keepNext/>
              <w:jc w:val="center"/>
            </w:pPr>
            <w:r>
              <w:t>Yes</w:t>
            </w:r>
          </w:p>
        </w:tc>
        <w:tc>
          <w:tcPr>
            <w:tcW w:w="740" w:type="dxa"/>
            <w:vAlign w:val="center"/>
          </w:tcPr>
          <w:p>
            <w:pPr>
              <w:pStyle w:val="tablecopy"/>
              <w:keepNext/>
              <w:jc w:val="center"/>
            </w:pPr>
            <w:r>
              <w:t>No</w:t>
            </w:r>
          </w:p>
        </w:tc>
      </w:tr>
      <w:tr>
        <w:trPr>
          <w:cantSplit/>
          <w:jc w:val="center"/>
        </w:trPr>
        <w:tc>
          <w:tcPr>
            <w:tcW w:w="1640" w:type="dxa"/>
            <w:vAlign w:val="center"/>
          </w:tcPr>
          <w:p>
            <w:pPr>
              <w:pStyle w:val="tablecopy"/>
              <w:keepNext/>
              <w:jc w:val="start"/>
            </w:pPr>
            <w:r>
              <w:t>change_guard</w:t>
            </w:r>
          </w:p>
        </w:tc>
        <w:tc>
          <w:tcPr>
            <w:tcW w:w="1660" w:type="dxa"/>
            <w:vAlign w:val="center"/>
          </w:tcPr>
          <w:p>
            <w:pPr>
              <w:pStyle w:val="tablecopy"/>
              <w:keepNext/>
              <w:jc w:val="start"/>
            </w:pPr>
            <w:r>
              <w:t>Edit Guard, Change status</w:t>
            </w:r>
          </w:p>
        </w:tc>
        <w:tc>
          <w:tcPr>
            <w:tcW w:w="820" w:type="dxa"/>
            <w:vAlign w:val="center"/>
          </w:tcPr>
          <w:p>
            <w:pPr>
              <w:pStyle w:val="tablecopy"/>
              <w:keepNext/>
              <w:jc w:val="center"/>
            </w:pPr>
            <w:r>
              <w:t>Yes</w:t>
            </w:r>
          </w:p>
        </w:tc>
        <w:tc>
          <w:tcPr>
            <w:tcW w:w="740" w:type="dxa"/>
            <w:vAlign w:val="center"/>
          </w:tcPr>
          <w:p>
            <w:pPr>
              <w:pStyle w:val="tablecopy"/>
              <w:keepNext/>
              <w:jc w:val="center"/>
            </w:pPr>
            <w:r>
              <w:t>No</w:t>
            </w:r>
          </w:p>
        </w:tc>
      </w:tr>
      <w:tr>
        <w:trPr>
          <w:cantSplit/>
          <w:jc w:val="center"/>
        </w:trPr>
        <w:tc>
          <w:tcPr>
            <w:tcW w:w="1640" w:type="dxa"/>
            <w:vAlign w:val="center"/>
          </w:tcPr>
          <w:p>
            <w:pPr>
              <w:pStyle w:val="tablecopy"/>
              <w:keepNext/>
              <w:jc w:val="start"/>
            </w:pPr>
            <w:r>
              <w:t>manage_credentials</w:t>
            </w:r>
          </w:p>
        </w:tc>
        <w:tc>
          <w:tcPr>
            <w:tcW w:w="1660" w:type="dxa"/>
            <w:vAlign w:val="center"/>
          </w:tcPr>
          <w:p>
            <w:pPr>
              <w:pStyle w:val="tablecopy"/>
              <w:keepNext/>
              <w:jc w:val="start"/>
            </w:pPr>
            <w:r>
              <w:t>Papers, LTO, notifications</w:t>
            </w:r>
          </w:p>
        </w:tc>
        <w:tc>
          <w:tcPr>
            <w:tcW w:w="820" w:type="dxa"/>
            <w:vAlign w:val="center"/>
          </w:tcPr>
          <w:p>
            <w:pPr>
              <w:pStyle w:val="tablecopy"/>
              <w:keepNext/>
              <w:jc w:val="center"/>
            </w:pPr>
            <w:r>
              <w:t>Yes</w:t>
            </w:r>
          </w:p>
        </w:tc>
        <w:tc>
          <w:tcPr>
            <w:tcW w:w="740" w:type="dxa"/>
            <w:vAlign w:val="center"/>
          </w:tcPr>
          <w:p>
            <w:pPr>
              <w:pStyle w:val="tablecopy"/>
              <w:keepNext/>
              <w:jc w:val="center"/>
            </w:pPr>
            <w:r>
              <w:t>No</w:t>
            </w:r>
          </w:p>
        </w:tc>
      </w:tr>
      <w:tr>
        <w:trPr>
          <w:cantSplit/>
          <w:jc w:val="center"/>
        </w:trPr>
        <w:tc>
          <w:tcPr>
            <w:tcW w:w="1640" w:type="dxa"/>
            <w:vAlign w:val="center"/>
          </w:tcPr>
          <w:p>
            <w:pPr>
              <w:pStyle w:val="tablecopy"/>
              <w:keepNext/>
              <w:jc w:val="start"/>
            </w:pPr>
            <w:r>
              <w:t>assign_guard</w:t>
            </w:r>
          </w:p>
        </w:tc>
        <w:tc>
          <w:tcPr>
            <w:tcW w:w="1660" w:type="dxa"/>
            <w:vAlign w:val="center"/>
          </w:tcPr>
          <w:p>
            <w:pPr>
              <w:pStyle w:val="tablecopy"/>
              <w:keepNext/>
              <w:jc w:val="start"/>
            </w:pPr>
            <w:r>
              <w:t>Sites, posts, assign</w:t>
            </w:r>
          </w:p>
        </w:tc>
        <w:tc>
          <w:tcPr>
            <w:tcW w:w="820" w:type="dxa"/>
            <w:vAlign w:val="center"/>
          </w:tcPr>
          <w:p>
            <w:pPr>
              <w:pStyle w:val="tablecopy"/>
              <w:keepNext/>
              <w:jc w:val="center"/>
            </w:pPr>
            <w:r>
              <w:t>Yes</w:t>
            </w:r>
          </w:p>
        </w:tc>
        <w:tc>
          <w:tcPr>
            <w:tcW w:w="740" w:type="dxa"/>
            <w:vAlign w:val="center"/>
          </w:tcPr>
          <w:p>
            <w:pPr>
              <w:pStyle w:val="tablecopy"/>
              <w:keepNext/>
              <w:jc w:val="center"/>
            </w:pPr>
            <w:r>
              <w:t>No</w:t>
            </w:r>
          </w:p>
        </w:tc>
      </w:tr>
      <w:tr>
        <w:trPr>
          <w:cantSplit/>
          <w:jc w:val="center"/>
        </w:trPr>
        <w:tc>
          <w:tcPr>
            <w:tcW w:w="1640" w:type="dxa"/>
            <w:vAlign w:val="center"/>
          </w:tcPr>
          <w:p>
            <w:pPr>
              <w:pStyle w:val="tablecopy"/>
              <w:keepNext/>
              <w:jc w:val="start"/>
            </w:pPr>
            <w:r>
              <w:t>record_performance</w:t>
            </w:r>
          </w:p>
        </w:tc>
        <w:tc>
          <w:tcPr>
            <w:tcW w:w="1660" w:type="dxa"/>
            <w:vAlign w:val="center"/>
          </w:tcPr>
          <w:p>
            <w:pPr>
              <w:pStyle w:val="tablecopy"/>
              <w:keepNext/>
              <w:jc w:val="start"/>
            </w:pPr>
            <w:r>
              <w:t>Attendance, evaluations</w:t>
            </w:r>
          </w:p>
        </w:tc>
        <w:tc>
          <w:tcPr>
            <w:tcW w:w="820" w:type="dxa"/>
            <w:vAlign w:val="center"/>
          </w:tcPr>
          <w:p>
            <w:pPr>
              <w:pStyle w:val="tablecopy"/>
              <w:keepNext/>
              <w:jc w:val="center"/>
            </w:pPr>
            <w:r>
              <w:t>Yes</w:t>
            </w:r>
          </w:p>
        </w:tc>
        <w:tc>
          <w:tcPr>
            <w:tcW w:w="740" w:type="dxa"/>
            <w:vAlign w:val="center"/>
          </w:tcPr>
          <w:p>
            <w:pPr>
              <w:pStyle w:val="tablecopy"/>
              <w:keepNext/>
              <w:jc w:val="center"/>
            </w:pPr>
            <w:r>
              <w:t>No</w:t>
            </w:r>
          </w:p>
        </w:tc>
      </w:tr>
      <w:tr>
        <w:trPr>
          <w:cantSplit/>
          <w:jc w:val="center"/>
        </w:trPr>
        <w:tc>
          <w:tcPr>
            <w:tcW w:w="1640" w:type="dxa"/>
            <w:vAlign w:val="center"/>
          </w:tcPr>
          <w:p>
            <w:pPr>
              <w:pStyle w:val="tablecopy"/>
              <w:keepNext/>
              <w:jc w:val="start"/>
            </w:pPr>
            <w:r>
              <w:t>view_summary_report</w:t>
            </w:r>
          </w:p>
        </w:tc>
        <w:tc>
          <w:tcPr>
            <w:tcW w:w="1660" w:type="dxa"/>
            <w:vAlign w:val="center"/>
          </w:tcPr>
          <w:p>
            <w:pPr>
              <w:pStyle w:val="tablecopy"/>
              <w:keepNext/>
              <w:jc w:val="start"/>
            </w:pPr>
            <w:r>
              <w:t>Guard reports, CSV files</w:t>
            </w:r>
          </w:p>
        </w:tc>
        <w:tc>
          <w:tcPr>
            <w:tcW w:w="820" w:type="dxa"/>
            <w:vAlign w:val="center"/>
          </w:tcPr>
          <w:p>
            <w:pPr>
              <w:pStyle w:val="tablecopy"/>
              <w:keepNext/>
              <w:jc w:val="center"/>
            </w:pPr>
            <w:r>
              <w:t>Yes</w:t>
            </w:r>
          </w:p>
        </w:tc>
        <w:tc>
          <w:tcPr>
            <w:tcW w:w="740" w:type="dxa"/>
            <w:vAlign w:val="center"/>
          </w:tcPr>
          <w:p>
            <w:pPr>
              <w:pStyle w:val="tablecopy"/>
              <w:keepNext/>
              <w:jc w:val="center"/>
            </w:pPr>
            <w:r>
              <w:t>No</w:t>
            </w:r>
          </w:p>
        </w:tc>
      </w:tr>
      <w:tr>
        <w:trPr>
          <w:cantSplit/>
          <w:jc w:val="center"/>
        </w:trPr>
        <w:tc>
          <w:tcPr>
            <w:tcW w:w="1640" w:type="dxa"/>
            <w:vAlign w:val="center"/>
          </w:tcPr>
          <w:p>
            <w:pPr>
              <w:pStyle w:val="tablecopy"/>
              <w:keepNext/>
              <w:jc w:val="start"/>
            </w:pPr>
            <w:r>
              <w:t>view_audit_log</w:t>
            </w:r>
          </w:p>
        </w:tc>
        <w:tc>
          <w:tcPr>
            <w:tcW w:w="1660" w:type="dxa"/>
            <w:vAlign w:val="center"/>
          </w:tcPr>
          <w:p>
            <w:pPr>
              <w:pStyle w:val="tablecopy"/>
              <w:keepNext/>
              <w:jc w:val="start"/>
            </w:pPr>
            <w:r>
              <w:t>Audit log, alerts, compliance reports</w:t>
            </w:r>
          </w:p>
        </w:tc>
        <w:tc>
          <w:tcPr>
            <w:tcW w:w="820" w:type="dxa"/>
            <w:vAlign w:val="center"/>
          </w:tcPr>
          <w:p>
            <w:pPr>
              <w:pStyle w:val="tablecopy"/>
              <w:keepNext/>
              <w:jc w:val="center"/>
            </w:pPr>
            <w:r>
              <w:t>Yes</w:t>
            </w:r>
          </w:p>
        </w:tc>
        <w:tc>
          <w:tcPr>
            <w:tcW w:w="740" w:type="dxa"/>
            <w:vAlign w:val="center"/>
          </w:tcPr>
          <w:p>
            <w:pPr>
              <w:pStyle w:val="tablecopy"/>
              <w:keepNext/>
              <w:jc w:val="center"/>
            </w:pPr>
            <w:r>
              <w:t>No</w:t>
            </w:r>
          </w:p>
        </w:tc>
      </w:tr>
      <w:tr>
        <w:trPr>
          <w:cantSplit/>
          <w:jc w:val="center"/>
        </w:trPr>
        <w:tc>
          <w:tcPr>
            <w:tcW w:w="1640" w:type="dxa"/>
            <w:vAlign w:val="center"/>
          </w:tcPr>
          <w:p>
            <w:pPr>
              <w:pStyle w:val="tablecopy"/>
              <w:jc w:val="start"/>
            </w:pPr>
            <w:r>
              <w:t>delete_guard</w:t>
            </w:r>
          </w:p>
        </w:tc>
        <w:tc>
          <w:tcPr>
            <w:tcW w:w="1660" w:type="dxa"/>
            <w:vAlign w:val="center"/>
          </w:tcPr>
          <w:p>
            <w:pPr>
              <w:pStyle w:val="tablecopy"/>
              <w:jc w:val="start"/>
            </w:pPr>
            <w:r>
              <w:t>Delete a guard (given to no one)</w:t>
            </w:r>
          </w:p>
        </w:tc>
        <w:tc>
          <w:tcPr>
            <w:tcW w:w="820" w:type="dxa"/>
            <w:vAlign w:val="center"/>
          </w:tcPr>
          <w:p>
            <w:pPr>
              <w:pStyle w:val="tablecopy"/>
              <w:jc w:val="center"/>
            </w:pPr>
            <w:r>
              <w:t>No</w:t>
            </w:r>
          </w:p>
        </w:tc>
        <w:tc>
          <w:tcPr>
            <w:tcW w:w="740" w:type="dxa"/>
            <w:vAlign w:val="center"/>
          </w:tcPr>
          <w:p>
            <w:pPr>
              <w:pStyle w:val="tablecopy"/>
              <w:jc w:val="center"/>
            </w:pPr>
            <w:r>
              <w:t>No</w:t>
            </w:r>
          </w:p>
        </w:tc>
      </w:tr>
    </w:tbl>
    <w:p>
      <w:pPr>
        <w:pStyle w:val="tablehead"/>
        <w:keepNext/>
      </w:pPr>
      <w:r>
        <w:t>OOP Concepts in GuardReady</w:t>
      </w:r>
    </w:p>
    <w:tbl>
      <w:tblPr>
        <w:tblW w:w="486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72" w:type="dxa"/>
          <w:end w:w="72" w:type="dxa"/>
        </w:tblCellMar>
        <w:tblLook w:firstRow="0" w:lastRow="0" w:firstColumn="0" w:lastColumn="0" w:noHBand="0" w:noVBand="0"/>
      </w:tblPr>
      <w:tblGrid>
        <w:gridCol w:w="1150"/>
        <w:gridCol w:w="3710"/>
      </w:tblGrid>
      <w:tr>
        <w:trPr>
          <w:cantSplit/>
          <w:tblHeader/>
          <w:jc w:val="center"/>
        </w:trPr>
        <w:tc>
          <w:tcPr>
            <w:tcW w:w="1150" w:type="dxa"/>
            <w:vAlign w:val="center"/>
          </w:tcPr>
          <w:p>
            <w:pPr>
              <w:pStyle w:val="tablecolhead"/>
              <w:keepNext/>
            </w:pPr>
            <w:r>
              <w:t>Concept</w:t>
            </w:r>
          </w:p>
        </w:tc>
        <w:tc>
          <w:tcPr>
            <w:tcW w:w="3710" w:type="dxa"/>
            <w:vAlign w:val="center"/>
          </w:tcPr>
          <w:p>
            <w:pPr>
              <w:pStyle w:val="tablecolhead"/>
              <w:keepNext/>
            </w:pPr>
            <w:r>
              <w:t>Where it is in our classes</w:t>
            </w:r>
          </w:p>
        </w:tc>
      </w:tr>
      <w:tr>
        <w:trPr>
          <w:cantSplit/>
          <w:jc w:val="center"/>
        </w:trPr>
        <w:tc>
          <w:tcPr>
            <w:tcW w:w="1150" w:type="dxa"/>
            <w:vAlign w:val="center"/>
          </w:tcPr>
          <w:p>
            <w:pPr>
              <w:pStyle w:val="tablecopy"/>
              <w:keepNext/>
              <w:jc w:val="start"/>
            </w:pPr>
            <w:r>
              <w:t>Abstraction</w:t>
            </w:r>
          </w:p>
        </w:tc>
        <w:tc>
          <w:tcPr>
            <w:tcW w:w="3710" w:type="dxa"/>
            <w:vAlign w:val="center"/>
          </w:tcPr>
          <w:p>
            <w:pPr>
              <w:pStyle w:val="tablecopy"/>
              <w:keepNext/>
              <w:jc w:val="start"/>
            </w:pPr>
            <w:r>
              <w:t>Abstract models Person, Employee, ExpiringDocument, ExpiryNotice and AppendOnlyRecord; ABC classes Report, ReportSection, EmploymentStatus, AlertRule and HistoryEvent</w:t>
            </w:r>
          </w:p>
        </w:tc>
      </w:tr>
      <w:tr>
        <w:trPr>
          <w:cantSplit/>
          <w:jc w:val="center"/>
        </w:trPr>
        <w:tc>
          <w:tcPr>
            <w:tcW w:w="1150" w:type="dxa"/>
            <w:vAlign w:val="center"/>
          </w:tcPr>
          <w:p>
            <w:pPr>
              <w:pStyle w:val="tablecopy"/>
              <w:keepNext/>
              <w:jc w:val="start"/>
            </w:pPr>
            <w:r>
              <w:t>Inheritance</w:t>
            </w:r>
          </w:p>
        </w:tc>
        <w:tc>
          <w:tcPr>
            <w:tcW w:w="3710" w:type="dxa"/>
            <w:vAlign w:val="center"/>
          </w:tcPr>
          <w:p>
            <w:pPr>
              <w:pStyle w:val="tablecopy"/>
              <w:keepNext/>
              <w:jc w:val="start"/>
            </w:pPr>
            <w:r>
              <w:t>Person, Employee, Guard; ExpiringDocument, Credential and its four proxies; Report, ComplianceReport, GovernmentReport, SosiaReport</w:t>
            </w:r>
          </w:p>
        </w:tc>
      </w:tr>
      <w:tr>
        <w:trPr>
          <w:cantSplit/>
          <w:jc w:val="center"/>
        </w:trPr>
        <w:tc>
          <w:tcPr>
            <w:tcW w:w="1150" w:type="dxa"/>
            <w:vAlign w:val="center"/>
          </w:tcPr>
          <w:p>
            <w:pPr>
              <w:pStyle w:val="tablecopy"/>
              <w:keepNext/>
              <w:jc w:val="start"/>
            </w:pPr>
            <w:r>
              <w:t>Polymorphism</w:t>
            </w:r>
          </w:p>
        </w:tc>
        <w:tc>
          <w:tcPr>
            <w:tcW w:w="3710" w:type="dxa"/>
            <w:vAlign w:val="center"/>
          </w:tcPr>
          <w:p>
            <w:pPr>
              <w:pStyle w:val="tablecopy"/>
              <w:keepNext/>
              <w:jc w:val="start"/>
            </w:pPr>
            <w:r>
              <w:t>validity_months() in each proxy; make_notice() on credentials and permits; find() in each alert rule; one write_csv() for every report</w:t>
            </w:r>
          </w:p>
        </w:tc>
      </w:tr>
      <w:tr>
        <w:trPr>
          <w:cantSplit/>
          <w:jc w:val="center"/>
        </w:trPr>
        <w:tc>
          <w:tcPr>
            <w:tcW w:w="1150" w:type="dxa"/>
            <w:vAlign w:val="center"/>
          </w:tcPr>
          <w:p>
            <w:pPr>
              <w:pStyle w:val="tablecopy"/>
              <w:keepNext/>
              <w:jc w:val="start"/>
            </w:pPr>
            <w:r>
              <w:t>Encapsulation</w:t>
            </w:r>
          </w:p>
        </w:tc>
        <w:tc>
          <w:tcPr>
            <w:tcW w:w="3710" w:type="dxa"/>
            <w:vAlign w:val="center"/>
          </w:tcPr>
          <w:p>
            <w:pPr>
              <w:pStyle w:val="tablecopy"/>
              <w:keepNext/>
              <w:jc w:val="start"/>
            </w:pPr>
            <w:r>
              <w:t>renew() is the only way to change a paper; Assignment.close() works once; append-only records; masked_contact()</w:t>
            </w:r>
          </w:p>
        </w:tc>
      </w:tr>
      <w:tr>
        <w:trPr>
          <w:cantSplit/>
          <w:jc w:val="center"/>
        </w:trPr>
        <w:tc>
          <w:tcPr>
            <w:tcW w:w="1150" w:type="dxa"/>
            <w:vAlign w:val="center"/>
          </w:tcPr>
          <w:p>
            <w:pPr>
              <w:pStyle w:val="tablecopy"/>
              <w:keepNext/>
              <w:jc w:val="start"/>
            </w:pPr>
            <w:r>
              <w:t>Composition</w:t>
            </w:r>
          </w:p>
        </w:tc>
        <w:tc>
          <w:tcPr>
            <w:tcW w:w="3710" w:type="dxa"/>
            <w:vAlign w:val="center"/>
          </w:tcPr>
          <w:p>
            <w:pPr>
              <w:pStyle w:val="tablecopy"/>
              <w:keepNext/>
              <w:jc w:val="start"/>
            </w:pPr>
            <w:r>
              <w:t>A Guard owns its Credentials; a ClientSite owns its Posts; a Report owns its sections</w:t>
            </w:r>
          </w:p>
        </w:tc>
      </w:tr>
      <w:tr>
        <w:trPr>
          <w:cantSplit/>
          <w:jc w:val="center"/>
        </w:trPr>
        <w:tc>
          <w:tcPr>
            <w:tcW w:w="1150" w:type="dxa"/>
            <w:vAlign w:val="center"/>
          </w:tcPr>
          <w:p>
            <w:pPr>
              <w:pStyle w:val="tablecopy"/>
              <w:keepNext/>
              <w:jc w:val="start"/>
            </w:pPr>
            <w:r>
              <w:t>Aggregation</w:t>
            </w:r>
          </w:p>
        </w:tc>
        <w:tc>
          <w:tcPr>
            <w:tcW w:w="3710" w:type="dxa"/>
            <w:vAlign w:val="center"/>
          </w:tcPr>
          <w:p>
            <w:pPr>
              <w:pStyle w:val="tablecopy"/>
              <w:keepNext/>
              <w:jc w:val="start"/>
            </w:pPr>
            <w:r>
              <w:t>A Post holds Guards through Assignments</w:t>
            </w:r>
          </w:p>
        </w:tc>
      </w:tr>
      <w:tr>
        <w:trPr>
          <w:cantSplit/>
          <w:jc w:val="center"/>
        </w:trPr>
        <w:tc>
          <w:tcPr>
            <w:tcW w:w="1150" w:type="dxa"/>
            <w:vAlign w:val="center"/>
          </w:tcPr>
          <w:p>
            <w:pPr>
              <w:pStyle w:val="tablecopy"/>
              <w:jc w:val="start"/>
            </w:pPr>
            <w:r>
              <w:t>Factory</w:t>
            </w:r>
          </w:p>
        </w:tc>
        <w:tc>
          <w:tcPr>
            <w:tcW w:w="3710" w:type="dxa"/>
            <w:vAlign w:val="center"/>
          </w:tcPr>
          <w:p>
            <w:pPr>
              <w:pStyle w:val="tablecopy"/>
              <w:jc w:val="start"/>
            </w:pPr>
            <w:r>
              <w:t>typed(), PERMIT_TYPES, STATUS_CLASSES, COMPLIANCE_REPORTS, HistoryEvent.for_guard()</w:t>
            </w:r>
          </w:p>
        </w:tc>
      </w:tr>
    </w:tbl>
    <w:p>
      <w:pPr>
        <w:pStyle w:val="Heading1"/>
      </w:pPr>
      <w:r>
        <w:t>Testing and Results</w:t>
      </w:r>
    </w:p>
    <w:p>
      <w:pPr>
        <w:pStyle w:val="Heading2"/>
      </w:pPr>
      <w:r>
        <w:t>Automated Tests</w:t>
      </w:r>
    </w:p>
    <w:p>
      <w:pPr>
        <w:pStyle w:val="BodyText"/>
      </w:pPr>
      <w:r>
        <w:t>We wrote automated tests with Django’s TestCase and SimpleTestCase classes. On October 18, 2026, we ran python manage.py test on the latest version of our code with Python 3.12 and Django 6.1. It found 247 tests, and all 247 passed. The commands python manage.py check and python manage.py makemigrations --check --dry-run also reported no problems. Table III shows what the tests in each app check.</w:t>
      </w:r>
    </w:p>
    <w:p>
      <w:pPr>
        <w:pStyle w:val="tablehead"/>
        <w:keepNext/>
      </w:pPr>
      <w:r>
        <w:t>Automated Tests by App</w:t>
      </w:r>
    </w:p>
    <w:tbl>
      <w:tblPr>
        <w:tblW w:w="486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72" w:type="dxa"/>
          <w:end w:w="72" w:type="dxa"/>
        </w:tblCellMar>
        <w:tblLook w:firstRow="0" w:lastRow="0" w:firstColumn="0" w:lastColumn="0" w:noHBand="0" w:noVBand="0"/>
      </w:tblPr>
      <w:tblGrid>
        <w:gridCol w:w="960"/>
        <w:gridCol w:w="560"/>
        <w:gridCol w:w="3340"/>
      </w:tblGrid>
      <w:tr>
        <w:trPr>
          <w:cantSplit/>
          <w:tblHeader/>
          <w:jc w:val="center"/>
        </w:trPr>
        <w:tc>
          <w:tcPr>
            <w:tcW w:w="960" w:type="dxa"/>
            <w:vAlign w:val="center"/>
          </w:tcPr>
          <w:p>
            <w:pPr>
              <w:pStyle w:val="tablecolhead"/>
              <w:keepNext/>
            </w:pPr>
            <w:r>
              <w:t>App</w:t>
            </w:r>
          </w:p>
        </w:tc>
        <w:tc>
          <w:tcPr>
            <w:tcW w:w="560" w:type="dxa"/>
            <w:vAlign w:val="center"/>
          </w:tcPr>
          <w:p>
            <w:pPr>
              <w:pStyle w:val="tablecolhead"/>
              <w:keepNext/>
            </w:pPr>
            <w:r>
              <w:t>Tests</w:t>
            </w:r>
          </w:p>
        </w:tc>
        <w:tc>
          <w:tcPr>
            <w:tcW w:w="3340" w:type="dxa"/>
            <w:vAlign w:val="center"/>
          </w:tcPr>
          <w:p>
            <w:pPr>
              <w:pStyle w:val="tablecolhead"/>
              <w:keepNext/>
            </w:pPr>
            <w:r>
              <w:t>What the tests check</w:t>
            </w:r>
          </w:p>
        </w:tc>
      </w:tr>
      <w:tr>
        <w:trPr>
          <w:cantSplit/>
          <w:jc w:val="center"/>
        </w:trPr>
        <w:tc>
          <w:tcPr>
            <w:tcW w:w="960" w:type="dxa"/>
            <w:vAlign w:val="center"/>
          </w:tcPr>
          <w:p>
            <w:pPr>
              <w:pStyle w:val="tablecopy"/>
              <w:keepNext/>
              <w:jc w:val="start"/>
            </w:pPr>
            <w:r>
              <w:t>accounts</w:t>
            </w:r>
          </w:p>
        </w:tc>
        <w:tc>
          <w:tcPr>
            <w:tcW w:w="560" w:type="dxa"/>
            <w:vAlign w:val="center"/>
          </w:tcPr>
          <w:p>
            <w:pPr>
              <w:pStyle w:val="tablecopy"/>
              <w:keepNext/>
              <w:jc w:val="center"/>
            </w:pPr>
            <w:r>
              <w:t>16</w:t>
            </w:r>
          </w:p>
        </w:tc>
        <w:tc>
          <w:tcPr>
            <w:tcW w:w="3340" w:type="dxa"/>
            <w:vAlign w:val="center"/>
          </w:tcPr>
          <w:p>
            <w:pPr>
              <w:pStyle w:val="tablecopy"/>
              <w:keepNext/>
              <w:jc w:val="start"/>
            </w:pPr>
            <w:r>
              <w:t>Exactly two roles and their permissions; seed accounts; Admin/HR opens every screen; Guard refused and logged as DENY; step-up rules</w:t>
            </w:r>
          </w:p>
        </w:tc>
      </w:tr>
      <w:tr>
        <w:trPr>
          <w:cantSplit/>
          <w:jc w:val="center"/>
        </w:trPr>
        <w:tc>
          <w:tcPr>
            <w:tcW w:w="960" w:type="dxa"/>
            <w:vAlign w:val="center"/>
          </w:tcPr>
          <w:p>
            <w:pPr>
              <w:pStyle w:val="tablecopy"/>
              <w:keepNext/>
              <w:jc w:val="start"/>
            </w:pPr>
            <w:r>
              <w:t>guards</w:t>
            </w:r>
          </w:p>
        </w:tc>
        <w:tc>
          <w:tcPr>
            <w:tcW w:w="560" w:type="dxa"/>
            <w:vAlign w:val="center"/>
          </w:tcPr>
          <w:p>
            <w:pPr>
              <w:pStyle w:val="tablecopy"/>
              <w:keepNext/>
              <w:jc w:val="center"/>
            </w:pPr>
            <w:r>
              <w:t>114</w:t>
            </w:r>
          </w:p>
        </w:tc>
        <w:tc>
          <w:tcPr>
            <w:tcW w:w="3340" w:type="dxa"/>
            <w:vAlign w:val="center"/>
          </w:tcPr>
          <w:p>
            <w:pPr>
              <w:pStyle w:val="tablecopy"/>
              <w:keepNext/>
              <w:jc w:val="start"/>
            </w:pPr>
            <w:r>
              <w:t>Add, edit and renew rules; status and notice band at each edge; expiry notices; append-only status history; no deletes; neutral wording</w:t>
            </w:r>
          </w:p>
        </w:tc>
      </w:tr>
      <w:tr>
        <w:trPr>
          <w:cantSplit/>
          <w:jc w:val="center"/>
        </w:trPr>
        <w:tc>
          <w:tcPr>
            <w:tcW w:w="960" w:type="dxa"/>
            <w:vAlign w:val="center"/>
          </w:tcPr>
          <w:p>
            <w:pPr>
              <w:pStyle w:val="tablecopy"/>
              <w:keepNext/>
              <w:jc w:val="start"/>
            </w:pPr>
            <w:r>
              <w:t>deployment</w:t>
            </w:r>
          </w:p>
        </w:tc>
        <w:tc>
          <w:tcPr>
            <w:tcW w:w="560" w:type="dxa"/>
            <w:vAlign w:val="center"/>
          </w:tcPr>
          <w:p>
            <w:pPr>
              <w:pStyle w:val="tablecopy"/>
              <w:keepNext/>
              <w:jc w:val="center"/>
            </w:pPr>
            <w:r>
              <w:t>22</w:t>
            </w:r>
          </w:p>
        </w:tc>
        <w:tc>
          <w:tcPr>
            <w:tcW w:w="3340" w:type="dxa"/>
            <w:vAlign w:val="center"/>
          </w:tcPr>
          <w:p>
            <w:pPr>
              <w:pStyle w:val="tablecopy"/>
              <w:keepNext/>
              <w:jc w:val="start"/>
            </w:pPr>
            <w:r>
              <w:t>Each refusal rule; a refused guard is never posted and is logged as Denied; End posting works once; Guard refused</w:t>
            </w:r>
          </w:p>
        </w:tc>
      </w:tr>
      <w:tr>
        <w:trPr>
          <w:cantSplit/>
          <w:jc w:val="center"/>
        </w:trPr>
        <w:tc>
          <w:tcPr>
            <w:tcW w:w="960" w:type="dxa"/>
            <w:vAlign w:val="center"/>
          </w:tcPr>
          <w:p>
            <w:pPr>
              <w:pStyle w:val="tablecopy"/>
              <w:keepNext/>
              <w:jc w:val="start"/>
            </w:pPr>
            <w:r>
              <w:t>audit</w:t>
            </w:r>
          </w:p>
        </w:tc>
        <w:tc>
          <w:tcPr>
            <w:tcW w:w="560" w:type="dxa"/>
            <w:vAlign w:val="center"/>
          </w:tcPr>
          <w:p>
            <w:pPr>
              <w:pStyle w:val="tablecopy"/>
              <w:keepNext/>
              <w:jc w:val="center"/>
            </w:pPr>
            <w:r>
              <w:t>41</w:t>
            </w:r>
          </w:p>
        </w:tc>
        <w:tc>
          <w:tcPr>
            <w:tcW w:w="3340" w:type="dxa"/>
            <w:vAlign w:val="center"/>
          </w:tcPr>
          <w:p>
            <w:pPr>
              <w:pStyle w:val="tablecopy"/>
              <w:keepNext/>
              <w:jc w:val="start"/>
            </w:pPr>
            <w:r>
              <w:t>Alert limits and office hours in Philippine time; no password stored; history events and their order; no medical result in history</w:t>
            </w:r>
          </w:p>
        </w:tc>
      </w:tr>
      <w:tr>
        <w:trPr>
          <w:cantSplit/>
          <w:jc w:val="center"/>
        </w:trPr>
        <w:tc>
          <w:tcPr>
            <w:tcW w:w="960" w:type="dxa"/>
            <w:vAlign w:val="center"/>
          </w:tcPr>
          <w:p>
            <w:pPr>
              <w:pStyle w:val="tablecopy"/>
              <w:keepNext/>
              <w:jc w:val="start"/>
            </w:pPr>
            <w:r>
              <w:t>reports</w:t>
            </w:r>
          </w:p>
        </w:tc>
        <w:tc>
          <w:tcPr>
            <w:tcW w:w="560" w:type="dxa"/>
            <w:vAlign w:val="center"/>
          </w:tcPr>
          <w:p>
            <w:pPr>
              <w:pStyle w:val="tablecopy"/>
              <w:keepNext/>
              <w:jc w:val="center"/>
            </w:pPr>
            <w:r>
              <w:t>54</w:t>
            </w:r>
          </w:p>
        </w:tc>
        <w:tc>
          <w:tcPr>
            <w:tcW w:w="3340" w:type="dxa"/>
            <w:vAlign w:val="center"/>
          </w:tcPr>
          <w:p>
            <w:pPr>
              <w:pStyle w:val="tablecopy"/>
              <w:keepNext/>
              <w:jc w:val="start"/>
            </w:pPr>
            <w:r>
              <w:t>Client report shows only its own site; no sensitive data in reports or CSV files; one REPORT entry per print or download; punctuality; append-only attendance and evaluations</w:t>
            </w:r>
          </w:p>
        </w:tc>
      </w:tr>
      <w:tr>
        <w:trPr>
          <w:cantSplit/>
          <w:jc w:val="center"/>
        </w:trPr>
        <w:tc>
          <w:tcPr>
            <w:tcW w:w="960" w:type="dxa"/>
            <w:vAlign w:val="center"/>
          </w:tcPr>
          <w:p>
            <w:pPr>
              <w:pStyle w:val="tablecopy"/>
              <w:jc w:val="start"/>
            </w:pPr>
            <w:r>
              <w:t>Total</w:t>
            </w:r>
          </w:p>
        </w:tc>
        <w:tc>
          <w:tcPr>
            <w:tcW w:w="560" w:type="dxa"/>
            <w:vAlign w:val="center"/>
          </w:tcPr>
          <w:p>
            <w:pPr>
              <w:pStyle w:val="tablecopy"/>
              <w:jc w:val="center"/>
            </w:pPr>
            <w:r>
              <w:t>247</w:t>
            </w:r>
          </w:p>
        </w:tc>
        <w:tc>
          <w:tcPr>
            <w:tcW w:w="3340" w:type="dxa"/>
            <w:vAlign w:val="center"/>
          </w:tcPr>
          <w:p>
            <w:pPr>
              <w:pStyle w:val="tablecopy"/>
              <w:jc w:val="start"/>
            </w:pPr>
            <w:r>
              <w:t>All passed on October 18, 2026</w:t>
            </w:r>
          </w:p>
        </w:tc>
      </w:tr>
    </w:tbl>
    <w:p>
      <w:pPr>
        <w:pStyle w:val="Heading2"/>
      </w:pPr>
      <w:r>
        <w:t>Functional Tests by Role</w:t>
      </w:r>
    </w:p>
    <w:p>
      <w:pPr>
        <w:pStyle w:val="BodyText"/>
      </w:pPr>
      <w:r>
        <w:t>Many of these tests are functional tests. They log in as each role with Django’s test client and open the real pages. For Admin/HR, they open the dashboard, the guard list, Add Guard, the audit log and a guard profile, check that the contact number is masked before step-up, refuse an edit of personal details without step-up and log it as DENY, refuse to post a guard who is not cleared and log every reason, and refuse to print a compliance report when the password is wrong. For the Guard role, they open the guard’s own profile, and they check that the dashboard, the guard list, Add Guard, the audit log and another guard’s profile return an Access refused page with a DENY entry that names the user and the role. They also check that a guard cannot step up for another guard, and that the deployment, notification, permit, guard report and alert pages are refused.</w:t>
      </w:r>
    </w:p>
    <w:p>
      <w:pPr>
        <w:pStyle w:val="BodyText"/>
      </w:pPr>
      <w:r>
        <w:t>We also ran a short scripted walk-through on a fresh copy of the demo data. As Admin/HR, we opened nine main pages, and all of them loaded. A wrong password at step-up was refused and logged as a STEP_UP entry with the outcome Denied, and the right password unlocked the profile. As the guard account guard1, we tried ten pages that belong to Admin/HR. All ten were refused and logged as ten new DENY entries, while the guard’s own profile opened. Last, we set the guard’s last activity time to 200 seconds in the past. The next request was sent to the login page, and a TIMEOUT entry was logged. The idle timeout has no automated test yet, so we checked it this way.</w:t>
      </w:r>
    </w:p>
    <w:p>
      <w:pPr>
        <w:pStyle w:val="Heading2"/>
      </w:pPr>
      <w:r>
        <w:t>Results</w:t>
      </w:r>
    </w:p>
    <w:p>
      <w:pPr>
        <w:pStyle w:val="BodyText"/>
      </w:pPr>
      <w:r>
        <w:t>On the demo data, GuardReady counts eight current guards: 3 Cleared, 2 Expiring soon and 3 Not cleared, as the demo data was designed. The first expiry check made 8 notices. In our tests, every refused page and every refused posting was logged. We did not run a study with users, so we do not report ratings or task times.</w:t>
      </w:r>
    </w:p>
    <w:p>
      <w:pPr>
        <w:pStyle w:val="Heading1"/>
      </w:pPr>
      <w:r>
        <w:t>Conclusion and Future Work</w:t>
      </w:r>
    </w:p>
    <w:p>
      <w:pPr>
        <w:pStyle w:val="Heading2"/>
      </w:pPr>
      <w:r>
        <w:t>Conclusion</w:t>
      </w:r>
    </w:p>
    <w:p>
      <w:pPr>
        <w:pStyle w:val="BodyText"/>
      </w:pPr>
      <w:r>
        <w:t>We built GuardReady, a web system that keeps the six papers of every guard, shows each guard’s readiness, warns HR before a paper expires, and refuses to post a guard who is not ready. Its design uses abstraction, inheritance, polymorphism and encapsulation, and it adds zero trust controls: a permission check on every page, step-up for sensitive records, an idle timeout and an append-only audit log. All 247 automated tests pass. GuardReady meets the objectives of our course project, but it needs the work below before real use.</w:t>
      </w:r>
    </w:p>
    <w:p>
      <w:pPr>
        <w:pStyle w:val="Heading2"/>
      </w:pPr>
      <w:r>
        <w:t>Future Work</w:t>
      </w:r>
    </w:p>
    <w:p>
      <w:pPr>
        <w:pStyle w:val="bulletlist"/>
      </w:pPr>
      <w:r>
        <w:t>Confirm the placeholder values with the agency and SOSIA: the validity periods of the NBI clearance, the police clearance, the neuro-psychiatric exam and the training certificate, the guard types, the employment status reasons, and the alert limits and office hours.</w:t>
      </w:r>
    </w:p>
    <w:p>
      <w:pPr>
        <w:pStyle w:val="bulletlist"/>
      </w:pPr>
      <w:r>
        <w:t>Move to PostgreSQL with an audit table that only allows inserts, set a secret key and turn off debug mode, because SQLite can still be changed outside the app.</w:t>
      </w:r>
    </w:p>
    <w:p>
      <w:pPr>
        <w:pStyle w:val="bulletlist"/>
      </w:pPr>
      <w:r>
        <w:t>Add a background scheduler for the daily expiry check, and reminders by email or SMS.</w:t>
      </w:r>
    </w:p>
    <w:p>
      <w:pPr>
        <w:pStyle w:val="bulletlist"/>
      </w:pPr>
      <w:r>
        <w:t>Add upload of scanned papers, screens to add sites and posts, and account management screens.</w:t>
      </w:r>
    </w:p>
    <w:p>
      <w:pPr>
        <w:pStyle w:val="bulletlist"/>
      </w:pPr>
      <w:r>
        <w:t>Add a way to correct a wrong attendance record or a wrong issuer, and decide whether guards may read their own reports.</w:t>
      </w:r>
    </w:p>
    <w:p>
      <w:pPr>
        <w:pStyle w:val="bulletlist"/>
      </w:pPr>
      <w:r>
        <w:t>Review whether document numbers should also be masked, since RA No. 10173 lists licenses among sensitive personal information [4].</w:t>
      </w:r>
    </w:p>
    <w:p>
      <w:pPr>
        <w:pStyle w:val="bulletlist"/>
      </w:pPr>
      <w:r>
        <w:t>Test the system with HR staff of a real agency.</w:t>
      </w:r>
    </w:p>
    <w:p>
      <w:pPr>
        <w:pStyle w:val="Heading5"/>
        <w:keepNext/>
      </w:pPr>
      <w:r>
        <w:t>Acknowledgment</w:t>
      </w:r>
    </w:p>
    <w:p>
      <w:pPr>
        <w:pStyle w:val="BodyText"/>
      </w:pPr>
      <w:r>
        <w:t>We thank [Professor name] for guiding this project and for asking us to add zero trust to our design. We also thank [names of people we consulted] for their time and advice.</w:t>
      </w:r>
    </w:p>
    <w:p>
      <w:pPr>
        <w:pStyle w:val="Heading5"/>
        <w:keepNext/>
      </w:pPr>
      <w:r>
        <w:t>References</w:t>
      </w:r>
    </w:p>
    <w:p>
      <w:pPr>
        <w:pStyle w:val="references"/>
      </w:pPr>
      <w:r>
        <w:t>Private Security Services Industry Act, Republic Act No. 11917, Philippines, Jul. 30, 2022. Accessed: Oct. 18, 2026. [Online]. Available: https://legacy.senate.gov.ph/republic_acts/ra%2011917.pdf</w:t>
      </w:r>
    </w:p>
    <w:p>
      <w:pPr>
        <w:pStyle w:val="references"/>
      </w:pPr>
      <w:r>
        <w:t>GuardsPro, “Security license management made simple with GuardsPro,” GuardsPro Blog, Aug. 4, 2025. Accessed: Oct. 18, 2026. [Online]. Available: https://blog.guardspro.com/security-license-management-made-simple-with-guardspro/</w:t>
      </w:r>
    </w:p>
    <w:p>
      <w:pPr>
        <w:pStyle w:val="references"/>
      </w:pPr>
      <w:r>
        <w:t>R. R. Panko, “Spreadsheet errors: What we know. What we think we can do,” in Proc. European Spreadsheet Risks Interest Group (EuSpRIG) Symp., Greenwich, U.K., Jul. 2000, arXiv:0802.3457. Accessed: Oct. 18, 2026. [Online]. Available: https://arxiv.org/pdf/0802.3457</w:t>
      </w:r>
    </w:p>
    <w:p>
      <w:pPr>
        <w:pStyle w:val="references"/>
      </w:pPr>
      <w:r>
        <w:t>Data Privacy Act of 2012, Republic Act No. 10173, Philippines, Aug. 15, 2012. Accessed: Oct. 18, 2026. [Online]. Available: https://www.privacy.gov.ph/data-privacy-act/</w:t>
      </w:r>
    </w:p>
    <w:p>
      <w:pPr>
        <w:pStyle w:val="references"/>
      </w:pPr>
      <w:r>
        <w:t>United Nations, “Goal 8,” Sustainable Development. Accessed: Oct. 18, 2026. [Online]. Available: https://sdgs.un.org/goals/goal8</w:t>
      </w:r>
    </w:p>
    <w:p>
      <w:pPr>
        <w:pStyle w:val="references"/>
      </w:pPr>
      <w:r>
        <w:t>United Nations, “Goal 16,” Sustainable Development. Accessed: Oct. 18, 2026. [Online]. Available: https://sdgs.un.org/goals/goal16</w:t>
      </w:r>
    </w:p>
    <w:p>
      <w:pPr>
        <w:pStyle w:val="references"/>
      </w:pPr>
      <w:r>
        <w:t>S. Rose, O. Borchert, S. Mitchell, and S. Connelly, “Zero trust architecture,” National Institute of Standards and Technology, NIST Special Publication 800-207, Aug. 2020, doi: 10.6028/NIST.SP.800-207.</w:t>
      </w:r>
    </w:p>
    <w:p>
      <w:pPr>
        <w:pStyle w:val="references"/>
      </w:pPr>
      <w:r>
        <w:t>D. F. Ferraiolo and D. R. Kuhn, “Role-based access controls,” in Proc. 15th National Computer Security Conf., Baltimore, MD, USA, Oct. 1992, pp. 554-563.</w:t>
      </w:r>
    </w:p>
    <w:p>
      <w:pPr>
        <w:pStyle w:val="references"/>
      </w:pPr>
      <w:r>
        <w:t>D. Temoshok et al., “Digital identity guidelines: Authentication and authenticator management,” National Institute of Standards and Technology, NIST Special Publication 800-63B-4, Jul. 2025, doi: 10.6028/NIST.SP.800-63b-4.</w:t>
      </w:r>
    </w:p>
    <w:p>
      <w:pPr>
        <w:pStyle w:val="references"/>
      </w:pPr>
      <w:r>
        <w:t>K. Kent and M. Souppaya, “Guide to computer security log management,” National Institute of Standards and Technology, NIST Special Publication 800-92, Sep. 2006. Accessed: Oct. 18, 2026. [Online]. Available: https://nvlpubs.nist.gov/nistpubs/Legacy/SP/nistspecialpublication800-92.pdf</w:t>
      </w:r>
    </w:p>
    <w:p>
      <w:pPr>
        <w:pStyle w:val="references"/>
      </w:pPr>
      <w:r>
        <w:t>National Privacy Commission, “Implementing rules and regulations of Republic Act No. 10173, known as the ‘Data Privacy Act of 2012’,” Aug. 24, 2016. Accessed: Oct. 18, 2026. [Online]. Available: https://elibrary.judiciary.gov.ph/thebookshelf/showdocs/2/70735</w:t>
      </w:r>
    </w:p>
    <w:p>
      <w:pPr>
        <w:pStyle w:val="references"/>
      </w:pPr>
      <w:r>
        <w:t>Guardhouse, “Reduce compliance risks and operate smarter with Guardhouse,” Guardhouse Blog, Oct. 4, 2022. Accessed: Oct. 18, 2026. [Online]. Available: https://guardhousehq.com/blog/reduce-compliance-risks-and-operate-smarter-with-guardhouse</w:t>
      </w:r>
    </w:p>
    <w:p>
      <w:pPr>
        <w:pStyle w:val="references"/>
      </w:pPr>
      <w:r>
        <w:t>Django Software Foundation, “FAQ: General,” Django 6.1 Documentation. Accessed: Oct. 18, 2026. [Online]. Available: https://docs.djangoproject.com/en/6.1/faq/general/</w:t>
      </w:r>
    </w:p>
    <w:p>
      <w:pPr>
        <w:pStyle w:val="references"/>
      </w:pPr>
      <w:r>
        <w:t>Python Software Foundation, “abc, Abstract base classes,” Python 3.12 Documentation. Accessed: Oct. 18, 2026. [Online]. Available: https://docs.python.org/3.12/library/abc.html</w:t>
      </w:r>
    </w:p>
    <w:p>
      <w:pPr>
        <w:pStyle w:val="references"/>
      </w:pPr>
      <w:r>
        <w:t>Django Software Foundation, “Models,” Django 6.1 Documentation. Accessed: Oct. 18, 2026. [Online]. Available: https://docs.djangoproject.com/en/6.1/topics/db/models/</w:t>
      </w:r>
    </w:p>
    <w:p>
      <w:pPr>
        <w:pStyle w:val="references"/>
      </w:pPr>
      <w:r>
        <w:t>Django Software Foundation, “Using the Django authentication system,” Django 6.1 Documentation. Accessed: Oct. 18, 2026. [Online]. Available: https://docs.djangoproject.com/en/6.1/topics/auth/default/</w:t>
      </w:r>
    </w:p>
    <w:p>
      <w:pPr>
        <w:pStyle w:val="references"/>
        <w:sectPr w:rsidR="00836367" w:rsidRPr="00F96569" w:rsidSect="003B4E04">
          <w:type w:val="continuous"/>
          <w:pgSz w:w="595.30pt" w:h="841.90pt" w:code="9"/>
          <w:pgMar w:top="54pt" w:right="45.35pt" w:bottom="72pt" w:left="45.35pt" w:header="36pt" w:footer="36pt" w:gutter="0pt"/>
          <w:cols w:num="2" w:space="18pt"/>
          <w:docGrid w:linePitch="360"/>
        </w:sectPr>
      </w:pPr>
      <w:r>
        <w:t>Dangerous Drugs Board, “Implementing rules and regulations governing accreditation of drug testing laboratories in the Philippines,” Board Regulation No. 2, Series of 2003, Jun. 27, 2003. Accessed: Oct. 18, 2026. [Online]. Available: https://ddb.gov.ph/images/Board_Regulation/2003/Bd.%20Reg.%202%2003.pdf</w:t>
      </w:r>
    </w:p>
    <w:p w14:paraId="4EF2B8B8" w14:textId="77777777" w:rsidR="009303D9" w:rsidRDefault="003B2B40"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4" Type="http://purl.oclc.org/ooxml/officeDocument/relationships/settings" Target="setting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GuardReady, a Zero Trust Web System for Tracking Security Guard Credentials and Deployment Readiness</vt:lpstr>
    </vt:vector>
  </TitlesOfParts>
  <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GuardReady, a Zero Trust Web System for Tracking Security Guard Credentials and Deployment Readiness</dc:title>
  <dc:subject/>
  <dc:creator>Henrich Lumanas</dc:creator>
  <cp:keywords>credential tracking, deployment readiness, object-oriented programming, zero trust, data privacy, Django</cp:keywords>
  <cp:lastModifiedBy>Henrich Lumanas</cp:lastModifiedBy>
  <cp:revision>2</cp:revision>
  <dcterms:created xsi:type="dcterms:W3CDTF">2026-10-18T12:00:00Z</dcterms:created>
  <dcterms:modified xsi:type="dcterms:W3CDTF">2026-10-18T12:00:00Z</dcterms:modified>
</cp:coreProperties>
</file>