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b/>
          <w:bCs/>
          <w:color w:val="0F2E52"/>
          <w:sz w:val="56"/>
          <w:szCs w:val="56"/>
        </w:rPr>
        <w:t xml:space="preserve">3P PARTNER</w:t>
      </w:r>
    </w:p>
    <w:p>
      <w:pPr>
        <w:spacing w:after="400" w:before="120"/>
        <w:jc w:val="center"/>
      </w:pPr>
      <w:r>
        <w:rPr>
          <w:b/>
          <w:bCs/>
          <w:color w:val="1B4F8A"/>
          <w:sz w:val="34"/>
          <w:szCs w:val="34"/>
        </w:rPr>
        <w:t xml:space="preserve">Backend (NestJS API)</w:t>
      </w:r>
    </w:p>
    <w:p>
      <w:pPr>
        <w:spacing w:after="900"/>
        <w:jc w:val="center"/>
      </w:pPr>
      <w:r>
        <w:rPr>
          <w:i/>
          <w:iCs/>
          <w:color w:val="444444"/>
          <w:sz w:val="24"/>
          <w:szCs w:val="24"/>
        </w:rPr>
        <w:t xml:space="preserve">Техническое руководство для разработчиков и сопровождения</w:t>
      </w:r>
    </w:p>
    <w:tbl>
      <w:tblPr>
        <w:tblW w:type="dxa" w:w="6400"/>
        <w:jc w:val="center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400"/>
      </w:tblGrid>
      <w:tr>
        <w:tc>
          <w:tcPr>
            <w:tcW w:type="dxa" w:w="6400"/>
            <w:shd w:fill="F2F4F7" w:val="clear"/>
            <w:tcMar>
              <w:top w:type="dxa" w:w="240"/>
              <w:left w:type="dxa" w:w="260"/>
              <w:bottom w:type="dxa" w:w="24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NestJS + Prisma + MS SQL Server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default">API на /api/v1, порт по умолчанию 3032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360"/>
      </w:pPr>
      <w:r>
        <w:t xml:space="preserve">1. Стек и общая архитектура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Фреймворк: </w:t>
      </w:r>
      <w:r>
        <w:rPr>
          <w:color w:val="444444"/>
          <w:sz w:val="22"/>
          <w:szCs w:val="22"/>
        </w:rPr>
        <w:t xml:space="preserve">NestJS 10 (Express adapter).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ORM: </w:t>
      </w:r>
      <w:r>
        <w:rPr>
          <w:color w:val="444444"/>
          <w:sz w:val="22"/>
          <w:szCs w:val="22"/>
        </w:rPr>
        <w:t xml:space="preserve">Prisma 5, провайдер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sqlserver</w:t>
      </w:r>
      <w:r>
        <w:rPr>
          <w:color w:val="444444"/>
          <w:sz w:val="22"/>
          <w:szCs w:val="22"/>
        </w:rPr>
        <w:t xml:space="preserve"> (MS SQL Server).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Валидация: </w:t>
      </w:r>
      <w:r>
        <w:rPr>
          <w:color w:val="444444"/>
          <w:sz w:val="22"/>
          <w:szCs w:val="22"/>
        </w:rPr>
        <w:t xml:space="preserve">class-validator/class-transformer, глобальный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ValidationPipe({ whitelist: true, forbidNonWhitelisted: true, transform: true })</w:t>
      </w:r>
      <w:r>
        <w:rPr>
          <w:color w:val="444444"/>
          <w:sz w:val="22"/>
          <w:szCs w:val="22"/>
        </w:rPr>
        <w:t xml:space="preserve"> — тело запроса с незнакомыми полями будет отклонено.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Документация API: </w:t>
      </w:r>
      <w:r>
        <w:rPr>
          <w:color w:val="444444"/>
          <w:sz w:val="22"/>
          <w:szCs w:val="22"/>
        </w:rPr>
        <w:t xml:space="preserve">Swagger/OpenAPI, автогенерируется из декораторов контроллеров.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Загрузка файлов: </w:t>
      </w:r>
      <w:r>
        <w:rPr>
          <w:color w:val="444444"/>
          <w:sz w:val="22"/>
          <w:szCs w:val="22"/>
        </w:rPr>
        <w:t xml:space="preserve">multer (фото SKU).</w:t>
      </w:r>
    </w:p>
    <w:p>
      <w:pPr>
        <w:spacing w:after="160" w:before="100"/>
      </w:pPr>
      <w:r>
        <w:rPr>
          <w:color w:val="444444"/>
          <w:sz w:val="22"/>
          <w:szCs w:val="22"/>
        </w:rPr>
        <w:t xml:space="preserve">Backend одновременно раздаёт собранный фронтенд (статику из frontend/dist) — в продакшене это единственный процесс, который нужно запускать.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2. Запуск проекта</w:t>
      </w:r>
    </w:p>
    <w:p>
      <w:pPr>
        <w:pStyle w:val="Heading2"/>
        <w:spacing w:after="120" w:before="280"/>
      </w:pPr>
      <w:r>
        <w:t xml:space="preserve">2.1. Разработка (dev)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Backend: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npm run start:dev</w:t>
      </w:r>
      <w:r>
        <w:rPr>
          <w:color w:val="444444"/>
          <w:sz w:val="22"/>
          <w:szCs w:val="22"/>
        </w:rPr>
        <w:t xml:space="preserve"> (папка backend) — порт </w:t>
      </w:r>
      <w:r>
        <w:rPr>
          <w:b/>
          <w:bCs/>
          <w:color w:val="1A1A1A"/>
          <w:sz w:val="22"/>
          <w:szCs w:val="22"/>
        </w:rPr>
        <w:t xml:space="preserve">3032</w:t>
      </w:r>
      <w:r>
        <w:rPr>
          <w:color w:val="444444"/>
          <w:sz w:val="22"/>
          <w:szCs w:val="22"/>
        </w:rPr>
        <w:t xml:space="preserve">, перезапуск при изменении файлов.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Frontend: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npm run dev</w:t>
      </w:r>
      <w:r>
        <w:rPr>
          <w:color w:val="444444"/>
          <w:sz w:val="22"/>
          <w:szCs w:val="22"/>
        </w:rPr>
        <w:t xml:space="preserve"> (папка frontend) — порт </w:t>
      </w:r>
      <w:r>
        <w:rPr>
          <w:b/>
          <w:bCs/>
          <w:color w:val="1A1A1A"/>
          <w:sz w:val="22"/>
          <w:szCs w:val="22"/>
        </w:rPr>
        <w:t xml:space="preserve">3033</w:t>
      </w:r>
      <w:r>
        <w:rPr>
          <w:color w:val="444444"/>
          <w:sz w:val="22"/>
          <w:szCs w:val="22"/>
        </w:rPr>
        <w:t xml:space="preserve">, Vite dev-сервер.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Удобный скрипт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start-dev.ps1</w:t>
      </w:r>
      <w:r>
        <w:rPr>
          <w:color w:val="444444"/>
          <w:sz w:val="22"/>
          <w:szCs w:val="22"/>
        </w:rPr>
        <w:t xml:space="preserve"> в корне репозитория открывает оба процесса сразу в отдельных окнах PowerShell и печатает адреса, включая Swagger.</w:t>
      </w:r>
    </w:p>
    <w:p>
      <w:pPr>
        <w:pStyle w:val="Heading2"/>
        <w:spacing w:after="120" w:before="280"/>
      </w:pPr>
      <w:r>
        <w:t xml:space="preserve">2.2. Продакшен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Сборка backend: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nest build</w:t>
      </w:r>
      <w:r>
        <w:rPr>
          <w:color w:val="444444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dist/main.js</w:t>
      </w:r>
      <w:r>
        <w:rPr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Сборка frontend: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tsc &amp;&amp; vite build</w:t>
      </w:r>
      <w:r>
        <w:rPr>
          <w:color w:val="444444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frontend/dist</w:t>
      </w:r>
      <w:r>
        <w:rPr>
          <w:color w:val="444444"/>
          <w:sz w:val="22"/>
          <w:szCs w:val="22"/>
        </w:rPr>
        <w:t xml:space="preserve"> (backend раздаёт эту папку статикой, отдельный процесс для фронта не нужен).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Процесс управляется через PM2, конфиг —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ecosystem.config.cjs</w:t>
      </w:r>
      <w:r>
        <w:rPr>
          <w:color w:val="444444"/>
          <w:sz w:val="22"/>
          <w:szCs w:val="22"/>
        </w:rPr>
        <w:t xml:space="preserve"> в корне репозитория: один процесс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3p-partner-backend</w:t>
      </w:r>
      <w:r>
        <w:rPr>
          <w:color w:val="44444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cwd: backend</w:t>
      </w:r>
      <w:r>
        <w:rPr>
          <w:color w:val="44444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script: dist/main.js</w:t>
      </w:r>
      <w:r>
        <w:rPr>
          <w:color w:val="444444"/>
          <w:sz w:val="22"/>
          <w:szCs w:val="22"/>
        </w:rPr>
        <w:t xml:space="preserve">, fork-режим, без watch.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Логи PM2 пишутся в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./logs/backend-error.log</w:t>
      </w:r>
      <w:r>
        <w:rPr>
          <w:color w:val="444444"/>
          <w:sz w:val="22"/>
          <w:szCs w:val="22"/>
        </w:rPr>
        <w:t xml:space="preserve"> и </w:t>
      </w:r>
      <w:r>
        <w:rPr>
          <w:rFonts w:ascii="Consolas" w:cs="Consolas" w:eastAsia="Consolas" w:hAnsi="Consolas"/>
          <w:color w:val="0F2E52"/>
          <w:sz w:val="20"/>
          <w:szCs w:val="20"/>
        </w:rPr>
        <w:t xml:space="preserve">./logs/backend-out.log</w:t>
      </w:r>
      <w:r>
        <w:rPr>
          <w:color w:val="444444"/>
          <w:sz w:val="22"/>
          <w:szCs w:val="22"/>
        </w:rPr>
        <w:t xml:space="preserve"> (относительно каталога, из которого запущен PM2).</w:t>
      </w:r>
    </w:p>
    <w:tbl>
      <w:tblPr>
        <w:tblW w:type="dxa" w:w="9060"/>
        <w:tblBorders>
          <w:top w:val="single" w:color="1B4F8A" w:sz="4"/>
          <w:left w:val="single" w:color="1B4F8A" w:sz="24"/>
          <w:bottom w:val="single" w:color="1B4F8A" w:sz="4"/>
          <w:right w:val="single" w:color="1B4F8A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Частая проблема при перезапуске</w:t>
            </w:r>
          </w:p>
          <w:p>
            <w:r>
              <w:rPr>
                <w:color w:val="444444"/>
                <w:sz w:val="22"/>
                <w:szCs w:val="22"/>
              </w:rPr>
              <w:t xml:space="preserve">Если старый процесс node dist/main.js остался висеть на порту 3032, новый запуск может либо упасть с EADDRINUSE, либо (что опаснее) новый процесс не поднимется, а старый — с устаревшим кодом — продолжит отвечать на запросы, создавая иллюзию, что деплой не подействовал. Перед перезапуском проверяйте занятость порта и завершайте старый процесс явно, не полагаясь только на pm2 restart.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2.3. Переменные окружения (backend/.env)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Переменная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DATABASE_URL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Строка подключения к MS SQL Server (формат Prisma: sqlserver://host:port;database=...;user=...;password=...;encrypt=true;...).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PORT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Порт, на котором слушает backend (по умолчанию 3032, если не задан).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CORS_ORIGIN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Присутствует в .env, но в текущем коде main.ts не используется — CORS настроен жёстко как origin: '*'. Задание этой переменной сейчас ни на что не влияет.</w:t>
            </w:r>
          </w:p>
        </w:tc>
      </w:tr>
    </w:tbl>
    <w:p>
      <w:pPr>
        <w:spacing w:after="160"/>
      </w:pPr>
    </w:p>
    <w:tbl>
      <w:tblPr>
        <w:tblW w:type="dxa" w:w="9060"/>
        <w:tblBorders>
          <w:top w:val="single" w:color="B3261E" w:sz="4"/>
          <w:left w:val="single" w:color="B3261E" w:sz="24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Замечание по безопасности</w:t>
            </w:r>
          </w:p>
          <w:p>
            <w:r>
              <w:rPr>
                <w:color w:val="444444"/>
                <w:sz w:val="22"/>
                <w:szCs w:val="22"/>
              </w:rPr>
              <w:t xml:space="preserve">В ecosystem.config.cjs строка подключения к боевой базе (включая пароль пользователя sa) прописана открытым текстом и хранится в репозитории. Это стоит иметь в виду при передаче доступа к репозиторию и при возможном будущем переносе секрета в переменные окружения/секрет-хранилище.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Структура модулей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60"/>
      </w:tblGrid>
      <w:tr>
        <w:trPr>
          <w:tblHeader/>
        </w:trPr>
        <w:tc>
          <w:tcPr>
            <w:tcW w:type="dxa" w:w="24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66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c>
          <w:tcPr>
            <w:tcW w:type="dxa" w:w="24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PrismaModule</w:t>
            </w:r>
          </w:p>
        </w:tc>
        <w:tc>
          <w:tcPr>
            <w:tcW w:type="dxa" w:w="66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Обёртка над PrismaClient, доступна через DI во всех остальных модулях.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PartnersModule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Карточки партнёров и журнал их изменений (PartnerHistory).</w:t>
            </w:r>
          </w:p>
        </w:tc>
      </w:tr>
      <w:tr>
        <w:tc>
          <w:tcPr>
            <w:tcW w:type="dxa" w:w="24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SkusModule</w:t>
            </w:r>
          </w:p>
        </w:tc>
        <w:tc>
          <w:tcPr>
            <w:tcW w:type="dxa" w:w="66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Справочник SKU по партнёрам, фото товаров, справочник операций и тарифов (второй контроллер TariffsController живёт в этом же модуле).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RequestsModule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Заявки партнёров: позиции, расчёт стоимости, статус, выполнение операций со стороны ТСД.</w:t>
            </w:r>
          </w:p>
        </w:tc>
      </w:tr>
      <w:tr>
        <w:tc>
          <w:tcPr>
            <w:tcW w:type="dxa" w:w="24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DocumentsModule</w:t>
            </w:r>
          </w:p>
        </w:tc>
        <w:tc>
          <w:tcPr>
            <w:tcW w:type="dxa" w:w="66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Журнал складских документов (МХ-1/ТОРГ-2/ТТН/МХ-3), используется модулями приёмки и отгрузки.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ReceivingModule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Приёмка товара по заявке, защита от превышения количества, формирование документов.</w:t>
            </w:r>
          </w:p>
        </w:tc>
      </w:tr>
      <w:tr>
        <w:tc>
          <w:tcPr>
            <w:tcW w:type="dxa" w:w="24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StorageModule</w:t>
            </w:r>
          </w:p>
        </w:tc>
        <w:tc>
          <w:tcPr>
            <w:tcW w:type="dxa" w:w="66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Ledger-модель складских остатков: размещение/снятие/перемещение, балансы, история.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ShippingModule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Отгрузки по заявке, отметка о фактической отгрузке, формирование документов.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4. REST API (префикс /api/v1)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Полная интерактивная документация со схемами тел запросов — Swagger UI, доступен по адресу /api/docs (сгруппирован по тегам на русском языке, соответствующим разделам ниже).</w:t>
      </w:r>
    </w:p>
    <w:p>
      <w:pPr>
        <w:pStyle w:val="Heading2"/>
        <w:spacing w:after="120" w:before="280"/>
      </w:pPr>
      <w:r>
        <w:t xml:space="preserve">4.1. Партнёры — /partners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/partners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Создать партнёра. 409, если уже есть партнёр с такой же парой ИНН+№ договора.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/partners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Список с фильтрами search и isActive.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/partners/:id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Карточка одного партнёра.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PATCH /partners/:id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Изменить карточку; каждое изменённое поле логируется в историю.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PATCH /partners/:id/deactivate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Деактивировать (409, если уже неактивен).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PATCH /partners/:id/activate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Активировать (409, если уже активен).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/partners/:id/history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Журнал изменений партнёра.</w:t>
            </w:r>
          </w:p>
        </w:tc>
      </w:tr>
    </w:tbl>
    <w:p>
      <w:pPr>
        <w:pStyle w:val="Heading2"/>
        <w:spacing w:after="120" w:before="280"/>
      </w:pPr>
      <w:r>
        <w:t xml:space="preserve">4.2. Справочник SKU — /skus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/skus/operations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Справочник операций.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/skus/tariffs?partnerId=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Тарифы партнёра.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/skus/tariffs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Массовый апсерт тарифов партнёра.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/skus?partnerId=&amp;search=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Список SKU партнёра с поиском.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/skus/:id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Карточка SKU с операциями и фото.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/skus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Создать SKU. 409 при дубле артикула у партнёра, 400 при неизвестном коде операции.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/skus/import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Массовый импорт каталога (по умолчанию — полная замена, если явно не указано replace: false).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PATCH /skus/:id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Изменить SKU; список операций (если передан) заменяется полностью.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DELETE /skus/:id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Удалить SKU. Позиции заявок не удаляются, а теряют ссылку на SKU.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DELETE /skus?partnerId=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Удалить весь справочник партнёра.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/skus/:id/photos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Загрузить фото (jpg/png/webp/gif, до 5 МБ, максимум 3 на SKU).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DELETE /skus/:id/photos/:photoId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Удалить фото.</w:t>
            </w:r>
          </w:p>
        </w:tc>
      </w:tr>
    </w:tbl>
    <w:p>
      <w:pPr>
        <w:pStyle w:val="Heading2"/>
        <w:spacing w:after="120" w:before="280"/>
      </w:pPr>
      <w:r>
        <w:t xml:space="preserve">4.3. Тарифы по операциям — /tariffs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/tariffs/operations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Справочник операций.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/tariffs/coefficients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Размерные коэффициенты (по сумме трёх сторон).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PATCH /tariffs/operations/:id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Изменить описание/единицу измерения операции.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/tariffs?partnerId=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Тарифы партнёра.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/tariffs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Ручной апсерт тарифов партнёра.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/tariffs/import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Импорт из Excel; неизвестные операции создаются автоматически.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DELETE /tariffs?partnerId=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Удалить все тарифы партнёра (с записью в историю).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/tariffs/history?partnerId=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Последние 200 записей истории тарифов партнёра.</w:t>
            </w:r>
          </w:p>
        </w:tc>
      </w:tr>
    </w:tbl>
    <w:p>
      <w:pPr>
        <w:pStyle w:val="Heading2"/>
        <w:spacing w:after="120" w:before="280"/>
      </w:pPr>
      <w:r>
        <w:t xml:space="preserve">4.4. Заявки партнёров — /requests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/requests?partnerId=&amp;search=&amp;status=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Список заявок (используется и сайтом, и ТСД).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/requests/:id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Заявка с позициями.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/requests/:id/detailed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Заявка + операции по SKU + факт выполнения + процент готовности (для ТСД).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PATCH /requests/items/:itemId/operations/:operationId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ТСД: отметить выполнение операции по позиции. 409, если операция не входит в список разрешённых для SKU этой позиции.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PATCH /requests/items/:itemId/fact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ТСД: зафиксировать факт. количество/пересортицу по позиции.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/requests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Создать заявку; стоимость считается сразу по текущим тарифам и справочнику SKU.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PATCH /requests/:id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Изменить заявку; при передаче items — позиции заменяются полностью; статус можно выставить любой вручную.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/requests/:id/recalculate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Пересчитать стоимость по актуальным тарифам/SKU.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DELETE /requests/:id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Удалить заявку (каскадно удаляются позиции, приёмки, отгрузки, документы).</w:t>
            </w:r>
          </w:p>
        </w:tc>
      </w:tr>
    </w:tbl>
    <w:p>
      <w:pPr>
        <w:pStyle w:val="Heading2"/>
        <w:spacing w:after="120" w:before="280"/>
      </w:pPr>
      <w:r>
        <w:t xml:space="preserve">4.5. Приёмка товара — /receiving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/receiving?requestId=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Приёмки по заявке.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/receiving/summary?requestId=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Сводка по позициям: заявлено/принято/осталось/принято полностью.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/receiving/:id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Одна приёмка с позициями.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/receiving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Создать приёмку. 409 при попытке превысить заявленное количество по позиции. Продвигает статус заявки до «Приёмка».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/receiving/:id/documents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Сформировать МХ-1 или ТОРГ-2 по этой приёмке.</w:t>
            </w:r>
          </w:p>
        </w:tc>
      </w:tr>
    </w:tbl>
    <w:p>
      <w:pPr>
        <w:pStyle w:val="Heading2"/>
        <w:spacing w:after="120" w:before="280"/>
      </w:pPr>
      <w:r>
        <w:t xml:space="preserve">4.6. Хранение — /storage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/storage/place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Разместить товар на адресе. Если привязано к позиции заявки — продвигает статус до «Хранение».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/storage/remove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Списать товар с адреса. 409, если на адресе недостаточно остатка.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/storage/move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Переместить товар между адресами (атомарно). 409, если на исходном адресе недостаточно остатка.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/storage/balance/by-article?partnerId=&amp;article=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Остатки по артикулу в разрезе адресов.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/storage/balance/by-address?address=&amp;partnerId=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Остатки по адресу в разрезе артикулов.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/storage/history?partnerId=&amp;article=&amp;address=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Последние 300 движений по складу.</w:t>
            </w:r>
          </w:p>
        </w:tc>
      </w:tr>
    </w:tbl>
    <w:p>
      <w:pPr>
        <w:pStyle w:val="Heading2"/>
        <w:spacing w:after="120" w:before="280"/>
      </w:pPr>
      <w:r>
        <w:t xml:space="preserve">4.7. Отгрузка — /shipping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/shipping?requestId=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Отгрузки по заявке.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/shipping/:id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Одна отгрузка с позициями.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/shipping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Создать отгрузку (способ SELF/PARTNER, машина, водитель, позиции).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PATCH /shipping/:id/ship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Отметить фактическую отгрузку. Продвигает статус заявки до «Отгружено».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POST /shipping/:id/documents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Сформировать ТТН или МХ-3 по этой отгрузке.</w:t>
            </w:r>
          </w:p>
        </w:tc>
      </w:tr>
    </w:tbl>
    <w:p>
      <w:pPr>
        <w:pStyle w:val="Heading2"/>
        <w:spacing w:after="120" w:before="280"/>
      </w:pPr>
      <w:r>
        <w:t xml:space="preserve">4.8. Документы — /documents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GET /documents?requestId=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История всех документов, сформированных по заявке (МХ-1, ТОРГ-2, ТТН, МХ-3).</w:t>
            </w:r>
          </w:p>
        </w:tc>
      </w:tr>
    </w:tbl>
    <w:tbl>
      <w:tblPr>
        <w:tblW w:type="dxa" w:w="9060"/>
        <w:tblBorders>
          <w:top w:val="single" w:color="1B4F8A" w:sz="4"/>
          <w:left w:val="single" w:color="1B4F8A" w:sz="24"/>
          <w:bottom w:val="single" w:color="1B4F8A" w:sz="4"/>
          <w:right w:val="single" w:color="1B4F8A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Важно про документы</w:t>
            </w:r>
          </w:p>
          <w:p>
            <w:r>
              <w:rPr>
                <w:color w:val="444444"/>
                <w:sz w:val="22"/>
                <w:szCs w:val="22"/>
              </w:rPr>
              <w:t xml:space="preserve">Формирование документов — это не печать PDF-бланков, а регистрация JSON-снимка данных (приёмки или отгрузки) с присвоением сквозного номера вида ТИП-ID_заявки-порядковый_номер. Печатные формы бланков в системе на данный момент не реализованы — это осознанно отложенная часть задачи.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5. Модель данных (Prisma)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СУБД — MS SQL Server. Ключевая цепочка таблиц: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Partner</w:t>
      </w:r>
      <w:r>
        <w:rPr>
          <w:color w:val="444444"/>
          <w:sz w:val="22"/>
          <w:szCs w:val="22"/>
        </w:rPr>
        <w:t xml:space="preserve"> → </w:t>
      </w:r>
      <w:r>
        <w:rPr>
          <w:b/>
          <w:bCs/>
          <w:color w:val="1A1A1A"/>
          <w:sz w:val="22"/>
          <w:szCs w:val="22"/>
        </w:rPr>
        <w:t xml:space="preserve">Sku</w:t>
      </w:r>
      <w:r>
        <w:rPr>
          <w:color w:val="444444"/>
          <w:sz w:val="22"/>
          <w:szCs w:val="22"/>
        </w:rPr>
        <w:t xml:space="preserve">, </w:t>
      </w:r>
      <w:r>
        <w:rPr>
          <w:b/>
          <w:bCs/>
          <w:color w:val="1A1A1A"/>
          <w:sz w:val="22"/>
          <w:szCs w:val="22"/>
        </w:rPr>
        <w:t xml:space="preserve">PartnerTariff</w:t>
      </w:r>
      <w:r>
        <w:rPr>
          <w:color w:val="444444"/>
          <w:sz w:val="22"/>
          <w:szCs w:val="22"/>
        </w:rPr>
        <w:t xml:space="preserve">, </w:t>
      </w:r>
      <w:r>
        <w:rPr>
          <w:b/>
          <w:bCs/>
          <w:color w:val="1A1A1A"/>
          <w:sz w:val="22"/>
          <w:szCs w:val="22"/>
        </w:rPr>
        <w:t xml:space="preserve">TariffHistory</w:t>
      </w:r>
      <w:r>
        <w:rPr>
          <w:color w:val="444444"/>
          <w:sz w:val="22"/>
          <w:szCs w:val="22"/>
        </w:rPr>
        <w:t xml:space="preserve">, </w:t>
      </w:r>
      <w:r>
        <w:rPr>
          <w:b/>
          <w:bCs/>
          <w:color w:val="1A1A1A"/>
          <w:sz w:val="22"/>
          <w:szCs w:val="22"/>
        </w:rPr>
        <w:t xml:space="preserve">PartnerHistory</w:t>
      </w:r>
      <w:r>
        <w:rPr>
          <w:color w:val="444444"/>
          <w:sz w:val="22"/>
          <w:szCs w:val="22"/>
        </w:rPr>
        <w:t xml:space="preserve">, </w:t>
      </w:r>
      <w:r>
        <w:rPr>
          <w:b/>
          <w:bCs/>
          <w:color w:val="1A1A1A"/>
          <w:sz w:val="22"/>
          <w:szCs w:val="22"/>
        </w:rPr>
        <w:t xml:space="preserve">PartnerRequest</w:t>
      </w:r>
      <w:r>
        <w:rPr>
          <w:color w:val="444444"/>
          <w:sz w:val="22"/>
          <w:szCs w:val="22"/>
        </w:rPr>
        <w:t xml:space="preserve"> (все — 1:N, каскадное удаление от партнёра).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PartnerRequest</w:t>
      </w:r>
      <w:r>
        <w:rPr>
          <w:color w:val="444444"/>
          <w:sz w:val="22"/>
          <w:szCs w:val="22"/>
        </w:rPr>
        <w:t xml:space="preserve"> (заявка) → </w:t>
      </w:r>
      <w:r>
        <w:rPr>
          <w:b/>
          <w:bCs/>
          <w:color w:val="1A1A1A"/>
          <w:sz w:val="22"/>
          <w:szCs w:val="22"/>
        </w:rPr>
        <w:t xml:space="preserve">RequestItem</w:t>
      </w:r>
      <w:r>
        <w:rPr>
          <w:color w:val="444444"/>
          <w:sz w:val="22"/>
          <w:szCs w:val="22"/>
        </w:rPr>
        <w:t xml:space="preserve"> (позиции), </w:t>
      </w:r>
      <w:r>
        <w:rPr>
          <w:b/>
          <w:bCs/>
          <w:color w:val="1A1A1A"/>
          <w:sz w:val="22"/>
          <w:szCs w:val="22"/>
        </w:rPr>
        <w:t xml:space="preserve">Receipt</w:t>
      </w:r>
      <w:r>
        <w:rPr>
          <w:color w:val="444444"/>
          <w:sz w:val="22"/>
          <w:szCs w:val="22"/>
        </w:rPr>
        <w:t xml:space="preserve"> (приёмки), </w:t>
      </w:r>
      <w:r>
        <w:rPr>
          <w:b/>
          <w:bCs/>
          <w:color w:val="1A1A1A"/>
          <w:sz w:val="22"/>
          <w:szCs w:val="22"/>
        </w:rPr>
        <w:t xml:space="preserve">Shipment</w:t>
      </w:r>
      <w:r>
        <w:rPr>
          <w:color w:val="444444"/>
          <w:sz w:val="22"/>
          <w:szCs w:val="22"/>
        </w:rPr>
        <w:t xml:space="preserve"> (отгрузки), </w:t>
      </w:r>
      <w:r>
        <w:rPr>
          <w:b/>
          <w:bCs/>
          <w:color w:val="1A1A1A"/>
          <w:sz w:val="22"/>
          <w:szCs w:val="22"/>
        </w:rPr>
        <w:t xml:space="preserve">WarehouseDocument</w:t>
      </w:r>
      <w:r>
        <w:rPr>
          <w:color w:val="444444"/>
          <w:sz w:val="22"/>
          <w:szCs w:val="22"/>
        </w:rPr>
        <w:t xml:space="preserve"> (документы) — каскадное удаление от заявки.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RequestItem</w:t>
      </w:r>
      <w:r>
        <w:rPr>
          <w:color w:val="444444"/>
          <w:sz w:val="22"/>
          <w:szCs w:val="22"/>
        </w:rPr>
        <w:t xml:space="preserve"> → </w:t>
      </w:r>
      <w:r>
        <w:rPr>
          <w:b/>
          <w:bCs/>
          <w:color w:val="1A1A1A"/>
          <w:sz w:val="22"/>
          <w:szCs w:val="22"/>
        </w:rPr>
        <w:t xml:space="preserve">ItemOperationExecution</w:t>
      </w:r>
      <w:r>
        <w:rPr>
          <w:color w:val="444444"/>
          <w:sz w:val="22"/>
          <w:szCs w:val="22"/>
        </w:rPr>
        <w:t xml:space="preserve"> (факт выполнения операций), </w:t>
      </w:r>
      <w:r>
        <w:rPr>
          <w:b/>
          <w:bCs/>
          <w:color w:val="1A1A1A"/>
          <w:sz w:val="22"/>
          <w:szCs w:val="22"/>
        </w:rPr>
        <w:t xml:space="preserve">ReceiptItem</w:t>
      </w:r>
      <w:r>
        <w:rPr>
          <w:color w:val="444444"/>
          <w:sz w:val="22"/>
          <w:szCs w:val="22"/>
        </w:rPr>
        <w:t xml:space="preserve">. Связь с </w:t>
      </w:r>
      <w:r>
        <w:rPr>
          <w:b/>
          <w:bCs/>
          <w:color w:val="1A1A1A"/>
          <w:sz w:val="22"/>
          <w:szCs w:val="22"/>
        </w:rPr>
        <w:t xml:space="preserve">Sku</w:t>
      </w:r>
      <w:r>
        <w:rPr>
          <w:color w:val="444444"/>
          <w:sz w:val="22"/>
          <w:szCs w:val="22"/>
        </w:rPr>
        <w:t xml:space="preserve"> — необязательная (nullable), при удалении SKU не разрывается каскадно, а просто обнуляется на уровне сервиса.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StorageMovement</w:t>
      </w:r>
      <w:r>
        <w:rPr>
          <w:color w:val="444444"/>
          <w:sz w:val="22"/>
          <w:szCs w:val="22"/>
        </w:rPr>
        <w:t xml:space="preserve"> — независимый append-only журнал движений склада (partnerId + article как строки, без жёсткой FK-связи с Partner/Sku); остаток всегда вычисляется суммированием, а не хранится отдельным полем.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Operation</w:t>
      </w:r>
      <w:r>
        <w:rPr>
          <w:color w:val="444444"/>
          <w:sz w:val="22"/>
          <w:szCs w:val="22"/>
        </w:rPr>
        <w:t xml:space="preserve"> (справочник операций) → </w:t>
      </w:r>
      <w:r>
        <w:rPr>
          <w:b/>
          <w:bCs/>
          <w:color w:val="1A1A1A"/>
          <w:sz w:val="22"/>
          <w:szCs w:val="22"/>
        </w:rPr>
        <w:t xml:space="preserve">SkuOperation</w:t>
      </w:r>
      <w:r>
        <w:rPr>
          <w:color w:val="444444"/>
          <w:sz w:val="22"/>
          <w:szCs w:val="22"/>
        </w:rPr>
        <w:t xml:space="preserve"> (какие операции разрешены для SKU), </w:t>
      </w:r>
      <w:r>
        <w:rPr>
          <w:b/>
          <w:bCs/>
          <w:color w:val="1A1A1A"/>
          <w:sz w:val="22"/>
          <w:szCs w:val="22"/>
        </w:rPr>
        <w:t xml:space="preserve">PartnerTariff</w:t>
      </w:r>
      <w:r>
        <w:rPr>
          <w:color w:val="444444"/>
          <w:sz w:val="22"/>
          <w:szCs w:val="22"/>
        </w:rPr>
        <w:t xml:space="preserve"> (цена операции у партнёра), </w:t>
      </w:r>
      <w:r>
        <w:rPr>
          <w:b/>
          <w:bCs/>
          <w:color w:val="1A1A1A"/>
          <w:sz w:val="22"/>
          <w:szCs w:val="22"/>
        </w:rPr>
        <w:t xml:space="preserve">ItemOperationExecution</w:t>
      </w:r>
      <w:r>
        <w:rPr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TariffCoefficient</w:t>
      </w:r>
      <w:r>
        <w:rPr>
          <w:color w:val="444444"/>
          <w:sz w:val="22"/>
          <w:szCs w:val="22"/>
        </w:rPr>
        <w:t xml:space="preserve"> — таблица размерных коэффициентов (диапазоны minSum–maxSum по сумме трёх сторон).</w:t>
      </w:r>
    </w:p>
    <w:p>
      <w:pPr>
        <w:spacing w:after="160" w:before="100"/>
      </w:pPr>
      <w:r>
        <w:rPr>
          <w:color w:val="444444"/>
          <w:sz w:val="22"/>
          <w:szCs w:val="22"/>
        </w:rPr>
        <w:t xml:space="preserve">Полное определение — в backend/prisma/schema.prisma; там же комментарии по каждому полю.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6. Миграции базы данных</w:t>
      </w:r>
    </w:p>
    <w:tbl>
      <w:tblPr>
        <w:tblW w:type="dxa" w:w="9060"/>
        <w:tblBorders>
          <w:top w:val="single" w:color="1B4F8A" w:sz="4"/>
          <w:left w:val="single" w:color="1B4F8A" w:sz="24"/>
          <w:bottom w:val="single" w:color="1B4F8A" w:sz="4"/>
          <w:right w:val="single" w:color="1B4F8A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Миграции — не через Prisma Migrate</w:t>
            </w:r>
          </w:p>
          <w:p>
            <w:r>
              <w:rPr>
                <w:color w:val="444444"/>
                <w:sz w:val="22"/>
                <w:szCs w:val="22"/>
              </w:rPr>
              <w:t xml:space="preserve">Проект не использует prisma migrate. Вместо этого в backend/prisma/migrations/ лежат вручную написанные, пронумерованные по порядку SQL-скрипты (001_create_partners.sql, 002_..., и т.д.), каждый из которых идемпотентен — обёрнут проверками IF NOT EXISTS, поэтому его можно безопасно запустить повторно.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444444"/>
          <w:sz w:val="22"/>
          <w:szCs w:val="22"/>
        </w:rPr>
        <w:t xml:space="preserve">Порядок действий при изменении схемы: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Обновить backend/prisma/schema.prisma.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Написать новый пронумерованный идемпотентный .sql-файл, отражающий то же изменение в виде T-SQL DDL (CREATE TABLE / ALTER TABLE / индексы и т.д.).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Выполнить этот скрипт вручную против боевой/тестовой базы SQL Server (например, через sqlcmd, SSMS или Azure Data Studio) — автоматического применения при деплое нет.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Перегенерировать Prisma Client (prisma generate), чтобы типы совпадали со схемой.</w:t>
      </w:r>
    </w:p>
    <w:p>
      <w:pPr>
        <w:spacing w:after="160" w:before="100"/>
      </w:pPr>
      <w:r>
        <w:rPr>
          <w:color w:val="444444"/>
          <w:sz w:val="22"/>
          <w:szCs w:val="22"/>
        </w:rPr>
        <w:t xml:space="preserve">Отдельного npm-скрипта для миграций нет — шаги выполняются вручную. Пример из истории проекта: скрипт 009_receiving_storage_shipping.sql заодно перевёл старые значения статуса заявки на новый список значений прямо в данных, аккуратно проверяя, не применена ли уже эта миграция.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7. Ключевая бизнес-логика</w:t>
      </w:r>
    </w:p>
    <w:p>
      <w:pPr>
        <w:pStyle w:val="Heading2"/>
        <w:spacing w:after="120" w:before="280"/>
      </w:pPr>
      <w:r>
        <w:t xml:space="preserve">7.1. Расчёт стоимости и размерные коэффициенты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У операции (Operation.applySizeCoef) может быть отмечено, что её цена зависит от размера упаковки. Таблица TariffCoefficient задаёт диапазоны по ШДВ (сумме трёх сторон SKU, см) с соответствующим множителем.</w:t>
      </w:r>
    </w:p>
    <w:tbl>
      <w:tblPr>
        <w:tblW w:type="dxa" w:w="9060"/>
        <w:tblBorders>
          <w:top w:val="single" w:color="1B4F8A" w:sz="4"/>
          <w:left w:val="single" w:color="1B4F8A" w:sz="24"/>
          <w:bottom w:val="single" w:color="1B4F8A" w:sz="4"/>
          <w:right w:val="single" w:color="1B4F8A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Формула</w:t>
            </w:r>
          </w:p>
          <w:p>
            <w:r>
              <w:rPr>
                <w:color w:val="444444"/>
                <w:sz w:val="22"/>
                <w:szCs w:val="22"/>
              </w:rPr>
              <w:t xml:space="preserve">Действующая цена операции = (тариф партнёра, если задан, иначе тариф операции по умолчанию) × (коэффициент по ШДВ, если applySizeCoef=true и найден подходящий диапазон, иначе ×1). Себестоимость единицы SKU = сумма по всем его отмеченным операциям: цена × количество (из поля value операции, по умолчанию 1). Стоимость позиции заявки = себестоимость единицы × количество в позиции.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444444"/>
          <w:sz w:val="22"/>
          <w:szCs w:val="22"/>
        </w:rPr>
        <w:t xml:space="preserve">Расчёт выполняется на сервере при создании заявки, при полной замене позиций и явно — по кнопке «Пересчитать» (POST /requests/:id/recalculate). На фронтенде та же формула продублирована только для мгновенного предпросмотра при редактировании SKU/тарифов — источником истины остаётся сервер.</w:t>
      </w:r>
    </w:p>
    <w:p>
      <w:pPr>
        <w:pStyle w:val="Heading2"/>
        <w:spacing w:after="120" w:before="280"/>
      </w:pPr>
      <w:r>
        <w:t xml:space="preserve">7.2. Статусная модель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backend/src/common/request-status.ts определяет фиксированный порядок основного конвейера статусов: Запланировано → Приёмка → Хранение → В работе → Готово → Отгружено → Закрыто. Статус «Дефект» стоит вне этой цепочки.</w:t>
      </w:r>
    </w:p>
    <w:p>
      <w:pPr>
        <w:spacing w:after="160" w:before="100"/>
      </w:pPr>
      <w:r>
        <w:rPr>
          <w:color w:val="444444"/>
          <w:sz w:val="22"/>
          <w:szCs w:val="22"/>
        </w:rPr>
        <w:t xml:space="preserve">Функция advanceStatus(current, target) продвигает статус вперёд только по этому списку и никогда не переводит назад; для статусов вне списка (в т.ч. «Дефект») она не действует — переход в «Дефект» и из него возможен только вручную (PATCH /requests/:id).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60"/>
      </w:tblGrid>
      <w:tr>
        <w:trPr>
          <w:tblHeader/>
        </w:trPr>
        <w:tc>
          <w:tcPr>
            <w:tcW w:type="dxa" w:w="42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Событие</w:t>
            </w:r>
          </w:p>
        </w:tc>
        <w:tc>
          <w:tcPr>
            <w:tcW w:type="dxa" w:w="48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Куда продвигает статус</w:t>
            </w:r>
          </w:p>
        </w:tc>
      </w:tr>
      <w:tr>
        <w:tc>
          <w:tcPr>
            <w:tcW w:type="dxa" w:w="42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Любая приёмка создана (ReceivingService.create)</w:t>
            </w:r>
          </w:p>
        </w:tc>
        <w:tc>
          <w:tcPr>
            <w:tcW w:type="dxa" w:w="48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→ Приёмка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Товар размещён на складе с привязкой к позиции (StorageService.place)</w:t>
            </w:r>
          </w:p>
        </w:tc>
        <w:tc>
          <w:tcPr>
            <w:tcW w:type="dxa" w:w="48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→ Хранение</w:t>
            </w:r>
          </w:p>
        </w:tc>
      </w:tr>
      <w:tr>
        <w:tc>
          <w:tcPr>
            <w:tcW w:type="dxa" w:w="42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Операция выполнена, прогресс &lt; 100%</w:t>
            </w:r>
          </w:p>
        </w:tc>
        <w:tc>
          <w:tcPr>
            <w:tcW w:type="dxa" w:w="48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→ В работе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Операция выполнена, прогресс = 100%</w:t>
            </w:r>
          </w:p>
        </w:tc>
        <w:tc>
          <w:tcPr>
            <w:tcW w:type="dxa" w:w="48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→ Готово</w:t>
            </w:r>
          </w:p>
        </w:tc>
      </w:tr>
      <w:tr>
        <w:tc>
          <w:tcPr>
            <w:tcW w:type="dxa" w:w="42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Отгрузка отмечена как отправленная (ShippingService.markShipped)</w:t>
            </w:r>
          </w:p>
        </w:tc>
        <w:tc>
          <w:tcPr>
            <w:tcW w:type="dxa" w:w="48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→ Отгружено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48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«Закрыто» нигде не выставляется автоматически — только вручную.</w:t>
            </w:r>
          </w:p>
        </w:tc>
      </w:tr>
    </w:tbl>
    <w:p>
      <w:pPr>
        <w:pStyle w:val="Heading2"/>
        <w:spacing w:after="120" w:before="280"/>
      </w:pPr>
      <w:r>
        <w:t xml:space="preserve">7.3. Защита от превышения приёмки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При создании приёмки (ReceivingService.create) сервис суммирует уже принятое количество по каждой позиции заявки (по всем предыдущим приёмкам) и сравнивает с заявленным: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если позиция уже принята полностью — новая приёмка по ней отклоняется с кодом 409;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если текущая попытка приёма превысила бы заявленное количество — тоже 409, с пояснением, сколько заявлено/принято/сколько пытаются принять сверху.</w:t>
      </w:r>
    </w:p>
    <w:p>
      <w:pPr>
        <w:spacing w:after="160" w:before="100"/>
      </w:pPr>
      <w:r>
        <w:rPr>
          <w:color w:val="444444"/>
          <w:sz w:val="22"/>
          <w:szCs w:val="22"/>
        </w:rPr>
        <w:t xml:space="preserve">Позиции без привязки к конкретной строке заявки (requestItemId отсутствует) этой проверкой не защищены. GET /receiving/summary отдаёт те же вычисленные значения (принято/осталось/принято полностью) — именно на них построена блокировка повторного ввода в интерфейсе ТСД.</w:t>
      </w:r>
    </w:p>
    <w:p>
      <w:pPr>
        <w:pStyle w:val="Heading2"/>
        <w:spacing w:after="120" w:before="280"/>
      </w:pPr>
      <w:r>
        <w:t xml:space="preserve">7.4. Ledger-модель склада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StorageMovement — это журнал событий, который никогда не изменяется и не удаляется; остаток на адресе всегда вычисляется на лету суммированием количества (положительные значения — приход, отрицательные — расход) через агрегатные запросы Prisma.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PLACE — размещение (+), REMOVE — списание (–), MOVE_OUT/MOVE_IN — перемещение (создаются одной атомарной транзакцией).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remove и move заранее проверяют фактический остаток на адресе-источнике и отклоняют операцию (409) с указанием реально доступного количества, если запрошено больше.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Выдача остатков (по артикулу / по адресу) отфильтровывает нулевые и отрицательные суммы — полностью списанные позиции просто не показываются.</w:t>
      </w:r>
    </w:p>
    <w:p>
      <w:pPr>
        <w:pStyle w:val="Heading2"/>
        <w:spacing w:after="120" w:before="280"/>
      </w:pPr>
      <w:r>
        <w:t xml:space="preserve">7.5. Аудит изменений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PartnerHistory фиксирует каждое изменённое поле карточки партнёра (было/стало), плюс отдельную запись при создании и при переключении активности. TariffHistory фиксирует только реальные изменения цены (если значение не поменялось — запись не создаётся), включая случаи удаления тарифа целиком (значение «стало» = null).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8. Известные ограничения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Отсутствует аутентификация и разграничение прав — доступ к сайту и API полностью открыт всем, у кого есть сетевой доступ.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Поле «кто изменил» в истории и документах не привязано к реальному пользователю — используются фиксированные системные значения ('system', 'tsd').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CORS в коде жёстко задан как origin: '*', переменная окружения CORS_ORIGIN на это не влияет.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Строка подключения к боевой базе данных (включая пароль) хранится открытым текстом в ecosystem.config.cjs в репозитории.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Печатные формы документов (МХ-1, ТОРГ-2, ТТН, МХ-3 как PDF-бланки) не реализованы — система хранит только структурированный снимок данных, это осознанно отложенный объём работ.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3P Partner — техническое руководство по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2E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F2E52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2026-07-31T10:37:58.645Z</dcterms:created>
  <dcterms:modified xsi:type="dcterms:W3CDTF">2026-07-31T10:37:58.647Z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