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33E112">
      <w:pPr>
        <w:jc w:val="center"/>
        <w:rPr>
          <w:rFonts w:ascii="Arial" w:hAnsi="Arial" w:cs="Arial"/>
          <w:b/>
          <w:bCs/>
          <w:i w:val="0"/>
          <w:iCs w:val="0"/>
          <w:sz w:val="32"/>
          <w:szCs w:val="32"/>
        </w:rPr>
      </w:pPr>
      <w:r>
        <w:rPr>
          <w:rFonts w:ascii="Arial" w:hAnsi="Arial" w:cs="Arial"/>
          <w:b/>
          <w:bCs/>
          <w:i w:val="0"/>
          <w:iCs w:val="0"/>
          <w:sz w:val="32"/>
          <w:szCs w:val="32"/>
        </w:rPr>
        <w:t xml:space="preserve">Predictive Model Plan </w:t>
      </w:r>
    </w:p>
    <w:p w14:paraId="19A14894">
      <w:pPr>
        <w:pStyle w:val="2"/>
        <w:rPr>
          <w:rFonts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1. Model Logic (Generated with GenAI)</w:t>
      </w:r>
    </w:p>
    <w:p w14:paraId="3739AB1E">
      <w:pPr>
        <w:pStyle w:val="34"/>
        <w:keepNext w:val="0"/>
        <w:keepLines w:val="0"/>
        <w:widowControl/>
        <w:suppressLineNumbers w:val="0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The goal of the model is to predict if a customer is likely to become delinquent (1) or not (0) using historical financial and behavioral data.</w:t>
      </w:r>
    </w:p>
    <w:p w14:paraId="5B3E6B98">
      <w:pPr>
        <w:pStyle w:val="34"/>
        <w:keepNext w:val="0"/>
        <w:keepLines w:val="0"/>
        <w:widowControl/>
        <w:suppressLineNumbers w:val="0"/>
        <w:rPr>
          <w:rFonts w:ascii="Arial" w:hAnsi="Arial" w:cs="Arial" w:eastAsiaTheme="majorEastAsia"/>
          <w:b/>
          <w:bCs/>
          <w:i w:val="0"/>
          <w:iCs w:val="0"/>
          <w:color w:val="000000" w:themeColor="text1"/>
          <w:kern w:val="0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ajorEastAsia"/>
          <w:b/>
          <w:bCs/>
          <w:i w:val="0"/>
          <w:iCs w:val="0"/>
          <w:color w:val="000000" w:themeColor="text1"/>
          <w:kern w:val="0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t>GenAI-Generated Model Logic (based on Geldium's dataset):</w:t>
      </w:r>
    </w:p>
    <w:p w14:paraId="54206A40">
      <w:pPr>
        <w:rPr>
          <w:rFonts w:hint="default" w:ascii="Arial" w:hAnsi="Arial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1. Load Dataset:</w:t>
      </w:r>
    </w:p>
    <w:p w14:paraId="6C1A2306">
      <w:pPr>
        <w:ind w:left="200" w:leftChars="100" w:firstLine="0" w:firstLineChars="0"/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Include variables like: Income, Credit_Score, Credit_Utilization, Missed_Payments, Loan_Balance, etc.</w:t>
      </w:r>
    </w:p>
    <w:p w14:paraId="7BB129E4">
      <w:pPr>
        <w:rPr>
          <w:rFonts w:hint="default" w:ascii="Arial" w:hAnsi="Arial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2. Feature Selection:</w:t>
      </w:r>
    </w:p>
    <w:p w14:paraId="5118CCF2">
      <w:pPr>
        <w:rPr>
          <w:rFonts w:hint="default" w:ascii="Arial" w:hAnsi="Arial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i w:val="0"/>
          <w:iCs w:val="0"/>
          <w:color w:val="000000" w:themeColor="text1"/>
          <w:u w:val="single"/>
          <w14:textFill>
            <w14:solidFill>
              <w14:schemeClr w14:val="tx1"/>
            </w14:solidFill>
          </w14:textFill>
        </w:rPr>
        <w:t>Key features:</w:t>
      </w:r>
      <w:r>
        <w:rPr>
          <w:rFonts w:hint="default" w:ascii="Arial" w:hAnsi="Arial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 w14:paraId="1342B312">
      <w:pPr>
        <w:jc w:val="both"/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• Credit_Utilization</w:t>
      </w:r>
    </w:p>
    <w:p w14:paraId="5B0A1C6D">
      <w:pPr>
        <w:jc w:val="both"/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• Debt_to_Income_Ratio</w:t>
      </w:r>
    </w:p>
    <w:p w14:paraId="6B1CBDDE">
      <w:pPr>
        <w:jc w:val="both"/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• Missed_Payments</w:t>
      </w:r>
    </w:p>
    <w:p w14:paraId="16AA3348">
      <w:pPr>
        <w:jc w:val="both"/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• Credit_Score</w:t>
      </w:r>
    </w:p>
    <w:p w14:paraId="50C3BF02">
      <w:pPr>
        <w:jc w:val="both"/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• Account_Tenure</w:t>
      </w:r>
    </w:p>
    <w:p w14:paraId="47E93DD1">
      <w:pPr>
        <w:rPr>
          <w:rFonts w:hint="default" w:ascii="Arial" w:hAnsi="Arial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3. Data Preprocessing:</w:t>
      </w:r>
    </w:p>
    <w:p w14:paraId="0A7FB8F7">
      <w:pP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  Handle missing values (e.g., impute Income)</w:t>
      </w:r>
    </w:p>
    <w:p w14:paraId="12AD6E57">
      <w:pP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Encode categorical columns: Employment_Status, Credit_Card_Type</w:t>
      </w:r>
    </w:p>
    <w:p w14:paraId="1391A9F7">
      <w:pP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Normalize numerical features if needed</w:t>
      </w:r>
    </w:p>
    <w:p w14:paraId="236E183D">
      <w:pPr>
        <w:rPr>
          <w:rFonts w:hint="default" w:ascii="Arial" w:hAnsi="Arial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4. Model Application:</w:t>
      </w:r>
    </w:p>
    <w:p w14:paraId="1D3791A1">
      <w:pP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 Use Logistic Regression to estimate the probability of delinquency</w:t>
      </w:r>
    </w:p>
    <w:p w14:paraId="0A2A48AF">
      <w:pPr>
        <w:rPr>
          <w:rFonts w:hint="default" w:ascii="Arial" w:hAnsi="Arial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5. Prediction:</w:t>
      </w:r>
    </w:p>
    <w:p w14:paraId="7B06596C">
      <w:pP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Apply a classification threshold (e.g., 0.5) to label customer as high risk (1) or not (0)</w:t>
      </w:r>
    </w:p>
    <w:p w14:paraId="161B2D67">
      <w:pPr>
        <w:rPr>
          <w:rFonts w:hint="default" w:ascii="Arial" w:hAnsi="Arial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6. Output:</w:t>
      </w:r>
    </w:p>
    <w:p w14:paraId="53CBD9D9">
      <w:pP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  Return predicted label and top contributing features per prediction</w:t>
      </w:r>
    </w:p>
    <w:p w14:paraId="281E49CC">
      <w:pPr>
        <w:rPr>
          <w:rFonts w:hint="default" w:ascii="Arial" w:hAnsi="Arial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7. Evaluation:</w:t>
      </w:r>
    </w:p>
    <w:p w14:paraId="12C3F252">
      <w:pP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  Accuracy, Precision, Recall, F1 Score, AUC, Confusion Matrix</w:t>
      </w:r>
    </w:p>
    <w:p w14:paraId="38379CBC">
      <w:pPr>
        <w:rPr>
          <w:rFonts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 w14:paraId="35E39D13">
      <w:pPr>
        <w:pStyle w:val="2"/>
        <w:rPr>
          <w:rFonts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2. Justification for Model Choice</w:t>
      </w:r>
    </w:p>
    <w:p w14:paraId="68AD2A87">
      <w:pPr>
        <w:pStyle w:val="34"/>
        <w:keepNext w:val="0"/>
        <w:keepLines w:val="0"/>
        <w:widowControl/>
        <w:suppressLineNumbers w:val="0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IN" w:eastAsia="en-US" w:bidi="ar-SA"/>
          <w14:textFill>
            <w14:solidFill>
              <w14:schemeClr w14:val="tx1"/>
            </w14:solidFill>
          </w14:textFill>
        </w:rPr>
        <w:t>I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 xml:space="preserve"> selected </w:t>
      </w:r>
      <w:r>
        <w:rPr>
          <w:rFonts w:ascii="Arial" w:hAnsi="Arial" w:cs="Arial" w:eastAsiaTheme="minorEastAsia"/>
          <w:b/>
          <w:bCs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Logistic Regression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 xml:space="preserve"> as the modeling approach for the following reasons:</w:t>
      </w:r>
    </w:p>
    <w:p w14:paraId="1B5A4CE0">
      <w:pPr>
        <w:pStyle w:val="34"/>
        <w:keepNext w:val="0"/>
        <w:keepLines w:val="0"/>
        <w:widowControl/>
        <w:suppressLineNumbers w:val="0"/>
        <w:ind w:left="200" w:leftChars="100" w:firstLine="0" w:firstLineChars="0"/>
        <w:jc w:val="both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It is ideal for binary classification, which aligns with our target variable Delinquent_Account (0 or 1).</w:t>
      </w:r>
    </w:p>
    <w:p w14:paraId="346BC4C7">
      <w:pPr>
        <w:pStyle w:val="34"/>
        <w:keepNext w:val="0"/>
        <w:keepLines w:val="0"/>
        <w:widowControl/>
        <w:suppressLineNumbers w:val="0"/>
        <w:ind w:left="200" w:leftChars="100" w:firstLine="0" w:firstLineChars="0"/>
        <w:jc w:val="both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It offers high transparency; coefficients directly indicate how features like Credit_Utilization and Debt_to_Income_Ratio affect risk.</w:t>
      </w:r>
    </w:p>
    <w:p w14:paraId="47C6680A">
      <w:pPr>
        <w:pStyle w:val="34"/>
        <w:keepNext w:val="0"/>
        <w:keepLines w:val="0"/>
        <w:widowControl/>
        <w:suppressLineNumbers w:val="0"/>
        <w:ind w:left="200" w:leftChars="100" w:firstLine="0" w:firstLineChars="0"/>
        <w:jc w:val="both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The model produces probability scores, which are useful for setting risk thresholds and tailoring intervention strategies.</w:t>
      </w:r>
    </w:p>
    <w:p w14:paraId="3C7A1AE3">
      <w:pPr>
        <w:pStyle w:val="34"/>
        <w:keepNext w:val="0"/>
        <w:keepLines w:val="0"/>
        <w:widowControl/>
        <w:suppressLineNumbers w:val="0"/>
        <w:ind w:left="200" w:leftChars="100" w:firstLine="0" w:firstLineChars="0"/>
        <w:jc w:val="both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Logistic Regression is easy to implement and deploy, making it suitable for operational use at Geldium.</w:t>
      </w:r>
    </w:p>
    <w:p w14:paraId="15B23CAA">
      <w:pPr>
        <w:pStyle w:val="34"/>
        <w:keepNext w:val="0"/>
        <w:keepLines w:val="0"/>
        <w:widowControl/>
        <w:suppressLineNumbers w:val="0"/>
        <w:ind w:left="200" w:leftChars="100" w:firstLine="0" w:firstLineChars="0"/>
        <w:jc w:val="both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Most importantly, it aligns with Geldium’s business needs for explainable and responsible financial decision-making, and is compliant with regulatory standards for fairness and auditability.</w:t>
      </w:r>
    </w:p>
    <w:p w14:paraId="10E007DE">
      <w:pPr>
        <w:pStyle w:val="2"/>
        <w:rPr>
          <w:rFonts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3. Evaluation Strategy</w:t>
      </w:r>
    </w:p>
    <w:p w14:paraId="0BF3AE74">
      <w:pPr>
        <w:pStyle w:val="34"/>
        <w:keepNext w:val="0"/>
        <w:keepLines w:val="0"/>
        <w:widowControl/>
        <w:suppressLineNumbers w:val="0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To evaluate the performance and fairness of the model, the following strategy will be applied:</w:t>
      </w:r>
    </w:p>
    <w:p w14:paraId="5FCC92FC">
      <w:pPr>
        <w:pStyle w:val="5"/>
        <w:keepNext w:val="0"/>
        <w:keepLines w:val="0"/>
        <w:widowControl/>
        <w:suppressLineNumbers w:val="0"/>
        <w:ind w:left="0" w:leftChars="0" w:firstLine="0" w:firstLineChars="0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Metrics to Measure Effectiveness:</w:t>
      </w:r>
    </w:p>
    <w:p w14:paraId="38D625D6">
      <w:pPr>
        <w:pStyle w:val="34"/>
        <w:keepNext w:val="0"/>
        <w:keepLines w:val="0"/>
        <w:widowControl/>
        <w:suppressLineNumbers w:val="0"/>
        <w:ind w:left="200" w:leftChars="100" w:firstLine="0" w:firstLineChars="0"/>
        <w:jc w:val="both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b/>
          <w:bCs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Accuracy: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 xml:space="preserve"> Measures how often the model is correct overall.</w:t>
      </w:r>
    </w:p>
    <w:p w14:paraId="7BAA5D02">
      <w:pPr>
        <w:pStyle w:val="34"/>
        <w:keepNext w:val="0"/>
        <w:keepLines w:val="0"/>
        <w:widowControl/>
        <w:suppressLineNumbers w:val="0"/>
        <w:ind w:left="200" w:leftChars="100" w:firstLine="0" w:firstLineChars="0"/>
        <w:jc w:val="both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b/>
          <w:bCs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Precision: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 xml:space="preserve"> Ensures flagged risky customers are truly at risk (reduces false positives).</w:t>
      </w:r>
    </w:p>
    <w:p w14:paraId="648FCFC3">
      <w:pPr>
        <w:pStyle w:val="34"/>
        <w:keepNext w:val="0"/>
        <w:keepLines w:val="0"/>
        <w:widowControl/>
        <w:suppressLineNumbers w:val="0"/>
        <w:ind w:left="200" w:leftChars="100" w:firstLine="0" w:firstLineChars="0"/>
        <w:jc w:val="both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b/>
          <w:bCs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Recall: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 xml:space="preserve"> Measures how well the model identifies actual delinquent customers (reduces false negatives).</w:t>
      </w:r>
    </w:p>
    <w:p w14:paraId="074CD6AD">
      <w:pPr>
        <w:pStyle w:val="34"/>
        <w:keepNext w:val="0"/>
        <w:keepLines w:val="0"/>
        <w:widowControl/>
        <w:suppressLineNumbers w:val="0"/>
        <w:ind w:left="200" w:leftChars="100" w:firstLine="0" w:firstLineChars="0"/>
        <w:jc w:val="both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b/>
          <w:bCs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F1 Score: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 xml:space="preserve"> A balance of precision and recall—ideal for imbalanced classes.</w:t>
      </w:r>
    </w:p>
    <w:p w14:paraId="5386B94A">
      <w:pPr>
        <w:pStyle w:val="34"/>
        <w:keepNext w:val="0"/>
        <w:keepLines w:val="0"/>
        <w:widowControl/>
        <w:suppressLineNumbers w:val="0"/>
        <w:ind w:left="200" w:leftChars="100" w:firstLine="0" w:firstLineChars="0"/>
        <w:jc w:val="both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b/>
          <w:bCs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AUC-ROC: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 xml:space="preserve"> Measures how well the model ranks high-risk vs. low-risk customers across all thresholds.</w:t>
      </w:r>
    </w:p>
    <w:p w14:paraId="60E705AC">
      <w:pPr>
        <w:pStyle w:val="34"/>
        <w:keepNext w:val="0"/>
        <w:keepLines w:val="0"/>
        <w:widowControl/>
        <w:suppressLineNumbers w:val="0"/>
        <w:ind w:left="200" w:leftChars="100" w:firstLine="0" w:firstLineChars="0"/>
        <w:jc w:val="both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b/>
          <w:bCs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Confusion Matrix: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 xml:space="preserve"> Provides breakdown of true/false positives and negatives to interpret errors.</w:t>
      </w:r>
    </w:p>
    <w:p w14:paraId="183B2AE7">
      <w:pPr>
        <w:pStyle w:val="34"/>
        <w:keepNext w:val="0"/>
        <w:keepLines w:val="0"/>
        <w:widowControl/>
        <w:suppressLineNumbers w:val="0"/>
        <w:ind w:left="200" w:leftChars="100" w:firstLine="0" w:firstLineChars="0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</w:p>
    <w:p w14:paraId="7CF4739E">
      <w:pPr>
        <w:pStyle w:val="34"/>
        <w:keepNext w:val="0"/>
        <w:keepLines w:val="0"/>
        <w:widowControl/>
        <w:suppressLineNumbers w:val="0"/>
        <w:ind w:left="200" w:leftChars="100" w:firstLine="0" w:firstLineChars="0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</w:p>
    <w:p w14:paraId="41A6A7C5">
      <w:pPr>
        <w:pStyle w:val="5"/>
        <w:keepNext w:val="0"/>
        <w:keepLines w:val="0"/>
        <w:widowControl/>
        <w:suppressLineNumbers w:val="0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 xml:space="preserve"> Bias &amp; Fairness Checks:</w:t>
      </w:r>
    </w:p>
    <w:p w14:paraId="4A1C440C">
      <w:pPr>
        <w:pStyle w:val="34"/>
        <w:keepNext w:val="0"/>
        <w:keepLines w:val="0"/>
        <w:widowControl/>
        <w:suppressLineNumbers w:val="0"/>
        <w:ind w:left="440" w:leftChars="100" w:hanging="240" w:hangingChars="100"/>
        <w:jc w:val="both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Perform disparate impact analysis to ensure no group (based on Age, Income level, Location,</w:t>
      </w:r>
      <w:r>
        <w:rPr>
          <w:rFonts w:hint="default"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IN" w:eastAsia="en-US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or Employment_Status) is disproportionately flagged.</w:t>
      </w:r>
    </w:p>
    <w:p w14:paraId="7BFF1E9C">
      <w:pPr>
        <w:pStyle w:val="34"/>
        <w:keepNext w:val="0"/>
        <w:keepLines w:val="0"/>
        <w:widowControl/>
        <w:suppressLineNumbers w:val="0"/>
        <w:ind w:left="440" w:leftChars="100" w:hanging="240" w:hangingChars="100"/>
        <w:jc w:val="both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Use SHAP values to explain individual predictions and detect whether sensitive features influence risk unfairly.</w:t>
      </w:r>
    </w:p>
    <w:p w14:paraId="5A5281F9">
      <w:pPr>
        <w:pStyle w:val="34"/>
        <w:keepNext w:val="0"/>
        <w:keepLines w:val="0"/>
        <w:widowControl/>
        <w:suppressLineNumbers w:val="0"/>
        <w:ind w:left="440" w:leftChars="100" w:hanging="240" w:hangingChars="100"/>
        <w:jc w:val="both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Assess demographic parity and equal opportunity fairness across subgroups.</w:t>
      </w:r>
    </w:p>
    <w:p w14:paraId="3BE10F3C">
      <w:pPr>
        <w:pStyle w:val="5"/>
        <w:keepNext w:val="0"/>
        <w:keepLines w:val="0"/>
        <w:widowControl/>
        <w:suppressLineNumbers w:val="0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Ethical Considerations:</w:t>
      </w:r>
    </w:p>
    <w:p w14:paraId="585D5848">
      <w:pPr>
        <w:pStyle w:val="34"/>
        <w:keepNext w:val="0"/>
        <w:keepLines w:val="0"/>
        <w:widowControl/>
        <w:suppressLineNumbers w:val="0"/>
        <w:ind w:left="400" w:leftChars="200" w:firstLine="0" w:firstLineChars="0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Use only relevant financial and behavioral variables, avoid proxies like Location that could relate to race or class.</w:t>
      </w:r>
    </w:p>
    <w:p w14:paraId="743354F8">
      <w:pPr>
        <w:pStyle w:val="34"/>
        <w:keepNext w:val="0"/>
        <w:keepLines w:val="0"/>
        <w:widowControl/>
        <w:suppressLineNumbers w:val="0"/>
        <w:ind w:left="400" w:leftChars="200" w:firstLine="0" w:firstLineChars="0"/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Ensure customer privacy is preserved and predictions are used as support for human-led interventions, not automated rejections.</w:t>
      </w:r>
    </w:p>
    <w:p w14:paraId="2D2F0295">
      <w:pPr>
        <w:pStyle w:val="34"/>
        <w:keepNext w:val="0"/>
        <w:keepLines w:val="0"/>
        <w:widowControl/>
        <w:suppressLineNumbers w:val="0"/>
        <w:ind w:left="400" w:leftChars="200" w:firstLine="0" w:firstLineChars="0"/>
        <w:rPr>
          <w:rFonts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Arial" w:hAnsi="Arial"/>
          <w:i w:val="0"/>
          <w:i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i w:val="0"/>
          <w:iCs w:val="0"/>
          <w:color w:val="000000" w:themeColor="text1"/>
          <w:kern w:val="0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Ensure the model is continuously monitored for drift and bias over time.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529"/>
    <w:rsid w:val="008237CA"/>
    <w:rsid w:val="00AA1D8D"/>
    <w:rsid w:val="00B47730"/>
    <w:rsid w:val="00CB0664"/>
    <w:rsid w:val="00E31114"/>
    <w:rsid w:val="00FC693F"/>
    <w:rsid w:val="0360542C"/>
    <w:rsid w:val="0A9D47E0"/>
    <w:rsid w:val="0F385E18"/>
    <w:rsid w:val="18550677"/>
    <w:rsid w:val="1E79088D"/>
    <w:rsid w:val="23BE5BB1"/>
    <w:rsid w:val="23C6058D"/>
    <w:rsid w:val="27F10525"/>
    <w:rsid w:val="28306589"/>
    <w:rsid w:val="2C3C2722"/>
    <w:rsid w:val="2F396887"/>
    <w:rsid w:val="350C2516"/>
    <w:rsid w:val="35E57C7A"/>
    <w:rsid w:val="36BB7FA7"/>
    <w:rsid w:val="39350C81"/>
    <w:rsid w:val="41CA4AFD"/>
    <w:rsid w:val="42FB4E6F"/>
    <w:rsid w:val="49BB0786"/>
    <w:rsid w:val="4B5859EE"/>
    <w:rsid w:val="4E89266D"/>
    <w:rsid w:val="4F2D30F6"/>
    <w:rsid w:val="4FC3106B"/>
    <w:rsid w:val="5233653E"/>
    <w:rsid w:val="54EF6E55"/>
    <w:rsid w:val="55292147"/>
    <w:rsid w:val="5C57280E"/>
    <w:rsid w:val="605C422D"/>
    <w:rsid w:val="6277079A"/>
    <w:rsid w:val="6B7B2FE6"/>
    <w:rsid w:val="6C6917CB"/>
    <w:rsid w:val="6FFA2C86"/>
    <w:rsid w:val="79A22FCC"/>
    <w:rsid w:val="79D378DB"/>
    <w:rsid w:val="7D18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Theme="minorHAnsi" w:hAnsiTheme="minorHAnsi" w:eastAsiaTheme="minorEastAsia" w:cstheme="minorBidi"/>
      <w:i/>
      <w:iCs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pBdr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hAnsiTheme="majorHAnsi" w:eastAsiaTheme="majorEastAsia" w:cstheme="majorBidi"/>
      <w:b/>
      <w:bCs/>
      <w:color w:val="595959" w:themeColor="accent2" w:themeShade="80"/>
      <w:sz w:val="22"/>
      <w:szCs w:val="22"/>
    </w:rPr>
  </w:style>
  <w:style w:type="paragraph" w:styleId="3">
    <w:name w:val="heading 2"/>
    <w:basedOn w:val="1"/>
    <w:next w:val="1"/>
    <w:link w:val="141"/>
    <w:unhideWhenUsed/>
    <w:qFormat/>
    <w:uiPriority w:val="9"/>
    <w:pPr>
      <w:pBdr>
        <w:top w:val="single" w:color="B2B2B2" w:themeColor="accent2" w:sz="4" w:space="0"/>
        <w:left w:val="single" w:color="B2B2B2" w:themeColor="accent2" w:sz="48" w:space="2"/>
        <w:bottom w:val="single" w:color="B2B2B2" w:themeColor="accent2" w:sz="4" w:space="0"/>
        <w:right w:val="single" w:color="B2B2B2" w:themeColor="accent2" w:sz="4" w:space="4"/>
      </w:pBdr>
      <w:spacing w:before="200" w:after="100" w:line="269" w:lineRule="auto"/>
      <w:ind w:left="144"/>
      <w:contextualSpacing/>
      <w:outlineLvl w:val="1"/>
    </w:pPr>
    <w:rPr>
      <w:rFonts w:asciiTheme="majorHAnsi" w:hAnsiTheme="majorHAnsi" w:eastAsiaTheme="majorEastAsia" w:cstheme="majorBidi"/>
      <w:b/>
      <w:bCs/>
      <w:color w:val="868686" w:themeColor="accent2" w:themeShade="BF"/>
      <w:sz w:val="22"/>
      <w:szCs w:val="22"/>
    </w:rPr>
  </w:style>
  <w:style w:type="paragraph" w:styleId="4">
    <w:name w:val="heading 3"/>
    <w:basedOn w:val="1"/>
    <w:next w:val="1"/>
    <w:link w:val="142"/>
    <w:unhideWhenUsed/>
    <w:qFormat/>
    <w:uiPriority w:val="9"/>
    <w:pPr>
      <w:pBdr>
        <w:left w:val="single" w:color="B2B2B2" w:themeColor="accent2" w:sz="48" w:space="2"/>
        <w:bottom w:val="single" w:color="B2B2B2" w:themeColor="accent2" w:sz="4" w:space="0"/>
      </w:pBdr>
      <w:spacing w:before="200" w:after="100" w:line="240" w:lineRule="auto"/>
      <w:ind w:left="144"/>
      <w:contextualSpacing/>
      <w:outlineLvl w:val="2"/>
    </w:pPr>
    <w:rPr>
      <w:rFonts w:asciiTheme="majorHAnsi" w:hAnsiTheme="majorHAnsi" w:eastAsiaTheme="majorEastAsia" w:cstheme="majorBidi"/>
      <w:b/>
      <w:bCs/>
      <w:color w:val="868686" w:themeColor="accent2" w:themeShade="BF"/>
      <w:sz w:val="22"/>
      <w:szCs w:val="22"/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pBdr>
        <w:left w:val="single" w:color="B2B2B2" w:themeColor="accent2" w:sz="4" w:space="2"/>
        <w:bottom w:val="single" w:color="B2B2B2" w:themeColor="accent2" w:sz="4" w:space="2"/>
      </w:pBdr>
      <w:spacing w:before="200" w:after="100" w:line="240" w:lineRule="auto"/>
      <w:ind w:left="86"/>
      <w:contextualSpacing/>
      <w:outlineLvl w:val="3"/>
    </w:pPr>
    <w:rPr>
      <w:rFonts w:asciiTheme="majorHAnsi" w:hAnsiTheme="majorHAnsi" w:eastAsiaTheme="majorEastAsia" w:cstheme="majorBidi"/>
      <w:b/>
      <w:bCs/>
      <w:color w:val="868686" w:themeColor="accent2" w:themeShade="BF"/>
      <w:sz w:val="22"/>
      <w:szCs w:val="22"/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pBdr>
        <w:left w:val="dotted" w:color="B2B2B2" w:themeColor="accent2" w:sz="4" w:space="2"/>
        <w:bottom w:val="dotted" w:color="B2B2B2" w:themeColor="accent2" w:sz="4" w:space="2"/>
      </w:pBdr>
      <w:spacing w:before="200" w:after="100" w:line="240" w:lineRule="auto"/>
      <w:ind w:left="86"/>
      <w:contextualSpacing/>
      <w:outlineLvl w:val="4"/>
    </w:pPr>
    <w:rPr>
      <w:rFonts w:asciiTheme="majorHAnsi" w:hAnsiTheme="majorHAnsi" w:eastAsiaTheme="majorEastAsia" w:cstheme="majorBidi"/>
      <w:b/>
      <w:bCs/>
      <w:color w:val="868686" w:themeColor="accent2" w:themeShade="BF"/>
      <w:sz w:val="22"/>
      <w:szCs w:val="22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pBdr>
        <w:bottom w:val="single" w:color="E0E0E0" w:themeColor="accent2" w:themeTint="66" w:sz="4" w:space="2"/>
      </w:pBdr>
      <w:spacing w:before="200" w:after="100" w:line="240" w:lineRule="auto"/>
      <w:contextualSpacing/>
      <w:outlineLvl w:val="5"/>
    </w:pPr>
    <w:rPr>
      <w:rFonts w:asciiTheme="majorHAnsi" w:hAnsiTheme="majorHAnsi" w:eastAsiaTheme="majorEastAsia" w:cstheme="majorBidi"/>
      <w:color w:val="868686" w:themeColor="accent2" w:themeShade="BF"/>
      <w:sz w:val="22"/>
      <w:szCs w:val="22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pBdr>
        <w:bottom w:val="dotted" w:color="D0D0D0" w:themeColor="accent2" w:themeTint="99" w:sz="4" w:space="2"/>
      </w:pBdr>
      <w:spacing w:before="200" w:after="100" w:line="240" w:lineRule="auto"/>
      <w:contextualSpacing/>
      <w:outlineLvl w:val="6"/>
    </w:pPr>
    <w:rPr>
      <w:rFonts w:asciiTheme="majorHAnsi" w:hAnsiTheme="majorHAnsi" w:eastAsiaTheme="majorEastAsia" w:cstheme="majorBidi"/>
      <w:color w:val="868686" w:themeColor="accent2" w:themeShade="BF"/>
      <w:sz w:val="22"/>
      <w:szCs w:val="22"/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spacing w:before="200" w:after="100" w:line="240" w:lineRule="auto"/>
      <w:contextualSpacing/>
      <w:outlineLvl w:val="7"/>
    </w:pPr>
    <w:rPr>
      <w:rFonts w:asciiTheme="majorHAnsi" w:hAnsiTheme="majorHAnsi" w:eastAsiaTheme="majorEastAsia" w:cstheme="majorBidi"/>
      <w:color w:val="B2B2B2" w:themeColor="accent2"/>
      <w:sz w:val="22"/>
      <w:szCs w:val="22"/>
      <w14:textFill>
        <w14:solidFill>
          <w14:schemeClr w14:val="accent2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spacing w:before="200" w:after="100" w:line="240" w:lineRule="auto"/>
      <w:contextualSpacing/>
      <w:outlineLvl w:val="8"/>
    </w:pPr>
    <w:rPr>
      <w:rFonts w:asciiTheme="majorHAnsi" w:hAnsiTheme="majorHAnsi" w:eastAsiaTheme="majorEastAsia" w:cstheme="majorBidi"/>
      <w:color w:val="B2B2B2" w:themeColor="accent2"/>
      <w14:textFill>
        <w14:solidFill>
          <w14:schemeClr w14:val="accent2"/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rPr>
      <w:b/>
      <w:bCs/>
      <w:color w:val="868686" w:themeColor="accent2" w:themeShade="BF"/>
      <w:sz w:val="18"/>
      <w:szCs w:val="18"/>
    </w:rPr>
  </w:style>
  <w:style w:type="character" w:styleId="17">
    <w:name w:val="Emphasis"/>
    <w:qFormat/>
    <w:uiPriority w:val="20"/>
    <w:rPr>
      <w:rFonts w:asciiTheme="majorHAnsi" w:hAnsiTheme="majorHAnsi" w:eastAsiaTheme="majorEastAsia" w:cstheme="majorBidi"/>
      <w:b/>
      <w:bCs/>
      <w:i/>
      <w:iCs/>
      <w:color w:val="B2B2B2" w:themeColor="accent2"/>
      <w:bdr w:val="single" w:color="EFEFEF" w:themeColor="accent2" w:themeTint="33" w:sz="18" w:space="0"/>
      <w:shd w:val="clear" w:color="auto" w:fill="EFEFEF" w:themeFill="accent2" w:themeFillTint="33"/>
      <w14:textFill>
        <w14:solidFill>
          <w14:schemeClr w14:val="accent2"/>
        </w14:solidFill>
      </w14:textFill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88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qFormat/>
    <w:uiPriority w:val="22"/>
    <w:rPr>
      <w:b/>
      <w:bCs/>
      <w:spacing w:val="0"/>
    </w:rPr>
  </w:style>
  <w:style w:type="paragraph" w:styleId="36">
    <w:name w:val="Subtitle"/>
    <w:basedOn w:val="1"/>
    <w:next w:val="1"/>
    <w:link w:val="144"/>
    <w:qFormat/>
    <w:uiPriority w:val="11"/>
    <w:pPr>
      <w:pBdr>
        <w:bottom w:val="dotted" w:color="B2B2B2" w:themeColor="accent2" w:sz="8" w:space="10"/>
      </w:pBdr>
      <w:spacing w:before="200" w:after="900" w:line="240" w:lineRule="auto"/>
      <w:jc w:val="center"/>
    </w:pPr>
    <w:rPr>
      <w:rFonts w:asciiTheme="majorHAnsi" w:hAnsiTheme="majorHAnsi" w:eastAsiaTheme="majorEastAsia" w:cstheme="majorBidi"/>
      <w:color w:val="595959" w:themeColor="accent2" w:themeShade="80"/>
      <w:sz w:val="24"/>
      <w:szCs w:val="24"/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8">
    <w:name w:val="Title"/>
    <w:basedOn w:val="1"/>
    <w:next w:val="1"/>
    <w:link w:val="143"/>
    <w:qFormat/>
    <w:uiPriority w:val="10"/>
    <w:pPr>
      <w:pBdr>
        <w:top w:val="single" w:color="B2B2B2" w:themeColor="accent2" w:sz="48" w:space="0"/>
        <w:bottom w:val="single" w:color="B2B2B2" w:themeColor="accent2" w:sz="48" w:space="0"/>
      </w:pBdr>
      <w:shd w:val="clear" w:color="auto" w:fill="B2B2B2" w:themeFill="accent2"/>
      <w:spacing w:after="0" w:line="240" w:lineRule="auto"/>
      <w:jc w:val="center"/>
    </w:pPr>
    <w:rPr>
      <w:rFonts w:asciiTheme="majorHAnsi" w:hAnsiTheme="majorHAnsi" w:eastAsiaTheme="majorEastAsia" w:cstheme="majorBidi"/>
      <w:color w:val="FFFFFF" w:themeColor="background1"/>
      <w:spacing w:val="10"/>
      <w:sz w:val="48"/>
      <w:szCs w:val="48"/>
      <w14:textFill>
        <w14:solidFill>
          <w14:schemeClr w14:val="bg1"/>
        </w14:solidFill>
      </w14:textFill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A6A6A6" w:themeColor="accent1" w:themeShade="BF"/>
    </w:rPr>
    <w:tblPr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868686" w:themeColor="accent2" w:themeShade="BF"/>
    </w:rPr>
    <w:tblPr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17171" w:themeColor="accent3" w:themeShade="BF"/>
    </w:rPr>
    <w:tblPr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6060" w:themeColor="accent4" w:themeShade="BF"/>
    </w:rPr>
    <w:tblPr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474747" w:themeColor="accent5" w:themeShade="BF"/>
    </w:rPr>
    <w:tblPr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3A3A3A" w:themeColor="accent6" w:themeShade="BF"/>
    </w:rPr>
    <w:tblPr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18" w:space="0"/>
          <w:right w:val="single" w:color="DDDDD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sz="8" w:space="0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5E5E5" w:themeColor="accent1" w:themeTint="BF" w:sz="8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E5E5" w:themeColor="accent1" w:themeTint="BF" w:sz="6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DDDD" w:themeColor="accen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DD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DDDDD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DD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DD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B2B2B2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69696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808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F5F5F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D4D4D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  <w:insideV w:val="single" w:color="E5E5E5" w:themeColor="accent1" w:themeTint="BF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5E5E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9E9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EEEE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D8D8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CACA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FBF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AFAF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6A6A6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95959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95959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3" w:themeFillShade="99"/>
      </w:tcPr>
    </w:tblStylePr>
    <w:tblStylePr w:type="band1Vert">
      <w:tblPr/>
      <w:tcPr>
        <w:shd w:val="clear" w:color="auto" w:fill="D4D4D4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83838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83838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838" w:themeFill="accent5" w:themeFillShade="99"/>
      </w:tcPr>
    </w:tblStylePr>
    <w:tblStylePr w:type="band1Vert">
      <w:tblPr/>
      <w:tcPr>
        <w:shd w:val="clear" w:color="auto" w:fill="BEBEBE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9E9E9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7777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E3E3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EDEDE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B4B4B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E9E9" w:themeFill="accent3" w:themeFillTint="33"/>
    </w:tcPr>
    <w:tblStylePr w:type="firstRow">
      <w:rPr>
        <w:b/>
        <w:bCs/>
      </w:rPr>
      <w:tblPr/>
      <w:tcPr>
        <w:shd w:val="clear" w:color="auto" w:fill="D4D4D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4D4D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DEDE" w:themeFill="accent5" w:themeFillTint="33"/>
    </w:tcPr>
    <w:tblStylePr w:type="firstRow">
      <w:rPr>
        <w:b/>
        <w:bCs/>
      </w:rPr>
      <w:tblPr/>
      <w:tcPr>
        <w:shd w:val="clear" w:color="auto" w:fill="BEBEBE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EBEBE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137">
    <w:name w:val="Header Char"/>
    <w:basedOn w:val="11"/>
    <w:link w:val="19"/>
    <w:qFormat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basedOn w:val="1"/>
    <w:link w:val="166"/>
    <w:qFormat/>
    <w:uiPriority w:val="1"/>
    <w:pPr>
      <w:spacing w:after="0" w:line="240" w:lineRule="auto"/>
    </w:p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i/>
      <w:iCs/>
      <w:color w:val="595959" w:themeColor="accent2" w:themeShade="80"/>
      <w:shd w:val="clear" w:color="auto" w:fill="EFEFEF" w:themeFill="accent2" w:themeFillTint="33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i/>
      <w:iCs/>
      <w:color w:val="868686" w:themeColor="accent2" w:themeShade="BF"/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i/>
      <w:iCs/>
      <w:color w:val="868686" w:themeColor="accent2" w:themeShade="BF"/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  <w14:textFill>
        <w14:solidFill>
          <w14:schemeClr w14:val="bg1"/>
        </w14:solidFill>
      </w14:textFill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595959" w:themeColor="accent2" w:themeShade="80"/>
      <w:sz w:val="24"/>
      <w:szCs w:val="24"/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 w:val="0"/>
      <w:iCs w:val="0"/>
      <w:color w:val="868686" w:themeColor="accent2" w:themeShade="BF"/>
    </w:rPr>
  </w:style>
  <w:style w:type="character" w:customStyle="1" w:styleId="151">
    <w:name w:val="Quote Char"/>
    <w:basedOn w:val="11"/>
    <w:link w:val="150"/>
    <w:uiPriority w:val="29"/>
    <w:rPr>
      <w:color w:val="868686" w:themeColor="accent2" w:themeShade="BF"/>
      <w:sz w:val="20"/>
      <w:szCs w:val="20"/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868686" w:themeColor="accent2" w:themeShade="BF"/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868686" w:themeColor="accent2" w:themeShade="BF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868686" w:themeColor="accent2" w:themeShade="BF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868686" w:themeColor="accent2" w:themeShade="BF"/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i/>
      <w:iCs/>
      <w:color w:val="B2B2B2" w:themeColor="accent2"/>
      <w14:textFill>
        <w14:solidFill>
          <w14:schemeClr w14:val="accent2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B2B2B2" w:themeColor="accent2"/>
      <w:sz w:val="20"/>
      <w:szCs w:val="20"/>
      <w14:textFill>
        <w14:solidFill>
          <w14:schemeClr w14:val="accent2"/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top w:val="dotted" w:color="B2B2B2" w:themeColor="accent2" w:sz="8" w:space="10"/>
        <w:bottom w:val="dotted" w:color="B2B2B2" w:themeColor="accent2" w:sz="8" w:space="10"/>
      </w:pBdr>
      <w:spacing w:line="300" w:lineRule="auto"/>
      <w:ind w:left="2160" w:right="2160"/>
      <w:jc w:val="center"/>
    </w:pPr>
    <w:rPr>
      <w:rFonts w:asciiTheme="majorHAnsi" w:hAnsiTheme="majorHAnsi" w:eastAsiaTheme="majorEastAsia" w:cstheme="majorBidi"/>
      <w:b/>
      <w:bCs/>
      <w:color w:val="B2B2B2" w:themeColor="accent2"/>
      <w14:textFill>
        <w14:solidFill>
          <w14:schemeClr w14:val="accent2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rFonts w:asciiTheme="majorHAnsi" w:hAnsiTheme="majorHAnsi" w:eastAsiaTheme="majorEastAsia" w:cstheme="majorBidi"/>
      <w:b/>
      <w:bCs/>
      <w:i/>
      <w:iCs/>
      <w:color w:val="B2B2B2" w:themeColor="accent2"/>
      <w:sz w:val="20"/>
      <w:szCs w:val="20"/>
      <w14:textFill>
        <w14:solidFill>
          <w14:schemeClr w14:val="accent2"/>
        </w14:solidFill>
      </w14:textFill>
    </w:rPr>
  </w:style>
  <w:style w:type="character" w:customStyle="1" w:styleId="160">
    <w:name w:val="Subtle Emphasis"/>
    <w:qFormat/>
    <w:uiPriority w:val="19"/>
    <w:rPr>
      <w:rFonts w:asciiTheme="majorHAnsi" w:hAnsiTheme="majorHAnsi" w:eastAsiaTheme="majorEastAsia" w:cstheme="majorBidi"/>
      <w:i/>
      <w:iCs/>
      <w:color w:val="B2B2B2" w:themeColor="accent2"/>
      <w14:textFill>
        <w14:solidFill>
          <w14:schemeClr w14:val="accent2"/>
        </w14:solidFill>
      </w14:textFill>
    </w:rPr>
  </w:style>
  <w:style w:type="character" w:customStyle="1" w:styleId="161">
    <w:name w:val="Intense Emphasis"/>
    <w:qFormat/>
    <w:uiPriority w:val="21"/>
    <w:rPr>
      <w:rFonts w:asciiTheme="majorHAnsi" w:hAnsiTheme="majorHAnsi" w:eastAsiaTheme="majorEastAsia" w:cstheme="majorBidi"/>
      <w:b/>
      <w:bCs/>
      <w:i/>
      <w:iCs/>
      <w:color w:val="FFFFFF" w:themeColor="background1"/>
      <w:bdr w:val="single" w:color="B2B2B2" w:themeColor="accent2" w:sz="18" w:space="0"/>
      <w:shd w:val="clear" w:color="auto" w:fill="B2B2B2" w:themeFill="accent2"/>
      <w:vertAlign w:val="baseline"/>
      <w14:textFill>
        <w14:solidFill>
          <w14:schemeClr w14:val="bg1"/>
        </w14:solidFill>
      </w14:textFill>
    </w:rPr>
  </w:style>
  <w:style w:type="character" w:customStyle="1" w:styleId="162">
    <w:name w:val="Subtle Reference"/>
    <w:qFormat/>
    <w:uiPriority w:val="31"/>
    <w:rPr>
      <w:i/>
      <w:iCs/>
      <w:smallCaps/>
      <w:color w:val="B2B2B2" w:themeColor="accent2"/>
      <w:u w:color="B2B2B2" w:themeColor="accent2"/>
      <w14:textFill>
        <w14:solidFill>
          <w14:schemeClr w14:val="accent2"/>
        </w14:solidFill>
      </w14:textFill>
    </w:rPr>
  </w:style>
  <w:style w:type="character" w:customStyle="1" w:styleId="163">
    <w:name w:val="Intense Reference"/>
    <w:qFormat/>
    <w:uiPriority w:val="32"/>
    <w:rPr>
      <w:b/>
      <w:bCs/>
      <w:i/>
      <w:iCs/>
      <w:smallCaps/>
      <w:color w:val="B2B2B2" w:themeColor="accent2"/>
      <w:u w:color="B2B2B2" w:themeColor="accent2"/>
      <w14:textFill>
        <w14:solidFill>
          <w14:schemeClr w14:val="accent2"/>
        </w14:solidFill>
      </w14:textFill>
    </w:rPr>
  </w:style>
  <w:style w:type="character" w:customStyle="1" w:styleId="164">
    <w:name w:val="Book Title"/>
    <w:qFormat/>
    <w:uiPriority w:val="33"/>
    <w:rPr>
      <w:rFonts w:asciiTheme="majorHAnsi" w:hAnsiTheme="majorHAnsi" w:eastAsiaTheme="majorEastAsia" w:cstheme="majorBidi"/>
      <w:b/>
      <w:bCs/>
      <w:i/>
      <w:iCs/>
      <w:smallCaps/>
      <w:color w:val="868686" w:themeColor="accent2" w:themeShade="BF"/>
      <w:u w:val="single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6">
    <w:name w:val="No Spacing Char"/>
    <w:basedOn w:val="11"/>
    <w:link w:val="139"/>
    <w:uiPriority w:val="1"/>
    <w:rPr>
      <w:i/>
      <w:iCs/>
      <w:sz w:val="20"/>
      <w:szCs w:val="20"/>
    </w:rPr>
  </w:style>
  <w:style w:type="paragraph" w:customStyle="1" w:styleId="167">
    <w:name w:val="Personal Name"/>
    <w:basedOn w:val="38"/>
    <w:uiPriority w:val="0"/>
    <w:rPr>
      <w:b/>
      <w:caps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190</Words>
  <Characters>1088</Characters>
  <Lines>9</Lines>
  <Paragraphs>2</Paragraphs>
  <TotalTime>0</TotalTime>
  <ScaleCrop>false</ScaleCrop>
  <LinksUpToDate>false</LinksUpToDate>
  <CharactersWithSpaces>1276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Arisudan thiru</cp:lastModifiedBy>
  <dcterms:modified xsi:type="dcterms:W3CDTF">2025-06-18T07:29:20Z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75EAAA3295DB455EB46D20A133985CAB_12</vt:lpwstr>
  </property>
</Properties>
</file>