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C83A6">
      <w:pPr>
        <w:pStyle w:val="37"/>
        <w:jc w:val="center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Business Summary Report: Predictive Insights for Collections Strategy</w:t>
      </w:r>
    </w:p>
    <w:p w14:paraId="2F4337BF">
      <w:pPr>
        <w:pStyle w:val="2"/>
        <w:spacing w:line="24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1. Summary of Predictive Insights</w:t>
      </w:r>
    </w:p>
    <w:p w14:paraId="3ACFE5BF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Geldium’s predictive model identified key risk patterns that can help the Collections team prioritize efforts more effectively:</w:t>
      </w:r>
    </w:p>
    <w:p w14:paraId="7B3A7986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Customers with 2 or more missed payments and debt</w:t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noBreakHyphen/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to</w:t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noBreakHyphen/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income ratios &gt; 50% are approximately 3× more likely to become delinquent.</w:t>
      </w:r>
    </w:p>
    <w:p w14:paraId="30DD63E7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Customers under 30 years old with high credit utilization (&gt;80%) are 3.4× more likely to miss payments.</w:t>
      </w:r>
    </w:p>
    <w:p w14:paraId="0B6C9C44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Customers with new accounts (account tenure &lt;1 year) and rising credit utilization display early warning signs for future delinquency.</w:t>
      </w:r>
    </w:p>
    <w:tbl>
      <w:tblPr>
        <w:tblStyle w:val="12"/>
        <w:tblW w:w="5817" w:type="pct"/>
        <w:tblInd w:w="-505" w:type="dxa"/>
        <w:tblLayout w:type="autofit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74"/>
        <w:gridCol w:w="2185"/>
        <w:gridCol w:w="2570"/>
        <w:gridCol w:w="3093"/>
      </w:tblGrid>
      <w:tr w14:paraId="36311A05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32" w:hRule="atLeast"/>
        </w:trPr>
        <w:tc>
          <w:tcPr>
            <w:tcW w:w="11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DE1C077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0CD6A7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Key Insight</w:t>
            </w:r>
          </w:p>
        </w:tc>
        <w:tc>
          <w:tcPr>
            <w:tcW w:w="10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FC77391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 w14:paraId="21F469F1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Costumer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 Segment</w:t>
            </w:r>
          </w:p>
        </w:tc>
        <w:tc>
          <w:tcPr>
            <w:tcW w:w="126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E9A5BF0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891034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Influencing Variables</w:t>
            </w:r>
          </w:p>
        </w:tc>
        <w:tc>
          <w:tcPr>
            <w:tcW w:w="152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DE2C0D6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2E38055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Potential Impact</w:t>
            </w:r>
          </w:p>
        </w:tc>
      </w:tr>
      <w:tr w14:paraId="4217145F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82" w:hRule="atLeast"/>
        </w:trPr>
        <w:tc>
          <w:tcPr>
            <w:tcW w:w="11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BFF5A1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High credit utilization (&gt;80%) and 2+ missed payments</w:t>
            </w:r>
          </w:p>
        </w:tc>
        <w:tc>
          <w:tcPr>
            <w:tcW w:w="10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33EE3B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Young customers (&lt;30)</w:t>
            </w:r>
          </w:p>
        </w:tc>
        <w:tc>
          <w:tcPr>
            <w:tcW w:w="126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B31FED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Credit Utilization, Missed Payments</w:t>
            </w:r>
          </w:p>
        </w:tc>
        <w:tc>
          <w:tcPr>
            <w:tcW w:w="152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8DC9A44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Enables targeted interventions, reducing future 30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day delinquencies by ~12%</w:t>
            </w:r>
          </w:p>
        </w:tc>
      </w:tr>
      <w:tr w14:paraId="36574D68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82" w:hRule="atLeast"/>
        </w:trPr>
        <w:tc>
          <w:tcPr>
            <w:tcW w:w="11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6F0F40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High Debt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Income Ratio (&gt;50%)</w:t>
            </w:r>
          </w:p>
        </w:tc>
        <w:tc>
          <w:tcPr>
            <w:tcW w:w="10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F37B5BD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Customers with large loan balances</w:t>
            </w:r>
          </w:p>
        </w:tc>
        <w:tc>
          <w:tcPr>
            <w:tcW w:w="126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329D22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Debt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Income Ratio, Missed Payments</w:t>
            </w:r>
          </w:p>
        </w:tc>
        <w:tc>
          <w:tcPr>
            <w:tcW w:w="152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85FA529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Enables earlier risk detection and tailored repayment plans</w:t>
            </w:r>
          </w:p>
        </w:tc>
      </w:tr>
      <w:tr w14:paraId="2DA117E5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82" w:hRule="atLeast"/>
        </w:trPr>
        <w:tc>
          <w:tcPr>
            <w:tcW w:w="11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171D227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New account holders with rising utilization</w:t>
            </w:r>
          </w:p>
        </w:tc>
        <w:tc>
          <w:tcPr>
            <w:tcW w:w="10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AE0D0A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Customers with Account Tenure &lt;1yr</w:t>
            </w:r>
          </w:p>
        </w:tc>
        <w:tc>
          <w:tcPr>
            <w:tcW w:w="126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75C3227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Account Tenure, Credit Utilization</w:t>
            </w:r>
          </w:p>
        </w:tc>
        <w:tc>
          <w:tcPr>
            <w:tcW w:w="152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27368A6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Supports proactive alerts and education for new customers</w:t>
            </w:r>
          </w:p>
        </w:tc>
      </w:tr>
    </w:tbl>
    <w:p w14:paraId="72833B3F">
      <w:pPr>
        <w:pStyle w:val="2"/>
        <w:spacing w:line="24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2. Recommendation Framework</w:t>
      </w:r>
    </w:p>
    <w:p w14:paraId="5ACCACDE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34"/>
          <w:rFonts w:hint="default" w:ascii="Arial" w:hAnsi="Arial" w:cs="Arial"/>
          <w:sz w:val="22"/>
          <w:szCs w:val="22"/>
        </w:rPr>
        <w:t>Restated Insight: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Customers under 30 with credit utilization &gt;80% and at least 2 missed payments have the highest risk of becoming delinquent.</w:t>
      </w:r>
    </w:p>
    <w:p w14:paraId="1F151336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34"/>
          <w:rFonts w:hint="default" w:ascii="Arial" w:hAnsi="Arial" w:cs="Arial"/>
          <w:sz w:val="22"/>
          <w:szCs w:val="22"/>
        </w:rPr>
        <w:t>Proposed Recommendation: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 xml:space="preserve">Launch a targeted </w:t>
      </w:r>
      <w:r>
        <w:rPr>
          <w:rStyle w:val="34"/>
          <w:rFonts w:hint="default" w:ascii="Arial" w:hAnsi="Arial" w:cs="Arial"/>
          <w:sz w:val="22"/>
          <w:szCs w:val="22"/>
        </w:rPr>
        <w:t>6</w:t>
      </w:r>
      <w:r>
        <w:rPr>
          <w:rStyle w:val="34"/>
          <w:rFonts w:hint="default" w:ascii="Arial" w:hAnsi="Arial" w:cs="Arial"/>
          <w:sz w:val="22"/>
          <w:szCs w:val="22"/>
        </w:rPr>
        <w:noBreakHyphen/>
      </w:r>
      <w:r>
        <w:rPr>
          <w:rStyle w:val="34"/>
          <w:rFonts w:hint="default" w:ascii="Arial" w:hAnsi="Arial" w:cs="Arial"/>
          <w:sz w:val="22"/>
          <w:szCs w:val="22"/>
        </w:rPr>
        <w:t>week SMS and email campaign</w:t>
      </w:r>
      <w:r>
        <w:rPr>
          <w:rFonts w:hint="default" w:ascii="Arial" w:hAnsi="Arial" w:cs="Arial"/>
          <w:sz w:val="22"/>
          <w:szCs w:val="22"/>
        </w:rPr>
        <w:t xml:space="preserve"> focusing on high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risk customers, reminding them of payment due dates and offering financial literacy tips.</w:t>
      </w:r>
    </w:p>
    <w:p w14:paraId="216BA87D">
      <w:pPr>
        <w:pStyle w:val="33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Style w:val="34"/>
          <w:rFonts w:hint="default" w:ascii="Arial" w:hAnsi="Arial" w:cs="Arial"/>
          <w:sz w:val="22"/>
          <w:szCs w:val="22"/>
        </w:rPr>
        <w:t>Specific:</w:t>
      </w:r>
      <w:r>
        <w:rPr>
          <w:rFonts w:hint="default" w:ascii="Arial" w:hAnsi="Arial" w:cs="Arial"/>
          <w:sz w:val="22"/>
          <w:szCs w:val="22"/>
        </w:rPr>
        <w:t xml:space="preserve"> Target customers under 30 with credit utilization &gt;80% and 2 or more missed payments.</w:t>
      </w:r>
    </w:p>
    <w:p w14:paraId="74C031D4">
      <w:pPr>
        <w:pStyle w:val="33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Style w:val="34"/>
          <w:rFonts w:hint="default" w:ascii="Arial" w:hAnsi="Arial" w:cs="Arial"/>
          <w:sz w:val="22"/>
          <w:szCs w:val="22"/>
        </w:rPr>
        <w:t>Measurable:</w:t>
      </w:r>
      <w:r>
        <w:rPr>
          <w:rFonts w:hint="default" w:ascii="Arial" w:hAnsi="Arial" w:cs="Arial"/>
          <w:sz w:val="22"/>
          <w:szCs w:val="22"/>
        </w:rPr>
        <w:t xml:space="preserve"> Reduce 30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day delinquency rate for this segment by 12%.</w:t>
      </w:r>
    </w:p>
    <w:p w14:paraId="52A39F1D">
      <w:pPr>
        <w:pStyle w:val="33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Style w:val="34"/>
          <w:rFonts w:hint="default" w:ascii="Arial" w:hAnsi="Arial" w:cs="Arial"/>
          <w:sz w:val="22"/>
          <w:szCs w:val="22"/>
        </w:rPr>
        <w:t>Actionable:</w:t>
      </w:r>
      <w:r>
        <w:rPr>
          <w:rFonts w:hint="default" w:ascii="Arial" w:hAnsi="Arial" w:cs="Arial"/>
          <w:sz w:val="22"/>
          <w:szCs w:val="22"/>
        </w:rPr>
        <w:t xml:space="preserve"> Use existing CRM and SMS infrastructure for personalized messages and alerts.</w:t>
      </w:r>
    </w:p>
    <w:p w14:paraId="6A9D4975">
      <w:pPr>
        <w:pStyle w:val="33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Style w:val="34"/>
          <w:rFonts w:hint="default" w:ascii="Arial" w:hAnsi="Arial" w:cs="Arial"/>
          <w:sz w:val="22"/>
          <w:szCs w:val="22"/>
        </w:rPr>
        <w:t>Relevant:</w:t>
      </w:r>
      <w:r>
        <w:rPr>
          <w:rFonts w:hint="default" w:ascii="Arial" w:hAnsi="Arial" w:cs="Arial"/>
          <w:sz w:val="22"/>
          <w:szCs w:val="22"/>
        </w:rPr>
        <w:t xml:space="preserve"> Focused on Geldium’s priority segment for reducing losses and increasing recovery rates.</w:t>
      </w:r>
    </w:p>
    <w:p w14:paraId="0F896984">
      <w:pPr>
        <w:pStyle w:val="33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 </w:t>
      </w:r>
      <w:r>
        <w:rPr>
          <w:rStyle w:val="34"/>
          <w:rFonts w:hint="default" w:ascii="Arial" w:hAnsi="Arial" w:cs="Arial"/>
          <w:sz w:val="22"/>
          <w:szCs w:val="22"/>
        </w:rPr>
        <w:t>Time</w:t>
      </w:r>
      <w:r>
        <w:rPr>
          <w:rStyle w:val="34"/>
          <w:rFonts w:hint="default" w:ascii="Arial" w:hAnsi="Arial" w:cs="Arial"/>
          <w:sz w:val="22"/>
          <w:szCs w:val="22"/>
        </w:rPr>
        <w:noBreakHyphen/>
      </w:r>
      <w:r>
        <w:rPr>
          <w:rStyle w:val="34"/>
          <w:rFonts w:hint="default" w:ascii="Arial" w:hAnsi="Arial" w:cs="Arial"/>
          <w:sz w:val="22"/>
          <w:szCs w:val="22"/>
        </w:rPr>
        <w:t>bound:</w:t>
      </w:r>
      <w:r>
        <w:rPr>
          <w:rFonts w:hint="default" w:ascii="Arial" w:hAnsi="Arial" w:cs="Arial"/>
          <w:sz w:val="22"/>
          <w:szCs w:val="22"/>
        </w:rPr>
        <w:t xml:space="preserve"> Pilot campaign for 6 weeks and review results within 2 months.</w:t>
      </w:r>
    </w:p>
    <w:p w14:paraId="63F7B439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4"/>
          <w:rFonts w:hint="default" w:ascii="Arial" w:hAnsi="Arial" w:cs="Arial"/>
          <w:sz w:val="22"/>
          <w:szCs w:val="22"/>
        </w:rPr>
        <w:t>Justification and Business Rationale: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Customers in this segment are statistically 3.4× more likely to miss payments. Early, personalized interventions can reduce delinquency, protect revenue, and build trust with younger customers, aligning with Geldium’s long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term risk and retention objectives.</w:t>
      </w:r>
    </w:p>
    <w:p w14:paraId="605B9E4B">
      <w:pPr>
        <w:pStyle w:val="2"/>
        <w:spacing w:line="240" w:lineRule="auto"/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3. Ethical and Responsible AI Considerations</w:t>
      </w:r>
    </w:p>
    <w:p w14:paraId="1CBFDDFA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34"/>
          <w:rFonts w:hint="default" w:ascii="Arial" w:hAnsi="Arial" w:cs="Arial"/>
          <w:sz w:val="22"/>
          <w:szCs w:val="22"/>
        </w:rPr>
        <w:t>Potential Bias or Unfair Treatment: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The model may unintentionally over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represent younger or lower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income customers if certain variables (age or income bracket) dominate its risk assessment.</w:t>
      </w:r>
    </w:p>
    <w:p w14:paraId="576621A4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34"/>
          <w:rFonts w:hint="default" w:ascii="Arial" w:hAnsi="Arial" w:cs="Arial"/>
          <w:sz w:val="22"/>
          <w:szCs w:val="22"/>
        </w:rPr>
        <w:t>Mitigation:</w:t>
      </w:r>
      <w:r>
        <w:rPr>
          <w:rStyle w:val="34"/>
          <w:rFonts w:hint="default" w:ascii="Arial" w:hAnsi="Arial" w:cs="Arial"/>
          <w:sz w:val="22"/>
          <w:szCs w:val="22"/>
          <w:lang w:val="en-IN"/>
        </w:rPr>
        <w:t xml:space="preserve">  </w:t>
      </w:r>
      <w:r>
        <w:rPr>
          <w:rFonts w:hint="default" w:ascii="Arial" w:hAnsi="Arial" w:cs="Arial"/>
          <w:sz w:val="22"/>
          <w:szCs w:val="22"/>
        </w:rPr>
        <w:t xml:space="preserve"> Perform regular audits of prediction outcomes across demographic groups and remove or adjust any variables acting as inappropriate proxies for protected characteristics</w:t>
      </w:r>
      <w:r>
        <w:rPr>
          <w:rFonts w:hint="default" w:ascii="Arial" w:hAnsi="Arial" w:cs="Arial"/>
          <w:sz w:val="22"/>
          <w:szCs w:val="22"/>
          <w:lang w:val="en-IN"/>
        </w:rPr>
        <w:t>.</w:t>
      </w:r>
    </w:p>
    <w:p w14:paraId="04D60081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34"/>
          <w:rFonts w:hint="default" w:ascii="Arial" w:hAnsi="Arial" w:cs="Arial"/>
          <w:sz w:val="22"/>
          <w:szCs w:val="22"/>
        </w:rPr>
        <w:t>Explainability:</w:t>
      </w:r>
      <w:r>
        <w:rPr>
          <w:rStyle w:val="34"/>
          <w:rFonts w:hint="default" w:ascii="Arial" w:hAnsi="Arial" w:cs="Arial"/>
          <w:sz w:val="22"/>
          <w:szCs w:val="22"/>
          <w:lang w:val="en-IN"/>
        </w:rPr>
        <w:t xml:space="preserve">  </w:t>
      </w:r>
      <w:r>
        <w:rPr>
          <w:rFonts w:hint="default" w:ascii="Arial" w:hAnsi="Arial" w:cs="Arial"/>
          <w:sz w:val="22"/>
          <w:szCs w:val="22"/>
        </w:rPr>
        <w:t>The model is built on interpretable inputs (credit utilization, missed payments, debt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to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income), making it easy for staff and stakeholders to understand why certain customers are flagged.</w:t>
      </w:r>
    </w:p>
    <w:p w14:paraId="75E61F19">
      <w:pPr>
        <w:pStyle w:val="33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sz w:val="22"/>
          <w:szCs w:val="22"/>
        </w:rPr>
      </w:pPr>
      <w:r>
        <w:rPr>
          <w:rStyle w:val="34"/>
          <w:rFonts w:hint="default" w:ascii="Arial" w:hAnsi="Arial" w:cs="Arial"/>
          <w:sz w:val="22"/>
          <w:szCs w:val="22"/>
        </w:rPr>
        <w:t>Responsible Decision</w:t>
      </w:r>
      <w:r>
        <w:rPr>
          <w:rStyle w:val="34"/>
          <w:rFonts w:hint="default" w:ascii="Arial" w:hAnsi="Arial" w:cs="Arial"/>
          <w:sz w:val="22"/>
          <w:szCs w:val="22"/>
        </w:rPr>
        <w:noBreakHyphen/>
      </w:r>
      <w:r>
        <w:rPr>
          <w:rStyle w:val="34"/>
          <w:rFonts w:hint="default" w:ascii="Arial" w:hAnsi="Arial" w:cs="Arial"/>
          <w:sz w:val="22"/>
          <w:szCs w:val="22"/>
        </w:rPr>
        <w:t>Making: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The recommendations focus on early warning alerts and education, providing support and information rather than punitive measures, aligning with Geldium’s mission to foster trust and long</w:t>
      </w:r>
      <w:r>
        <w:rPr>
          <w:rFonts w:hint="default" w:ascii="Arial" w:hAnsi="Arial" w:cs="Arial"/>
          <w:sz w:val="22"/>
          <w:szCs w:val="22"/>
        </w:rPr>
        <w:noBreakHyphen/>
      </w:r>
      <w:r>
        <w:rPr>
          <w:rFonts w:hint="default" w:ascii="Arial" w:hAnsi="Arial" w:cs="Arial"/>
          <w:sz w:val="22"/>
          <w:szCs w:val="22"/>
        </w:rPr>
        <w:t>term customer relationships.</w:t>
      </w:r>
    </w:p>
    <w:p w14:paraId="19055773">
      <w:pPr>
        <w:pStyle w:val="33"/>
        <w:keepNext w:val="0"/>
        <w:keepLines w:val="0"/>
        <w:widowControl/>
        <w:suppressLineNumbers w:val="0"/>
        <w:spacing w:line="240" w:lineRule="auto"/>
        <w:jc w:val="both"/>
      </w:pPr>
      <w:r>
        <w:rPr>
          <w:rStyle w:val="34"/>
          <w:rFonts w:hint="default" w:ascii="Arial" w:hAnsi="Arial" w:cs="Arial"/>
          <w:sz w:val="22"/>
          <w:szCs w:val="22"/>
        </w:rPr>
        <w:t>Additional Ethical Considerations: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The approach respects privacy by relying only on financial and behavioral data, excludes sensitive demographic inputs, and operates within applicable regulations for fair lending and credit risk management.</w:t>
      </w:r>
    </w:p>
    <w:p w14:paraId="33EC1793">
      <w:pPr>
        <w:pStyle w:val="33"/>
        <w:keepNext w:val="0"/>
        <w:keepLines w:val="0"/>
        <w:widowControl/>
        <w:suppressLineNumbers w:val="0"/>
        <w:spacing w:line="24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4"/>
          <w:rFonts w:hint="default" w:ascii="Arial" w:hAnsi="Arial" w:cs="Arial"/>
          <w:sz w:val="22"/>
          <w:szCs w:val="22"/>
        </w:rPr>
        <w:t>End of Report</w:t>
      </w:r>
      <w:r>
        <w:br w:type="textWrapping"/>
      </w:r>
      <w:bookmarkStart w:id="0" w:name="_GoBack"/>
      <w:bookmarkEnd w:id="0"/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This approach ensures Geldium can utilize its AI</w:t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noBreakHyphen/>
      </w:r>
      <w:r>
        <w:rPr>
          <w:rFonts w:ascii="Arial" w:hAnsi="Arial" w:cs="Arial" w:eastAsiaTheme="minorEastAsia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driven risk assessments effectively, prioritizing actionable interventions while maintaining trust, transparency, and fairness throughout the customer lifecycle.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9" w:usb3="00000000" w:csb0="000001FF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A1D8D"/>
    <w:rsid w:val="00B47730"/>
    <w:rsid w:val="00CB0664"/>
    <w:rsid w:val="00FC693F"/>
    <w:rsid w:val="1D7644E2"/>
    <w:rsid w:val="1F4551F8"/>
    <w:rsid w:val="22100A09"/>
    <w:rsid w:val="266165C3"/>
    <w:rsid w:val="398C60BB"/>
    <w:rsid w:val="3D3C5C83"/>
    <w:rsid w:val="3FDD2F54"/>
    <w:rsid w:val="4D505D63"/>
    <w:rsid w:val="53082419"/>
    <w:rsid w:val="56155247"/>
    <w:rsid w:val="729D1E1A"/>
    <w:rsid w:val="78F7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6A6A6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DDDDD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868686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DDDD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2B2B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69696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808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F5F5F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D4D4D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A6A6A6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DDDDD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DDDDD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DDDDD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B2B2B2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B2B2B2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1662</Characters>
  <Lines>13</Lines>
  <Paragraphs>3</Paragraphs>
  <TotalTime>3</TotalTime>
  <ScaleCrop>false</ScaleCrop>
  <LinksUpToDate>false</LinksUpToDate>
  <CharactersWithSpaces>1950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Arisudan thiru</cp:lastModifiedBy>
  <dcterms:modified xsi:type="dcterms:W3CDTF">2025-06-22T11:12:32Z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68CAEC9E11954949876DD630C75FCF6E_12</vt:lpwstr>
  </property>
</Properties>
</file>