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44"/>
        </w:rPr>
      </w:pPr>
      <w:r>
        <w:rPr>
          <w:rFonts w:hint="eastAsia" w:eastAsia="黑体"/>
          <w:sz w:val="44"/>
        </w:rPr>
        <w:t>本科生课程报告封面</w:t>
      </w:r>
    </w:p>
    <w:p>
      <w:pPr>
        <w:jc w:val="center"/>
        <w:rPr>
          <w:rFonts w:eastAsia="黑体"/>
          <w:sz w:val="44"/>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2928"/>
        <w:gridCol w:w="672"/>
        <w:gridCol w:w="1077"/>
        <w:gridCol w:w="723"/>
        <w:gridCol w:w="721"/>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726" w:type="dxa"/>
            <w:vAlign w:val="center"/>
          </w:tcPr>
          <w:p>
            <w:pPr>
              <w:jc w:val="center"/>
              <w:rPr>
                <w:sz w:val="24"/>
              </w:rPr>
            </w:pPr>
            <w:r>
              <w:rPr>
                <w:rFonts w:hint="eastAsia"/>
                <w:sz w:val="24"/>
              </w:rPr>
              <w:t>院    系</w:t>
            </w:r>
          </w:p>
        </w:tc>
        <w:tc>
          <w:tcPr>
            <w:tcW w:w="2928" w:type="dxa"/>
            <w:vAlign w:val="center"/>
          </w:tcPr>
          <w:p>
            <w:pPr>
              <w:jc w:val="center"/>
              <w:rPr>
                <w:rFonts w:hint="eastAsia" w:eastAsia="宋体"/>
                <w:sz w:val="24"/>
                <w:lang w:val="en-US" w:eastAsia="zh-CN"/>
              </w:rPr>
            </w:pPr>
            <w:r>
              <w:rPr>
                <w:rFonts w:hint="eastAsia"/>
                <w:sz w:val="24"/>
                <w:lang w:val="en-US" w:eastAsia="zh-CN"/>
              </w:rPr>
              <w:t>电子科学与工程</w:t>
            </w:r>
          </w:p>
        </w:tc>
        <w:tc>
          <w:tcPr>
            <w:tcW w:w="1749" w:type="dxa"/>
            <w:gridSpan w:val="2"/>
            <w:vAlign w:val="center"/>
          </w:tcPr>
          <w:p>
            <w:pPr>
              <w:jc w:val="center"/>
              <w:rPr>
                <w:sz w:val="24"/>
              </w:rPr>
            </w:pPr>
            <w:r>
              <w:rPr>
                <w:rFonts w:hint="eastAsia"/>
                <w:sz w:val="24"/>
              </w:rPr>
              <w:t>专业</w:t>
            </w:r>
          </w:p>
        </w:tc>
        <w:tc>
          <w:tcPr>
            <w:tcW w:w="2119" w:type="dxa"/>
            <w:gridSpan w:val="3"/>
            <w:vAlign w:val="center"/>
          </w:tcPr>
          <w:p>
            <w:pPr>
              <w:jc w:val="center"/>
              <w:rPr>
                <w:rFonts w:hint="eastAsia" w:eastAsia="宋体"/>
                <w:sz w:val="24"/>
                <w:lang w:val="en-US" w:eastAsia="zh-CN"/>
              </w:rPr>
            </w:pPr>
            <w:r>
              <w:rPr>
                <w:rFonts w:hint="eastAsia"/>
                <w:sz w:val="24"/>
                <w:lang w:val="en-US" w:eastAsia="zh-CN"/>
              </w:rPr>
              <w:t>电子科学与技术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726" w:type="dxa"/>
            <w:vAlign w:val="center"/>
          </w:tcPr>
          <w:p>
            <w:pPr>
              <w:jc w:val="center"/>
              <w:rPr>
                <w:sz w:val="24"/>
              </w:rPr>
            </w:pPr>
            <w:r>
              <w:rPr>
                <w:rFonts w:hint="eastAsia"/>
                <w:sz w:val="24"/>
              </w:rPr>
              <w:t>学生姓名</w:t>
            </w:r>
          </w:p>
        </w:tc>
        <w:tc>
          <w:tcPr>
            <w:tcW w:w="2928" w:type="dxa"/>
            <w:vAlign w:val="center"/>
          </w:tcPr>
          <w:p>
            <w:pPr>
              <w:jc w:val="center"/>
              <w:rPr>
                <w:rFonts w:hint="eastAsia" w:eastAsia="宋体"/>
                <w:sz w:val="24"/>
                <w:lang w:val="en-US" w:eastAsia="zh-CN"/>
              </w:rPr>
            </w:pPr>
            <w:r>
              <w:rPr>
                <w:rFonts w:hint="eastAsia"/>
                <w:sz w:val="24"/>
                <w:lang w:val="en-US" w:eastAsia="zh-CN"/>
              </w:rPr>
              <w:t>朱宇</w:t>
            </w:r>
          </w:p>
        </w:tc>
        <w:tc>
          <w:tcPr>
            <w:tcW w:w="1749" w:type="dxa"/>
            <w:gridSpan w:val="2"/>
            <w:vAlign w:val="center"/>
          </w:tcPr>
          <w:p>
            <w:pPr>
              <w:jc w:val="center"/>
              <w:rPr>
                <w:sz w:val="24"/>
              </w:rPr>
            </w:pPr>
            <w:r>
              <w:rPr>
                <w:rFonts w:hint="eastAsia"/>
                <w:sz w:val="24"/>
              </w:rPr>
              <w:t>学号</w:t>
            </w:r>
          </w:p>
        </w:tc>
        <w:tc>
          <w:tcPr>
            <w:tcW w:w="2119" w:type="dxa"/>
            <w:gridSpan w:val="3"/>
            <w:vAlign w:val="center"/>
          </w:tcPr>
          <w:p>
            <w:pPr>
              <w:jc w:val="center"/>
              <w:rPr>
                <w:rFonts w:hint="eastAsia" w:eastAsia="宋体"/>
                <w:sz w:val="24"/>
                <w:lang w:val="en-US" w:eastAsia="zh-CN"/>
              </w:rPr>
            </w:pPr>
            <w:r>
              <w:rPr>
                <w:rFonts w:hint="eastAsia"/>
                <w:sz w:val="24"/>
                <w:lang w:val="en-US" w:eastAsia="zh-CN"/>
              </w:rPr>
              <w:t>06A15531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726" w:type="dxa"/>
            <w:vAlign w:val="center"/>
          </w:tcPr>
          <w:p>
            <w:pPr>
              <w:jc w:val="center"/>
              <w:rPr>
                <w:sz w:val="24"/>
              </w:rPr>
            </w:pPr>
            <w:r>
              <w:rPr>
                <w:rFonts w:hint="eastAsia"/>
                <w:sz w:val="24"/>
              </w:rPr>
              <w:t>课程名称</w:t>
            </w:r>
          </w:p>
        </w:tc>
        <w:tc>
          <w:tcPr>
            <w:tcW w:w="6796" w:type="dxa"/>
            <w:gridSpan w:val="6"/>
            <w:vAlign w:val="center"/>
          </w:tcPr>
          <w:p>
            <w:pPr>
              <w:jc w:val="center"/>
              <w:rPr>
                <w:sz w:val="24"/>
              </w:rPr>
            </w:pPr>
            <w:r>
              <w:rPr>
                <w:rFonts w:hint="eastAsia"/>
                <w:sz w:val="24"/>
                <w:lang w:val="en-US" w:eastAsia="zh-CN"/>
              </w:rPr>
              <w:t>电子科学与技术学科概论（研讨）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726" w:type="dxa"/>
            <w:vAlign w:val="center"/>
          </w:tcPr>
          <w:p>
            <w:pPr>
              <w:jc w:val="center"/>
              <w:rPr>
                <w:sz w:val="24"/>
              </w:rPr>
            </w:pPr>
            <w:r>
              <w:rPr>
                <w:rFonts w:hint="eastAsia"/>
                <w:sz w:val="24"/>
              </w:rPr>
              <w:t>授课时间</w:t>
            </w:r>
          </w:p>
        </w:tc>
        <w:tc>
          <w:tcPr>
            <w:tcW w:w="3600" w:type="dxa"/>
            <w:gridSpan w:val="2"/>
            <w:vAlign w:val="center"/>
          </w:tcPr>
          <w:p>
            <w:pPr>
              <w:jc w:val="center"/>
              <w:rPr>
                <w:sz w:val="24"/>
              </w:rPr>
            </w:pPr>
            <w:r>
              <w:rPr>
                <w:rFonts w:hint="eastAsia"/>
                <w:sz w:val="24"/>
                <w:lang w:val="en-US" w:eastAsia="zh-CN"/>
              </w:rPr>
              <w:t>2017</w:t>
            </w:r>
            <w:r>
              <w:rPr>
                <w:rFonts w:hint="eastAsia"/>
                <w:sz w:val="24"/>
              </w:rPr>
              <w:t xml:space="preserve"> 年 </w:t>
            </w:r>
            <w:r>
              <w:rPr>
                <w:rFonts w:hint="eastAsia"/>
                <w:sz w:val="24"/>
                <w:lang w:val="en-US" w:eastAsia="zh-CN"/>
              </w:rPr>
              <w:t>4</w:t>
            </w:r>
            <w:r>
              <w:rPr>
                <w:rFonts w:hint="eastAsia"/>
                <w:sz w:val="24"/>
              </w:rPr>
              <w:t xml:space="preserve">月- </w:t>
            </w:r>
            <w:r>
              <w:rPr>
                <w:rFonts w:hint="eastAsia"/>
                <w:sz w:val="24"/>
                <w:lang w:val="en-US" w:eastAsia="zh-CN"/>
              </w:rPr>
              <w:t>2017</w:t>
            </w:r>
            <w:r>
              <w:rPr>
                <w:rFonts w:hint="eastAsia"/>
                <w:sz w:val="24"/>
              </w:rPr>
              <w:t xml:space="preserve"> 年 </w:t>
            </w:r>
            <w:r>
              <w:rPr>
                <w:rFonts w:hint="eastAsia"/>
                <w:sz w:val="24"/>
                <w:lang w:val="en-US" w:eastAsia="zh-CN"/>
              </w:rPr>
              <w:t>5</w:t>
            </w:r>
            <w:r>
              <w:rPr>
                <w:rFonts w:hint="eastAsia"/>
                <w:sz w:val="24"/>
              </w:rPr>
              <w:t>月</w:t>
            </w:r>
          </w:p>
        </w:tc>
        <w:tc>
          <w:tcPr>
            <w:tcW w:w="1077" w:type="dxa"/>
            <w:vAlign w:val="center"/>
          </w:tcPr>
          <w:p>
            <w:pPr>
              <w:jc w:val="center"/>
              <w:rPr>
                <w:sz w:val="24"/>
              </w:rPr>
            </w:pPr>
            <w:r>
              <w:rPr>
                <w:rFonts w:hint="eastAsia"/>
                <w:sz w:val="24"/>
              </w:rPr>
              <w:t>周学时</w:t>
            </w:r>
          </w:p>
        </w:tc>
        <w:tc>
          <w:tcPr>
            <w:tcW w:w="723" w:type="dxa"/>
            <w:vAlign w:val="center"/>
          </w:tcPr>
          <w:p>
            <w:pPr>
              <w:jc w:val="center"/>
              <w:rPr>
                <w:sz w:val="24"/>
              </w:rPr>
            </w:pPr>
            <w:r>
              <w:rPr>
                <w:rFonts w:hint="eastAsia"/>
                <w:sz w:val="24"/>
                <w:lang w:val="en-US" w:eastAsia="zh-CN"/>
              </w:rPr>
              <w:t>4</w:t>
            </w:r>
            <w:r>
              <w:rPr>
                <w:rFonts w:hint="eastAsia"/>
                <w:sz w:val="24"/>
              </w:rPr>
              <w:t xml:space="preserve"> </w:t>
            </w:r>
          </w:p>
        </w:tc>
        <w:tc>
          <w:tcPr>
            <w:tcW w:w="721" w:type="dxa"/>
            <w:vAlign w:val="center"/>
          </w:tcPr>
          <w:p>
            <w:pPr>
              <w:jc w:val="center"/>
              <w:rPr>
                <w:sz w:val="24"/>
              </w:rPr>
            </w:pPr>
            <w:r>
              <w:rPr>
                <w:rFonts w:hint="eastAsia"/>
                <w:sz w:val="24"/>
              </w:rPr>
              <w:t>学分</w:t>
            </w:r>
          </w:p>
        </w:tc>
        <w:tc>
          <w:tcPr>
            <w:tcW w:w="675" w:type="dxa"/>
            <w:vAlign w:val="center"/>
          </w:tcPr>
          <w:p>
            <w:pPr>
              <w:jc w:val="center"/>
              <w:rPr>
                <w:sz w:val="24"/>
              </w:rPr>
            </w:pPr>
            <w:r>
              <w:rPr>
                <w:rFonts w:hint="eastAsia"/>
                <w:sz w:val="24"/>
                <w:lang w:val="en-US" w:eastAsia="zh-CN"/>
              </w:rPr>
              <w:t>0.5</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7" w:hRule="atLeast"/>
        </w:trPr>
        <w:tc>
          <w:tcPr>
            <w:tcW w:w="1726" w:type="dxa"/>
            <w:vAlign w:val="center"/>
          </w:tcPr>
          <w:p>
            <w:pPr>
              <w:spacing w:line="312" w:lineRule="auto"/>
              <w:jc w:val="center"/>
              <w:rPr>
                <w:sz w:val="24"/>
              </w:rPr>
            </w:pPr>
            <w:r>
              <w:rPr>
                <w:rFonts w:hint="eastAsia"/>
                <w:sz w:val="24"/>
              </w:rPr>
              <w:t>简</w:t>
            </w:r>
          </w:p>
          <w:p>
            <w:pPr>
              <w:spacing w:line="312" w:lineRule="auto"/>
              <w:jc w:val="center"/>
              <w:rPr>
                <w:sz w:val="24"/>
              </w:rPr>
            </w:pPr>
            <w:r>
              <w:rPr>
                <w:rFonts w:hint="eastAsia"/>
                <w:sz w:val="24"/>
              </w:rPr>
              <w:t>要</w:t>
            </w:r>
          </w:p>
          <w:p>
            <w:pPr>
              <w:spacing w:line="312" w:lineRule="auto"/>
              <w:jc w:val="center"/>
              <w:rPr>
                <w:sz w:val="24"/>
              </w:rPr>
            </w:pPr>
            <w:r>
              <w:rPr>
                <w:rFonts w:hint="eastAsia"/>
                <w:sz w:val="24"/>
              </w:rPr>
              <w:t>评</w:t>
            </w:r>
          </w:p>
          <w:p>
            <w:pPr>
              <w:spacing w:line="312" w:lineRule="auto"/>
              <w:jc w:val="center"/>
              <w:rPr>
                <w:sz w:val="24"/>
              </w:rPr>
            </w:pPr>
            <w:r>
              <w:rPr>
                <w:rFonts w:hint="eastAsia"/>
                <w:sz w:val="24"/>
              </w:rPr>
              <w:t>语</w:t>
            </w:r>
          </w:p>
        </w:tc>
        <w:tc>
          <w:tcPr>
            <w:tcW w:w="6796" w:type="dxa"/>
            <w:gridSpan w:val="6"/>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 w:hRule="atLeast"/>
        </w:trPr>
        <w:tc>
          <w:tcPr>
            <w:tcW w:w="1726" w:type="dxa"/>
            <w:vAlign w:val="center"/>
          </w:tcPr>
          <w:p>
            <w:pPr>
              <w:jc w:val="center"/>
              <w:rPr>
                <w:sz w:val="24"/>
              </w:rPr>
            </w:pPr>
            <w:r>
              <w:rPr>
                <w:rFonts w:hint="eastAsia"/>
                <w:sz w:val="24"/>
              </w:rPr>
              <w:t>课程报告成绩</w:t>
            </w:r>
          </w:p>
        </w:tc>
        <w:tc>
          <w:tcPr>
            <w:tcW w:w="6796" w:type="dxa"/>
            <w:gridSpan w:val="6"/>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7" w:hRule="atLeast"/>
        </w:trPr>
        <w:tc>
          <w:tcPr>
            <w:tcW w:w="1726" w:type="dxa"/>
            <w:vAlign w:val="center"/>
          </w:tcPr>
          <w:p>
            <w:pPr>
              <w:jc w:val="center"/>
              <w:rPr>
                <w:sz w:val="24"/>
              </w:rPr>
            </w:pPr>
            <w:r>
              <w:rPr>
                <w:rFonts w:hint="eastAsia"/>
                <w:sz w:val="24"/>
              </w:rPr>
              <w:t>备注</w:t>
            </w:r>
          </w:p>
        </w:tc>
        <w:tc>
          <w:tcPr>
            <w:tcW w:w="6796" w:type="dxa"/>
            <w:gridSpan w:val="6"/>
            <w:vAlign w:val="center"/>
          </w:tcPr>
          <w:p>
            <w:pPr>
              <w:jc w:val="center"/>
              <w:rPr>
                <w:sz w:val="24"/>
              </w:rPr>
            </w:pPr>
          </w:p>
          <w:p>
            <w:pPr>
              <w:jc w:val="center"/>
              <w:rPr>
                <w:sz w:val="24"/>
              </w:rPr>
            </w:pPr>
          </w:p>
          <w:p>
            <w:pPr>
              <w:jc w:val="center"/>
              <w:rPr>
                <w:sz w:val="24"/>
              </w:rPr>
            </w:pPr>
          </w:p>
          <w:p>
            <w:pPr>
              <w:rPr>
                <w:sz w:val="24"/>
              </w:rPr>
            </w:pPr>
          </w:p>
        </w:tc>
      </w:tr>
    </w:tbl>
    <w:p>
      <w:pPr>
        <w:spacing w:line="312" w:lineRule="auto"/>
        <w:ind w:firstLine="5280" w:firstLineChars="2200"/>
        <w:rPr>
          <w:sz w:val="24"/>
        </w:rPr>
      </w:pPr>
    </w:p>
    <w:p>
      <w:pPr>
        <w:spacing w:line="312" w:lineRule="auto"/>
        <w:ind w:firstLine="5280" w:firstLineChars="2200"/>
        <w:rPr>
          <w:sz w:val="24"/>
        </w:rPr>
      </w:pPr>
    </w:p>
    <w:p>
      <w:pPr>
        <w:spacing w:line="312" w:lineRule="auto"/>
        <w:ind w:firstLine="5280" w:firstLineChars="2200"/>
        <w:rPr>
          <w:sz w:val="24"/>
          <w:u w:val="single"/>
        </w:rPr>
      </w:pPr>
      <w:r>
        <w:rPr>
          <w:rFonts w:hint="eastAsia"/>
          <w:sz w:val="24"/>
        </w:rPr>
        <w:t>任课教师签名：</w:t>
      </w:r>
      <w:r>
        <w:rPr>
          <w:rFonts w:hint="eastAsia"/>
          <w:sz w:val="24"/>
          <w:u w:val="single"/>
        </w:rPr>
        <w:t xml:space="preserve">           </w:t>
      </w:r>
    </w:p>
    <w:p>
      <w:pPr>
        <w:spacing w:line="312" w:lineRule="auto"/>
        <w:ind w:firstLine="5280" w:firstLineChars="2200"/>
        <w:rPr>
          <w:sz w:val="24"/>
        </w:rPr>
      </w:pPr>
      <w:r>
        <w:rPr>
          <w:rFonts w:hint="eastAsia"/>
          <w:sz w:val="24"/>
        </w:rPr>
        <w:t xml:space="preserve">日期： </w:t>
      </w:r>
    </w:p>
    <w:p/>
    <w:p>
      <w:pPr>
        <w:pStyle w:val="2"/>
        <w:jc w:val="center"/>
        <w:rPr>
          <w:rFonts w:hint="eastAsia"/>
        </w:rPr>
      </w:pPr>
      <w:r>
        <w:rPr>
          <w:rFonts w:hint="eastAsia"/>
        </w:rPr>
        <w:br w:type="page"/>
      </w:r>
    </w:p>
    <w:p>
      <w:pPr>
        <w:pStyle w:val="2"/>
        <w:pageBreakBefore w:val="0"/>
        <w:kinsoku/>
        <w:overflowPunct/>
        <w:topLinePunct w:val="0"/>
        <w:autoSpaceDE/>
        <w:autoSpaceDN/>
        <w:bidi w:val="0"/>
        <w:adjustRightInd/>
        <w:snapToGrid/>
        <w:spacing w:before="0" w:after="0" w:line="240" w:lineRule="auto"/>
        <w:ind w:right="0" w:rightChars="0"/>
        <w:jc w:val="center"/>
        <w:textAlignment w:val="auto"/>
        <w:rPr>
          <w:rFonts w:hint="eastAsia"/>
        </w:rPr>
      </w:pPr>
      <w:r>
        <w:rPr>
          <w:rFonts w:hint="eastAsia"/>
        </w:rPr>
        <w:t>学科</w:t>
      </w:r>
      <w:r>
        <w:t>概论</w:t>
      </w:r>
      <w:r>
        <w:rPr>
          <w:rFonts w:hint="eastAsia"/>
        </w:rPr>
        <w:t>学习报告（16</w:t>
      </w:r>
      <w:r>
        <w:t>-17-3）</w:t>
      </w:r>
    </w:p>
    <w:p>
      <w:pPr>
        <w:pageBreakBefore w:val="0"/>
        <w:kinsoku/>
        <w:overflowPunct/>
        <w:topLinePunct w:val="0"/>
        <w:autoSpaceDE/>
        <w:autoSpaceDN/>
        <w:bidi w:val="0"/>
        <w:adjustRightInd/>
        <w:snapToGrid/>
        <w:spacing w:line="240" w:lineRule="auto"/>
        <w:ind w:right="0" w:rightChars="0" w:firstLine="1890" w:firstLineChars="900"/>
        <w:textAlignment w:val="auto"/>
        <w:rPr>
          <w:rFonts w:hint="eastAsia" w:asciiTheme="majorEastAsia" w:hAnsiTheme="majorEastAsia" w:eastAsiaTheme="majorEastAsia" w:cstheme="majorEastAsia"/>
          <w:sz w:val="24"/>
          <w:szCs w:val="24"/>
          <w:u w:val="single"/>
        </w:rPr>
      </w:pPr>
      <w:r>
        <w:rPr>
          <w:rFonts w:hint="eastAsia" w:asciiTheme="majorEastAsia" w:hAnsiTheme="majorEastAsia" w:eastAsiaTheme="majorEastAsia" w:cstheme="majorEastAsia"/>
          <w:sz w:val="24"/>
          <w:szCs w:val="24"/>
        </w:rPr>
        <w:t>姓名：</w:t>
      </w:r>
      <w:r>
        <w:rPr>
          <w:rFonts w:hint="eastAsia" w:asciiTheme="majorEastAsia" w:hAnsiTheme="majorEastAsia" w:eastAsiaTheme="majorEastAsia" w:cstheme="majorEastAsia"/>
          <w:sz w:val="24"/>
          <w:szCs w:val="24"/>
          <w:u w:val="single"/>
        </w:rPr>
        <w:t xml:space="preserve">    </w:t>
      </w:r>
      <w:r>
        <w:rPr>
          <w:rFonts w:hint="eastAsia" w:asciiTheme="majorEastAsia" w:hAnsiTheme="majorEastAsia" w:eastAsiaTheme="majorEastAsia" w:cstheme="majorEastAsia"/>
          <w:sz w:val="24"/>
          <w:szCs w:val="24"/>
          <w:u w:val="single"/>
          <w:lang w:val="en-US" w:eastAsia="zh-CN"/>
        </w:rPr>
        <w:t>朱宇</w:t>
      </w:r>
      <w:r>
        <w:rPr>
          <w:rFonts w:hint="eastAsia" w:asciiTheme="majorEastAsia" w:hAnsiTheme="majorEastAsia" w:eastAsiaTheme="majorEastAsia" w:cstheme="majorEastAsia"/>
          <w:sz w:val="24"/>
          <w:szCs w:val="24"/>
          <w:u w:val="single"/>
        </w:rPr>
        <w:t xml:space="preserve">         </w:t>
      </w:r>
      <w:r>
        <w:rPr>
          <w:rFonts w:hint="eastAsia" w:asciiTheme="majorEastAsia" w:hAnsiTheme="majorEastAsia" w:eastAsiaTheme="majorEastAsia" w:cstheme="majorEastAsia"/>
          <w:sz w:val="24"/>
          <w:szCs w:val="24"/>
        </w:rPr>
        <w:t xml:space="preserve">         学号：</w:t>
      </w:r>
      <w:r>
        <w:rPr>
          <w:rFonts w:hint="eastAsia" w:asciiTheme="majorEastAsia" w:hAnsiTheme="majorEastAsia" w:eastAsiaTheme="majorEastAsia" w:cstheme="majorEastAsia"/>
          <w:sz w:val="24"/>
          <w:szCs w:val="24"/>
          <w:u w:val="single"/>
        </w:rPr>
        <w:t xml:space="preserve">   </w:t>
      </w:r>
      <w:r>
        <w:rPr>
          <w:rFonts w:hint="eastAsia" w:asciiTheme="majorEastAsia" w:hAnsiTheme="majorEastAsia" w:eastAsiaTheme="majorEastAsia" w:cstheme="majorEastAsia"/>
          <w:sz w:val="24"/>
          <w:szCs w:val="24"/>
          <w:u w:val="single"/>
          <w:lang w:val="en-US" w:eastAsia="zh-CN"/>
        </w:rPr>
        <w:t>06A15531</w:t>
      </w:r>
      <w:r>
        <w:rPr>
          <w:rFonts w:hint="eastAsia" w:asciiTheme="majorEastAsia" w:hAnsiTheme="majorEastAsia" w:eastAsiaTheme="majorEastAsia" w:cstheme="majorEastAsia"/>
          <w:sz w:val="24"/>
          <w:szCs w:val="24"/>
          <w:u w:val="single"/>
        </w:rPr>
        <w:t xml:space="preserve">    </w:t>
      </w:r>
    </w:p>
    <w:p>
      <w:pPr>
        <w:pageBreakBefore w:val="0"/>
        <w:kinsoku/>
        <w:overflowPunct/>
        <w:topLinePunct w:val="0"/>
        <w:autoSpaceDE/>
        <w:autoSpaceDN/>
        <w:bidi w:val="0"/>
        <w:adjustRightInd/>
        <w:snapToGrid/>
        <w:spacing w:line="240" w:lineRule="auto"/>
        <w:ind w:right="0" w:rightChars="0"/>
        <w:textAlignment w:val="auto"/>
        <w:rPr>
          <w:rFonts w:hint="eastAsia" w:asciiTheme="majorEastAsia" w:hAnsiTheme="majorEastAsia" w:eastAsiaTheme="majorEastAsia" w:cstheme="majorEastAsia"/>
          <w:sz w:val="24"/>
          <w:szCs w:val="24"/>
        </w:rPr>
      </w:pPr>
    </w:p>
    <w:p>
      <w:pPr>
        <w:pageBreakBefore w:val="0"/>
        <w:numPr>
          <w:ilvl w:val="0"/>
          <w:numId w:val="1"/>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学科概述</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对太赫兹技术与应用的基础分析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到底什么是太赫兹呢？我们对于“太”的概念理解深度又能到什么程度呢？在以往的研讨课程中，我们了解到了毫米波与远红外波，它们在电磁波的大家族中已经是得到了充分发展，而太赫兹波，作为新兴事物，则是夹在两者之间，具有诸多特性，处于宏观经典理论向微观量子理论、电子学向光子学的过渡领域，频率上要高于微波，低于红外线；能量大小则是在电子和光子之间，由于无论是光学理论还是微波理论都难以完全适应于这个交叉过渡的区域，因此，受限于太赫兹辐射源的研究，在上世纪80年代中期，仍是有着所谓“Thz Gap”的现象，太赫兹的发展举步维艰。近年来，由于在辐射源技术上的突破，太赫兹技术的研究方兴未艾，随着 THz辐射产生与探测手段的不断丰富与发展，相关实验技术条件的不断完善与提高以及新的数据处理和分析理论的不断引入与应用，国际上对新型 THZ探测成像系统及其相关成果的报道日益增多，并呈现出实时、紧凑、多机制的发展趋势，并且与实际应用需求相结合的特点也更加凸显。太赫兹技术已被多个国家列为重点发展技术，得益于诸多科研人员的努力拼搏，我国在太赫兹领域的研究名列世界前茅。</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1"/>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学科的特点以及和目前的研究和应用情况</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rPr>
      </w:pP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1、学科特点</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太赫兹科学技术之所以引起人们广泛的关注，</w:t>
      </w:r>
      <w:r>
        <w:rPr>
          <w:rFonts w:hint="eastAsia" w:asciiTheme="minorEastAsia" w:hAnsiTheme="minorEastAsia" w:eastAsiaTheme="minorEastAsia" w:cstheme="minorEastAsia"/>
          <w:sz w:val="24"/>
          <w:szCs w:val="24"/>
          <w:lang w:val="en-US" w:eastAsia="zh-CN"/>
        </w:rPr>
        <w:t>有这么几个理由：</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因为物质的太赫兹光谱包含着非常丰富的物理和化学信息，研究物质结构在该波段的光谱特性对于物质结构探究具有重要意义；</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太赫兹波与可见光、红外线、微波等其他波段的电磁波比具有很多独特的性质，有着潜在的应用价值和应用前景。太赫兹波具有独特的瞬态性、高穿透性、宽带性、相干性和低能性等特性，例如，太赫兹波的光子能量在毫电子伏量级，只是X射线光子能量的百万分之几，低于各种化学键的键能，因此太赫兹辐射不会导致光致电离而破坏被检物质，非常适用于针对人体或其他生物体的活体检测。</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太赫兹波对水分子十分敏感，水分子对太赫兹辐射的强吸收有利于利用太赫兹成像技术实现对水份含量及其分布的无损检测。太赫兹波对许多介电材料和非极性物质具有良好的穿透性，可对不透明物体进行透视成像，是X射线成像和超声波成像的有效互补手段，可用于安检和质检过程中的无损检测。</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由于大多数极性分子和生物大分子等有机分子的振动和转动能级间距位于太赫兹波段，利用宽带太赫兹光谱可以检测这</w:t>
      </w:r>
      <w:r>
        <w:rPr>
          <w:rFonts w:hint="eastAsia" w:asciiTheme="minorEastAsia" w:hAnsiTheme="minorEastAsia" w:eastAsiaTheme="minorEastAsia" w:cstheme="minorEastAsia"/>
          <w:sz w:val="24"/>
          <w:szCs w:val="24"/>
          <w:lang w:val="en-US" w:eastAsia="zh-CN"/>
        </w:rPr>
        <w:t>些分子的指纹特征谱，进一步结合量子化学计算和分析可以识别分子结构并分析物质成分，所以太赫兹光谱成像技术不仅能够穿透塑料、陶瓷、皮革、布料以及脂肪等物质分辨物体的形貌，而且可以鉴别物体的组成成分、分析物体的物理化学性质。</w:t>
      </w:r>
    </w:p>
    <w:p>
      <w:pPr>
        <w:pageBreakBefore w:val="0"/>
        <w:numPr>
          <w:ilvl w:val="0"/>
          <w:numId w:val="2"/>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单个太赫兹脉冲的脉冲宽度在皮秒量级，其相应的频带可以覆盖几百GHz至几个THz的宽广频率范围，因此太赫兹光谱能够获得物质更丰富的光谱信息。</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太赫兹脉冲具有很高的时间分辨率，可以进行瞬态光谱研究。太赫兹光谱相干测量技术能够直接测量太赫兹波的时域电场，通过傅立叶变换后能够同时确定太赫兹脉冲电场在频域的振幅和位相信息，从而可以给出被测物质的透射谱、吸收谱、消光系数、介电函数、电导率和折射率色散特性，对于物质材料光学性质的分析具有极大的帮助。</w:t>
      </w:r>
    </w:p>
    <w:p>
      <w:pPr>
        <w:pageBreakBefore w:val="0"/>
        <w:numPr>
          <w:ilvl w:val="0"/>
          <w:numId w:val="2"/>
        </w:numPr>
        <w:kinsoku/>
        <w:overflowPunct/>
        <w:topLinePunct w:val="0"/>
        <w:autoSpaceDE/>
        <w:autoSpaceDN/>
        <w:bidi w:val="0"/>
        <w:adjustRightInd/>
        <w:snapToGrid/>
        <w:spacing w:line="240" w:lineRule="auto"/>
        <w:ind w:left="0" w:leftChars="0" w:right="0" w:rightChars="0" w:firstLine="42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太赫兹波成像的一个显著特点是信息量大，可准确显示物体的内外部信息。利用太赫兹成像还可获得更高的空间分辨率及更长的景深，目前太赫兹显微成像的分辨率已达到几十微米，对微纳结构光学器件的检测具有独特的作用。</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2、从物理学的基本层面来说：</w:t>
      </w:r>
    </w:p>
    <w:p>
      <w:pPr>
        <w:pageBreakBefore w:val="0"/>
        <w:numPr>
          <w:ilvl w:val="0"/>
          <w:numId w:val="3"/>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太赫兹，仍然是满足电磁波的基本方程，即C=V*F，也就是说极高频率与极短波长的特点。</w:t>
      </w:r>
    </w:p>
    <w:p>
      <w:pPr>
        <w:pageBreakBefore w:val="0"/>
        <w:numPr>
          <w:ilvl w:val="0"/>
          <w:numId w:val="3"/>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太赫兹波长比微波短，波束的方向性比微波好，天线的口径比较小。</w:t>
      </w:r>
    </w:p>
    <w:p>
      <w:pPr>
        <w:pageBreakBefore w:val="0"/>
        <w:numPr>
          <w:ilvl w:val="0"/>
          <w:numId w:val="3"/>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THz光子的能量比中红外和可见光的都要小，通信的能效比光通信更高。</w:t>
      </w:r>
    </w:p>
    <w:p>
      <w:pPr>
        <w:pageBreakBefore w:val="0"/>
        <w:numPr>
          <w:ilvl w:val="0"/>
          <w:numId w:val="3"/>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太赫兹对于水是强吸收，对于金属是强反射，对于介质是低损耗，半透明、谱特征，对于人体无危害，而光对于人眼、皮肤具有危害，X射线则是会造成细胞电离。</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3、国际研究盛况</w:t>
      </w:r>
    </w:p>
    <w:p>
      <w:pPr>
        <w:pageBreakBefore w:val="0"/>
        <w:numPr>
          <w:ilvl w:val="0"/>
          <w:numId w:val="4"/>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2004年，美国政府将太赫兹技术评为 “改变未来世界的十大技术” 之一，DARPA（美国国防部高级研究计划局）和NASA（美国国家航空与航天局）自2009年起均投入较大的资金和研发力量，进行太赫兹组件及系统的研发。</w:t>
      </w:r>
    </w:p>
    <w:p>
      <w:pPr>
        <w:pageBreakBefore w:val="0"/>
        <w:numPr>
          <w:ilvl w:val="0"/>
          <w:numId w:val="4"/>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2005年，日本政府将太赫兹技术列为 “国家支柱十大重点战略技术” 之首。</w:t>
      </w:r>
    </w:p>
    <w:p>
      <w:pPr>
        <w:pageBreakBefore w:val="0"/>
        <w:numPr>
          <w:ilvl w:val="0"/>
          <w:numId w:val="4"/>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我国政府分别在2005和2014年专门召开了 “香山科技会议” ，制定了我国太赫兹技术的发展蓝图。2016年底， “太赫兹谷” 如火如荼的在乌鲁木齐与中国电子科技集团公司合作下开始建设。</w:t>
      </w:r>
    </w:p>
    <w:p>
      <w:pPr>
        <w:pageBreakBefore w:val="0"/>
        <w:numPr>
          <w:ilvl w:val="0"/>
          <w:numId w:val="4"/>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另外欧洲，澳大利亚，日韩，台湾等许多国家和地区政府、研究机构、大学和企业纷纷投入到太赫兹研发的热潮中。</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4、太赫兹的应用</w:t>
      </w:r>
    </w:p>
    <w:p>
      <w:pPr>
        <w:pageBreakBefore w:val="0"/>
        <w:numPr>
          <w:ilvl w:val="0"/>
          <w:numId w:val="5"/>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于信息处理方面，THz无线通信频段非常高，利用其宽带宽的特点，在带宽资源非常紧张的今天，现在非常具有吸引力，从而实现信息的高速处理与传输，同时实现低能耗，减小对自然界的压力。大容量、高保密的宽带近距离通信是太赫兹频段的又一大应用。虽然单就通信距离来看，由于太赫兹在空气中传播时很容易被水分所吸收，信号衰减严重，存在着传输距离的 “短板” 。但是，在某些情况下，有限的传输距离反而能成为优势。因为大气衰减能使信号根本无法传播到远处的无线电技术监听设备，可实现隐蔽安全的近距离通信。而100 GHz ～ 1 THz的超宽带宽，是太赫兹通信的可用带宽超过长波、中波、短波、微波 （30 GHz） 总的带宽的1000倍。由于THz波的频率比微波更高，波长很短，可以制成方向性很强，尺寸又小的天线，将大大减小发射功率，并减轻收发机相互之间的干扰。</w:t>
      </w:r>
    </w:p>
    <w:p>
      <w:pPr>
        <w:pageBreakBefore w:val="0"/>
        <w:numPr>
          <w:ilvl w:val="0"/>
          <w:numId w:val="0"/>
        </w:numPr>
        <w:kinsoku/>
        <w:overflowPunct/>
        <w:topLinePunct w:val="0"/>
        <w:autoSpaceDE/>
        <w:autoSpaceDN/>
        <w:bidi w:val="0"/>
        <w:adjustRightInd/>
        <w:snapToGrid/>
        <w:spacing w:line="24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numPr>
          <w:ilvl w:val="0"/>
          <w:numId w:val="5"/>
        </w:numPr>
        <w:kinsoku/>
        <w:overflowPunct/>
        <w:topLinePunct w:val="0"/>
        <w:autoSpaceDE/>
        <w:autoSpaceDN/>
        <w:bidi w:val="0"/>
        <w:adjustRightInd/>
        <w:snapToGrid/>
        <w:spacing w:line="240" w:lineRule="auto"/>
        <w:ind w:left="0" w:leftChars="0" w:right="0" w:rightChars="0" w:firstLine="400" w:firstLineChars="0"/>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用于健康领域，太赫兹技术可以应用于医疗检测与医药，可以检测植物的</w:t>
      </w:r>
      <w:r>
        <w:rPr>
          <w:rFonts w:hint="eastAsia" w:asciiTheme="minorEastAsia" w:hAnsiTheme="minorEastAsia" w:eastAsiaTheme="minorEastAsia" w:cstheme="minorEastAsia"/>
          <w:sz w:val="24"/>
          <w:szCs w:val="24"/>
          <w:lang w:val="en-US" w:eastAsia="zh-CN"/>
        </w:rPr>
        <w:t>含水量</w:t>
      </w:r>
      <w:r>
        <w:rPr>
          <w:rFonts w:hint="eastAsia" w:asciiTheme="minorEastAsia" w:hAnsiTheme="minorEastAsia" w:eastAsiaTheme="minorEastAsia" w:cstheme="minorEastAsia"/>
          <w:kern w:val="2"/>
          <w:sz w:val="24"/>
          <w:szCs w:val="24"/>
          <w:lang w:val="en-US" w:eastAsia="zh-CN" w:bidi="ar-SA"/>
        </w:rPr>
        <w:t>，可用于分子尺度上的材料确定，诊断疾病与癌症的早期发现。太赫兹辐射是完全非电离的，由于能量较X射线低很多，对绝大部分的生物细胞无电离伤害，适合对活体生物或组织进行实时检查。如皮肤烧伤或皮肤癌的早期诊断，口腔疾病诊断，活体DNA鉴别等。太赫兹频谱覆盖了这个有机大分子，包括蛋白质在内的转动和谐振频率。许多大分子在太赫兹频段表现出很强的吸收和谐振，形成具有生物特异性的太赫兹特征谱。另外，碳（C）， 水（H2O），一氧化氮（NO），氮（N2）， 氧（O2）等大量的分子也有各自的太赫兹特征谱。这些特征谱信息对于生物化学物质结构，以及大气污染和天文探测有着很高的研究价值。</w:t>
      </w:r>
    </w:p>
    <w:p>
      <w:pPr>
        <w:pStyle w:val="3"/>
        <w:keepNext w:val="0"/>
        <w:keepLines w:val="0"/>
        <w:pageBreakBefore w:val="0"/>
        <w:widowControl/>
        <w:numPr>
          <w:ilvl w:val="0"/>
          <w:numId w:val="5"/>
        </w:numPr>
        <w:suppressLineNumbers w:val="0"/>
        <w:pBdr>
          <w:bottom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00" w:firstLineChars="0"/>
        <w:jc w:val="left"/>
        <w:textAlignment w:val="auto"/>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sz w:val="24"/>
          <w:szCs w:val="24"/>
        </w:rPr>
        <w:drawing>
          <wp:anchor distT="0" distB="0" distL="114300" distR="114300" simplePos="0" relativeHeight="251659264" behindDoc="0" locked="0" layoutInCell="1" allowOverlap="1">
            <wp:simplePos x="0" y="0"/>
            <wp:positionH relativeFrom="column">
              <wp:posOffset>-409575</wp:posOffset>
            </wp:positionH>
            <wp:positionV relativeFrom="paragraph">
              <wp:posOffset>260985</wp:posOffset>
            </wp:positionV>
            <wp:extent cx="2767965" cy="2799715"/>
            <wp:effectExtent l="0" t="0" r="1333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67965" cy="2799715"/>
                    </a:xfrm>
                    <a:prstGeom prst="rect">
                      <a:avLst/>
                    </a:prstGeom>
                    <a:noFill/>
                    <a:ln w="9525">
                      <a:noFill/>
                    </a:ln>
                  </pic:spPr>
                </pic:pic>
              </a:graphicData>
            </a:graphic>
          </wp:anchor>
        </w:drawing>
      </w:r>
      <w:r>
        <w:rPr>
          <w:rFonts w:hint="eastAsia" w:asciiTheme="minorEastAsia" w:hAnsiTheme="minorEastAsia" w:eastAsiaTheme="minorEastAsia" w:cstheme="minorEastAsia"/>
          <w:color w:val="000000"/>
          <w:sz w:val="24"/>
          <w:szCs w:val="24"/>
          <w:lang w:val="en-US" w:eastAsia="zh-CN"/>
        </w:rPr>
        <w:t>用于安全领域，太赫兹成像的特点可以使其应用与安全监控与检查，可以检测毒品、爆炸物的THz谱特征，也可以进行人身安全检测。安全检查应该说是太赫兹现阶段最吸引人的应用，它的本质是利用太赫兹电磁信号的穿透性和对金属等特殊材料的强反射特性进行实时快速透视成像，并且在达到成像目的的同时，不需要担心X射线的电离伤害。太赫兹电磁信号能以较低的衰减穿透衣物，皮箱，陶瓷，硬纸板，塑料制品非极性材料等；而对于极性物质比如水或金属有强烈的吸收和反射。</w:t>
      </w:r>
    </w:p>
    <w:p>
      <w:pPr>
        <w:pStyle w:val="3"/>
        <w:keepNext w:val="0"/>
        <w:keepLines w:val="0"/>
        <w:pageBreakBefore w:val="0"/>
        <w:widowControl/>
        <w:numPr>
          <w:ilvl w:val="0"/>
          <w:numId w:val="5"/>
        </w:numPr>
        <w:suppressLineNumbers w:val="0"/>
        <w:pBdr>
          <w:bottom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00" w:firstLineChars="0"/>
        <w:jc w:val="left"/>
        <w:textAlignment w:val="auto"/>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8240" behindDoc="0" locked="0" layoutInCell="1" allowOverlap="1">
            <wp:simplePos x="0" y="0"/>
            <wp:positionH relativeFrom="column">
              <wp:posOffset>3086100</wp:posOffset>
            </wp:positionH>
            <wp:positionV relativeFrom="paragraph">
              <wp:posOffset>295275</wp:posOffset>
            </wp:positionV>
            <wp:extent cx="2229485" cy="2819400"/>
            <wp:effectExtent l="0" t="0" r="1841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29485" cy="2819400"/>
                    </a:xfrm>
                    <a:prstGeom prst="rect">
                      <a:avLst/>
                    </a:prstGeom>
                    <a:noFill/>
                    <a:ln w="9525">
                      <a:noFill/>
                    </a:ln>
                  </pic:spPr>
                </pic:pic>
              </a:graphicData>
            </a:graphic>
          </wp:anchor>
        </w:drawing>
      </w:r>
      <w:r>
        <w:rPr>
          <w:rFonts w:hint="eastAsia" w:asciiTheme="minorEastAsia" w:hAnsiTheme="minorEastAsia" w:eastAsiaTheme="minorEastAsia" w:cstheme="minorEastAsia"/>
          <w:color w:val="000000"/>
          <w:sz w:val="24"/>
          <w:szCs w:val="24"/>
        </w:rPr>
        <w:t>太赫兹的成像解析度虽然比不上X射线，但足够探测隐藏在衣物、鞋内的刀具、枪械等物品。另外结合太赫兹对物质鉴别的特性，能够区分身上是否携带炸药或毒品。便携式的太赫兹安检仪已经处于后期研发测试阶段，有希望在20cm外自动快速检测危险物品，实时生成高清晰度三维图像。可以设想再过几年，将在在机场火车站安装大量太赫兹安检设备。</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uto"/>
        <w:ind w:left="0" w:leftChars="0" w:right="0" w:rightChars="0" w:firstLine="40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sz w:val="24"/>
          <w:szCs w:val="24"/>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1194435</wp:posOffset>
            </wp:positionV>
            <wp:extent cx="2331720" cy="1609725"/>
            <wp:effectExtent l="0" t="0" r="1143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15075"/>
                    <a:stretch>
                      <a:fillRect/>
                    </a:stretch>
                  </pic:blipFill>
                  <pic:spPr>
                    <a:xfrm>
                      <a:off x="0" y="0"/>
                      <a:ext cx="2331720" cy="1609725"/>
                    </a:xfrm>
                    <a:prstGeom prst="rect">
                      <a:avLst/>
                    </a:prstGeom>
                    <a:noFill/>
                    <a:ln w="9525">
                      <a:noFill/>
                    </a:ln>
                  </pic:spPr>
                </pic:pic>
              </a:graphicData>
            </a:graphic>
          </wp:anchor>
        </w:drawing>
      </w:r>
      <w:r>
        <w:rPr>
          <w:rFonts w:hint="eastAsia" w:asciiTheme="minorEastAsia" w:hAnsiTheme="minorEastAsia" w:eastAsiaTheme="minorEastAsia" w:cstheme="minorEastAsia"/>
          <w:color w:val="000000"/>
          <w:kern w:val="0"/>
          <w:sz w:val="24"/>
          <w:szCs w:val="24"/>
          <w:lang w:val="en-US" w:eastAsia="zh-CN" w:bidi="ar"/>
        </w:rPr>
        <w:t>用于军事领域，太赫兹技术则是可以达到战场保密通信的目的。单就通信距离来看，由于太赫兹在空气中传播时很容易被水分所吸收，信号衰减严重，还存在着传输距离较短的“短板”。但是，正所谓“短亦有短的好”，在某些情况下，鉴于战场通信声道的混乱和拥塞，有限的传输距离反而能成为优势。因为大气衰减能使信号根本无法传播到远处敌人的无线电技术监听机构，可实现隐蔽的近距离通信。</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uto"/>
        <w:ind w:left="0" w:leftChars="0" w:right="0" w:rightChars="0" w:firstLine="40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太赫兹的频率很高、波长很短，具有很高的时域频谱信噪比，且在浓烟、沙尘环境中传输损耗很少，可以穿透墙体对房屋内部进行扫描，是复杂战场环境下寻敌成像的理想技术。未来城市及反恐作战中，借助太赫兹特有的“穿墙术”，可以对“墙后”物体进行三维立体成像，探测隐蔽的武器、伪装埋伏的武装人员和显示沙尘或烟雾中的坦克、火炮等装备，进而拨开战场迷雾。</w:t>
      </w:r>
    </w:p>
    <w:p>
      <w:pPr>
        <w:pStyle w:val="3"/>
        <w:keepNext w:val="0"/>
        <w:keepLines w:val="0"/>
        <w:pageBreakBefore w:val="0"/>
        <w:widowControl/>
        <w:numPr>
          <w:ilvl w:val="0"/>
          <w:numId w:val="5"/>
        </w:numPr>
        <w:suppressLineNumbers w:val="0"/>
        <w:pBdr>
          <w:bottom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0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用于工业生产</w:t>
      </w:r>
      <w:r>
        <w:rPr>
          <w:rFonts w:hint="eastAsia" w:asciiTheme="minorEastAsia" w:hAnsiTheme="minorEastAsia" w:eastAsiaTheme="minorEastAsia" w:cstheme="minorEastAsia"/>
          <w:color w:val="000000"/>
          <w:sz w:val="24"/>
          <w:szCs w:val="24"/>
          <w:lang w:val="en-US" w:eastAsia="zh-CN"/>
        </w:rPr>
        <w:t>领域</w:t>
      </w:r>
      <w:r>
        <w:rPr>
          <w:rFonts w:hint="eastAsia" w:asciiTheme="minorEastAsia" w:hAnsiTheme="minorEastAsia" w:eastAsiaTheme="minorEastAsia" w:cstheme="minorEastAsia"/>
          <w:color w:val="000000"/>
          <w:kern w:val="0"/>
          <w:sz w:val="24"/>
          <w:szCs w:val="24"/>
          <w:lang w:val="en-US" w:eastAsia="zh-CN" w:bidi="ar"/>
        </w:rPr>
        <w:t>，太赫兹可以用于譬如封装后芯片的无损检测，摆脱传统检测方法对于产品的破坏，大大节省生产成本。无损检测同样是利用太赫兹电磁信号对大部分干燥、非金属、非极性材料有较好的穿透能力，再结合各种成像技术，就可以对材料中的缺陷进行详细检测。太赫兹无损检测广泛应用于航天、雷达材料的检测。介于太赫兹系统的小型化低成本话的趋势，近年来越来越多的工业、民用产品流水线在配合太赫兹成像系统完成快速无损检测。</w:t>
      </w:r>
    </w:p>
    <w:p>
      <w:pPr>
        <w:pageBreakBefore w:val="0"/>
        <w:numPr>
          <w:ilvl w:val="0"/>
          <w:numId w:val="0"/>
        </w:numPr>
        <w:kinsoku/>
        <w:overflowPunct/>
        <w:topLinePunct w:val="0"/>
        <w:autoSpaceDE/>
        <w:autoSpaceDN/>
        <w:bidi w:val="0"/>
        <w:adjustRightInd/>
        <w:snapToGrid/>
        <w:spacing w:line="240" w:lineRule="auto"/>
        <w:ind w:leftChars="0" w:right="0" w:rightChars="0"/>
        <w:jc w:val="both"/>
        <w:textAlignment w:val="auto"/>
        <w:rPr>
          <w:rFonts w:hint="eastAsia" w:asciiTheme="minorEastAsia" w:hAnsiTheme="minorEastAsia" w:eastAsiaTheme="minorEastAsia" w:cstheme="minorEastAsia"/>
          <w:sz w:val="24"/>
          <w:szCs w:val="24"/>
          <w:lang w:val="en-US" w:eastAsia="zh-CN"/>
        </w:rPr>
      </w:pPr>
    </w:p>
    <w:p>
      <w:pPr>
        <w:pageBreakBefore w:val="0"/>
        <w:numPr>
          <w:ilvl w:val="0"/>
          <w:numId w:val="1"/>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学科未来的展望</w:t>
      </w:r>
    </w:p>
    <w:p>
      <w:pPr>
        <w:pageBreakBefore w:val="0"/>
        <w:numPr>
          <w:ilvl w:val="0"/>
          <w:numId w:val="0"/>
        </w:numPr>
        <w:kinsoku/>
        <w:overflowPunct/>
        <w:topLinePunct w:val="0"/>
        <w:autoSpaceDE/>
        <w:autoSpaceDN/>
        <w:bidi w:val="0"/>
        <w:adjustRightInd/>
        <w:snapToGrid/>
        <w:spacing w:line="240" w:lineRule="auto"/>
        <w:ind w:leftChars="0" w:right="0" w:rightChars="0"/>
        <w:textAlignment w:val="auto"/>
        <w:rPr>
          <w:rFonts w:hint="eastAsia" w:asciiTheme="minorEastAsia" w:hAnsiTheme="minorEastAsia" w:eastAsiaTheme="minorEastAsia" w:cstheme="minorEastAsia"/>
          <w:sz w:val="24"/>
          <w:szCs w:val="24"/>
        </w:rPr>
      </w:pP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以太赫兹成像技术为例：</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 xml:space="preserve">成像技术发展至今只有十几年的时间，总体来看，多数应用还处在实验室阶段，真正的大规模实用化应用还没有开始。实用化的 </w:t>
      </w: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成像系统必须满足实时性、高灵敏度、高分辨率、高稳定性、低成本和便携性等要求，而成像速度和空间分辨率是制约 ＴＨｚ成</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像系统走向实用化的主要因素。</w:t>
      </w:r>
      <w:r>
        <w:rPr>
          <w:rFonts w:hint="eastAsia" w:asciiTheme="minorEastAsia" w:hAnsiTheme="minorEastAsia" w:eastAsiaTheme="minorEastAsia" w:cstheme="minorEastAsia"/>
          <w:sz w:val="24"/>
          <w:szCs w:val="24"/>
          <w:lang w:val="en-US" w:eastAsia="zh-CN"/>
        </w:rPr>
        <w:t>利用THz合成孔径雷达成像、THz干涉合成孔径成像、THz压缩感知成像等方法，</w:t>
      </w:r>
      <w:r>
        <w:rPr>
          <w:rFonts w:hint="eastAsia" w:asciiTheme="minorEastAsia" w:hAnsiTheme="minorEastAsia" w:eastAsiaTheme="minorEastAsia" w:cstheme="minorEastAsia"/>
          <w:sz w:val="24"/>
          <w:szCs w:val="24"/>
        </w:rPr>
        <w:t xml:space="preserve">在很大程度上克服了传统 </w:t>
      </w: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 xml:space="preserve">成像方法数据获取速率慢、系统结构复杂等缺点，提供了快速 </w:t>
      </w: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 xml:space="preserve">成像的新理论新途径，为 </w:t>
      </w: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技术的发展与应用提供了更为广大的发展空间。随着科学技术的进步和关键领域的技术突破，相信在不久的将来，</w:t>
      </w:r>
      <w:r>
        <w:rPr>
          <w:rFonts w:hint="eastAsia" w:asciiTheme="minorEastAsia" w:hAnsiTheme="minorEastAsia" w:eastAsiaTheme="minorEastAsia" w:cstheme="minorEastAsia"/>
          <w:sz w:val="24"/>
          <w:szCs w:val="24"/>
          <w:lang w:val="en-US" w:eastAsia="zh-CN"/>
        </w:rPr>
        <w:t>THz</w:t>
      </w:r>
      <w:r>
        <w:rPr>
          <w:rFonts w:hint="eastAsia" w:asciiTheme="minorEastAsia" w:hAnsiTheme="minorEastAsia" w:eastAsiaTheme="minorEastAsia" w:cstheme="minorEastAsia"/>
          <w:sz w:val="24"/>
          <w:szCs w:val="24"/>
        </w:rPr>
        <w:t>成像技术将走出实验室，走向实用化，并大大扩展其应用领域。</w:t>
      </w:r>
    </w:p>
    <w:p>
      <w:pPr>
        <w:pStyle w:val="3"/>
        <w:keepNext w:val="0"/>
        <w:keepLines w:val="0"/>
        <w:pageBreakBefore w:val="0"/>
        <w:widowControl/>
        <w:suppressLineNumbers w:val="0"/>
        <w:pBdr>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如何让先进的科研成果尽快走出象牙塔，转化为现实的生产力，将成为太赫兹科技工作亟待解决的问题。各方均迫切需要有一个权威的跨界平台，将产、学、研、资聚合起来，共同解决领域内所面临的技术、产品、市场、标准、资本等问题。在此背景下，我们同样可以预期，太赫兹产业联盟将会适时应运而生。成立太赫兹产业联盟，将会为研究机构、上下游企业、资本等各方建立起一座沟通的桥梁，协调基础研究、应用研究和产品研究之间的关系和快速转换。基于此，我们有理由相信，我国太赫兹科技领域势必产生出更多具有自主知识产权和自有核心技术的世界一流成果和产品。</w:t>
      </w:r>
    </w:p>
    <w:p>
      <w:pPr>
        <w:pStyle w:val="3"/>
        <w:keepNext w:val="0"/>
        <w:keepLines w:val="0"/>
        <w:pageBreakBefore w:val="0"/>
        <w:widowControl/>
        <w:suppressLineNumbers w:val="0"/>
        <w:pBdr>
          <w:bottom w:val="none" w:color="auto" w:sz="0" w:space="0"/>
        </w:pBdr>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Theme="minorEastAsia" w:hAnsiTheme="minorEastAsia" w:eastAsiaTheme="minorEastAsia" w:cstheme="minorEastAsia"/>
          <w:color w:val="000000"/>
          <w:kern w:val="0"/>
          <w:sz w:val="24"/>
          <w:szCs w:val="24"/>
          <w:lang w:val="en-US" w:eastAsia="zh-CN" w:bidi="ar"/>
        </w:rPr>
      </w:pPr>
    </w:p>
    <w:p>
      <w:pPr>
        <w:pageBreakBefore w:val="0"/>
        <w:numPr>
          <w:ilvl w:val="0"/>
          <w:numId w:val="1"/>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学习心得</w:t>
      </w:r>
    </w:p>
    <w:p>
      <w:pPr>
        <w:pStyle w:val="3"/>
        <w:keepNext w:val="0"/>
        <w:keepLines w:val="0"/>
        <w:pageBreakBefore w:val="0"/>
        <w:widowControl/>
        <w:suppressLineNumbers w:val="0"/>
        <w:pBdr>
          <w:bottom w:val="none" w:color="auto" w:sz="0" w:space="0"/>
        </w:pBdr>
        <w:kinsoku/>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当代的竞争，归根到底还是科学技术的竞争，哪个国家率先完成了技术层面的突破，便是掌握了极大的主动权。前段时间很火热的5G标准选用终于是尘埃落地，华为和中国企业在5G Polar码的研发投入得到了回报——Polar码被选为5G eMMB的信令信道编码方案，从而使得华为在5G领域更有话语权。自无线通信技术发展以来，编码和调制无疑是其中最核心最深奥的部分，被誉为通信技术的皇冠。有媒体评论认为，TD-SCDMA是中国通信技术第一次跟上了世界的脚步。而TD-LTE技术的发展，中国通信技术第一次成为了世界的主流技术之一，但其中的核心长码编码Turbo码和短码咬尾卷积码，却不是中国原创的技术。此次以华为为核心代表、由中国主导推动的Polar Code码被3GPP采纳为5GeMBB控制信道标准方案，是中国在5G移动通信技术研究和标准化上的重要进展。</w:t>
      </w: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在科技界流传着这样一句话：“一流企业</w:t>
      </w:r>
      <w:bookmarkStart w:id="0" w:name="_GoBack"/>
      <w:bookmarkEnd w:id="0"/>
      <w:r>
        <w:rPr>
          <w:rFonts w:hint="eastAsia" w:asciiTheme="minorEastAsia" w:hAnsiTheme="minorEastAsia" w:eastAsiaTheme="minorEastAsia" w:cstheme="minorEastAsia"/>
          <w:color w:val="000000"/>
          <w:kern w:val="0"/>
          <w:sz w:val="24"/>
          <w:szCs w:val="24"/>
          <w:lang w:val="en-US" w:eastAsia="zh-CN" w:bidi="ar"/>
        </w:rPr>
        <w:t>做标准、二流企业做品牌、三流企业做产品”，我国受限于历史原因，在很多领域仍是处于落后地位，必须要遵守既成的标准，受他方钳制。而现在，我国在太赫兹领域的发展与发达国家相比并不逊色，有潜力成为行业的领头羊，成为制作标准的一方。</w:t>
      </w: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那节课刚开始听讲座的时候，老师问的第一个问题记得是：“你们知道太赫兹是什么吗？”当时愣了一下，却听到前排的同学已经是报出了答案：频率为10^12。很惊讶，却也是唤起了我浓厚的兴趣。可见光波长，400~760nm，光速3*10^8m/s，这些我是很熟悉的，只是一直很少涉及到频率的方面，非常短的波长，查了一下，可见光的频率达到了380~790THz，而微波的频率在300MHz~300GHz之间，这样就在心里建立了一个模糊的概念。</w:t>
      </w: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后来，当听到太赫兹成像的描述时，愈发感兴趣了，那不就是3D立体建模么？就是不知道能不能与全息投影结合在一起，这样的想法只是想一想就很是有趣。</w:t>
      </w: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太赫兹前景很好，挺感兴趣，只是不知道以后有没有机会去接触。</w:t>
      </w:r>
    </w:p>
    <w:p>
      <w:pPr>
        <w:keepNext w:val="0"/>
        <w:keepLines w:val="0"/>
        <w:pageBreakBefore w:val="0"/>
        <w:widowControl/>
        <w:suppressLineNumbers w:val="0"/>
        <w:pBdr>
          <w:top w:val="none" w:color="auto" w:sz="0" w:space="0"/>
          <w:left w:val="none" w:color="auto" w:sz="0" w:space="0"/>
        </w:pBdr>
        <w:kinsoku/>
        <w:wordWrap w:val="0"/>
        <w:overflowPunct/>
        <w:topLinePunct w:val="0"/>
        <w:autoSpaceDE/>
        <w:autoSpaceDN/>
        <w:bidi w:val="0"/>
        <w:adjustRightInd/>
        <w:snapToGrid/>
        <w:spacing w:line="240" w:lineRule="auto"/>
        <w:ind w:right="0" w:rightChars="0"/>
        <w:jc w:val="left"/>
        <w:textAlignment w:val="auto"/>
        <w:rPr>
          <w:rFonts w:hint="eastAsia" w:asciiTheme="minorEastAsia" w:hAnsiTheme="minorEastAsia" w:eastAsiaTheme="minorEastAsia" w:cstheme="minorEastAsia"/>
          <w:color w:val="000000"/>
          <w:kern w:val="0"/>
          <w:sz w:val="24"/>
          <w:szCs w:val="24"/>
          <w:lang w:val="en-US" w:eastAsia="zh-CN" w:bidi="ar"/>
        </w:rPr>
      </w:pPr>
    </w:p>
    <w:p>
      <w:pPr>
        <w:pageBreakBefore w:val="0"/>
        <w:numPr>
          <w:ilvl w:val="0"/>
          <w:numId w:val="6"/>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参考文献</w:t>
      </w:r>
    </w:p>
    <w:p>
      <w:pPr>
        <w:pageBreakBefore w:val="0"/>
        <w:numPr>
          <w:ilvl w:val="0"/>
          <w:numId w:val="0"/>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[1]李昕磊,李飚. 实时太赫兹探测与成像技术新进展[J]. 激光与光电子学进展,2012,09:55-60.</w:t>
      </w:r>
    </w:p>
    <w:p>
      <w:pPr>
        <w:pageBreakBefore w:val="0"/>
        <w:numPr>
          <w:ilvl w:val="0"/>
          <w:numId w:val="0"/>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[2]郭澜涛,牧凯军,邓朝,张振伟,张存林. 太赫兹波谱与成像技术[J]. 红外与激光工程,2013,01:51-56.</w:t>
      </w:r>
    </w:p>
    <w:p>
      <w:pPr>
        <w:pageBreakBefore w:val="0"/>
        <w:numPr>
          <w:ilvl w:val="0"/>
          <w:numId w:val="0"/>
        </w:numPr>
        <w:kinsoku/>
        <w:overflowPunct/>
        <w:topLinePunct w:val="0"/>
        <w:autoSpaceDE/>
        <w:autoSpaceDN/>
        <w:bidi w:val="0"/>
        <w:adjustRightInd/>
        <w:snapToGrid/>
        <w:spacing w:line="240" w:lineRule="auto"/>
        <w:ind w:right="0" w:righ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[3]柴路,牛跃,栗岩锋,胡明列,王清月. 差频可调谐太赫兹技术的新进展[J]. 物理学报,2016,07:9-23.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AMGDT"/>
    <w:panose1 w:val="00000000000000000000"/>
    <w:charset w:val="00"/>
    <w:family w:val="auto"/>
    <w:pitch w:val="default"/>
    <w:sig w:usb0="00000000" w:usb1="00000000" w:usb2="00000000" w:usb3="00000000" w:csb0="00000000" w:csb1="00000000"/>
  </w:font>
  <w:font w:name="baikeFont_css">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83ADA"/>
    <w:multiLevelType w:val="singleLevel"/>
    <w:tmpl w:val="59183ADA"/>
    <w:lvl w:ilvl="0" w:tentative="0">
      <w:start w:val="5"/>
      <w:numFmt w:val="chineseCounting"/>
      <w:lvlText w:val="%1、"/>
      <w:lvlJc w:val="left"/>
    </w:lvl>
  </w:abstractNum>
  <w:abstractNum w:abstractNumId="1">
    <w:nsid w:val="59183F1E"/>
    <w:multiLevelType w:val="singleLevel"/>
    <w:tmpl w:val="59183F1E"/>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1840C1"/>
    <w:multiLevelType w:val="singleLevel"/>
    <w:tmpl w:val="591840C1"/>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91840EC"/>
    <w:multiLevelType w:val="singleLevel"/>
    <w:tmpl w:val="591840EC"/>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918411E"/>
    <w:multiLevelType w:val="singleLevel"/>
    <w:tmpl w:val="5918411E"/>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6AE3463A"/>
    <w:multiLevelType w:val="multilevel"/>
    <w:tmpl w:val="6AE3463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503401"/>
    <w:rsid w:val="17405B94"/>
    <w:rsid w:val="38A6320A"/>
    <w:rsid w:val="3BEF5DCC"/>
    <w:rsid w:val="4F503401"/>
    <w:rsid w:val="55693C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pPr>
    <w:rPr>
      <w:color w:val="666666"/>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8DE6"/>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338DE6"/>
      <w:u w:val="none"/>
    </w:rPr>
  </w:style>
  <w:style w:type="character" w:styleId="11">
    <w:name w:val="HTML Code"/>
    <w:basedOn w:val="4"/>
    <w:uiPriority w:val="0"/>
    <w:rPr>
      <w:rFonts w:hint="default" w:ascii="monospace" w:hAnsi="monospace" w:eastAsia="monospace" w:cs="monospace"/>
      <w:sz w:val="21"/>
      <w:szCs w:val="21"/>
    </w:rPr>
  </w:style>
  <w:style w:type="character" w:styleId="12">
    <w:name w:val="HTML Cite"/>
    <w:basedOn w:val="4"/>
    <w:uiPriority w:val="0"/>
  </w:style>
  <w:style w:type="character" w:styleId="13">
    <w:name w:val="HTML Keyboard"/>
    <w:basedOn w:val="4"/>
    <w:uiPriority w:val="0"/>
    <w:rPr>
      <w:rFonts w:ascii="monospace" w:hAnsi="monospace" w:eastAsia="monospace" w:cs="monospace"/>
      <w:sz w:val="21"/>
      <w:szCs w:val="21"/>
    </w:rPr>
  </w:style>
  <w:style w:type="character" w:styleId="14">
    <w:name w:val="HTML Sample"/>
    <w:basedOn w:val="4"/>
    <w:uiPriority w:val="0"/>
    <w:rPr>
      <w:rFonts w:hint="default" w:ascii="monospace" w:hAnsi="monospace" w:eastAsia="monospace" w:cs="monospace"/>
      <w:sz w:val="21"/>
      <w:szCs w:val="21"/>
    </w:rPr>
  </w:style>
  <w:style w:type="character" w:customStyle="1" w:styleId="16">
    <w:name w:val="fontborder"/>
    <w:basedOn w:val="4"/>
    <w:uiPriority w:val="0"/>
    <w:rPr>
      <w:bdr w:val="single" w:color="000000" w:sz="6" w:space="0"/>
    </w:rPr>
  </w:style>
  <w:style w:type="character" w:customStyle="1" w:styleId="17">
    <w:name w:val="fontstrikethrough"/>
    <w:basedOn w:val="4"/>
    <w:uiPriority w:val="0"/>
    <w:rPr>
      <w:strike/>
    </w:rPr>
  </w:style>
  <w:style w:type="character" w:customStyle="1" w:styleId="18">
    <w:name w:val="zgtl"/>
    <w:basedOn w:val="4"/>
    <w:uiPriority w:val="0"/>
  </w:style>
  <w:style w:type="character" w:customStyle="1" w:styleId="19">
    <w:name w:val="zgtl1"/>
    <w:basedOn w:val="4"/>
    <w:uiPriority w:val="0"/>
    <w:rPr>
      <w:rFonts w:hint="eastAsia" w:ascii="宋体" w:hAnsi="宋体" w:eastAsia="宋体" w:cs="宋体"/>
      <w:b/>
      <w:color w:val="020346"/>
      <w:sz w:val="19"/>
      <w:szCs w:val="19"/>
      <w:bdr w:val="single" w:color="DDDDDD" w:sz="6" w:space="0"/>
      <w:shd w:val="clear" w:fill="F8F8F8"/>
    </w:rPr>
  </w:style>
  <w:style w:type="character" w:customStyle="1" w:styleId="20">
    <w:name w:val="collect"/>
    <w:basedOn w:val="4"/>
    <w:uiPriority w:val="0"/>
  </w:style>
  <w:style w:type="character" w:customStyle="1" w:styleId="21">
    <w:name w:val="closed"/>
    <w:basedOn w:val="4"/>
    <w:uiPriority w:val="0"/>
  </w:style>
  <w:style w:type="character" w:customStyle="1" w:styleId="22">
    <w:name w:val="print"/>
    <w:basedOn w:val="4"/>
    <w:uiPriority w:val="0"/>
  </w:style>
  <w:style w:type="character" w:customStyle="1" w:styleId="23">
    <w:name w:val="tuijian"/>
    <w:basedOn w:val="4"/>
    <w:uiPriority w:val="0"/>
  </w:style>
  <w:style w:type="character" w:customStyle="1" w:styleId="24">
    <w:name w:val="tl"/>
    <w:basedOn w:val="4"/>
    <w:uiPriority w:val="0"/>
    <w:rPr>
      <w:b/>
      <w:color w:val="020346"/>
      <w:sz w:val="19"/>
      <w:szCs w:val="19"/>
    </w:rPr>
  </w:style>
  <w:style w:type="character" w:customStyle="1" w:styleId="25">
    <w:name w:val="active4"/>
    <w:basedOn w:val="4"/>
    <w:uiPriority w:val="0"/>
  </w:style>
  <w:style w:type="character" w:customStyle="1" w:styleId="26">
    <w:name w:val="active"/>
    <w:basedOn w:val="4"/>
    <w:uiPriority w:val="0"/>
  </w:style>
  <w:style w:type="character" w:customStyle="1" w:styleId="27">
    <w:name w:val="spanleft"/>
    <w:basedOn w:val="4"/>
    <w:uiPriority w:val="0"/>
  </w:style>
  <w:style w:type="character" w:customStyle="1" w:styleId="28">
    <w:name w:val="selected"/>
    <w:basedOn w:val="4"/>
    <w:uiPriority w:val="0"/>
    <w:rPr>
      <w:color w:val="222222"/>
      <w:shd w:val="clear" w:fill="FFFFFF"/>
    </w:rPr>
  </w:style>
  <w:style w:type="character" w:customStyle="1" w:styleId="29">
    <w:name w:val="selected1"/>
    <w:basedOn w:val="4"/>
    <w:uiPriority w:val="0"/>
    <w:rPr>
      <w:color w:val="010101"/>
      <w:shd w:val="clear" w:fill="FFFFFF"/>
    </w:rPr>
  </w:style>
  <w:style w:type="character" w:customStyle="1" w:styleId="30">
    <w:name w:val="bds_more"/>
    <w:basedOn w:val="4"/>
    <w:uiPriority w:val="0"/>
  </w:style>
  <w:style w:type="character" w:customStyle="1" w:styleId="31">
    <w:name w:val="bds_more1"/>
    <w:basedOn w:val="4"/>
    <w:uiPriority w:val="0"/>
    <w:rPr>
      <w:rFonts w:hint="eastAsia" w:ascii="宋体" w:hAnsi="宋体" w:eastAsia="宋体" w:cs="宋体"/>
    </w:rPr>
  </w:style>
  <w:style w:type="character" w:customStyle="1" w:styleId="32">
    <w:name w:val="bds_more2"/>
    <w:basedOn w:val="4"/>
    <w:uiPriority w:val="0"/>
  </w:style>
  <w:style w:type="character" w:customStyle="1" w:styleId="33">
    <w:name w:val="bds_nopic"/>
    <w:basedOn w:val="4"/>
    <w:uiPriority w:val="0"/>
  </w:style>
  <w:style w:type="character" w:customStyle="1" w:styleId="34">
    <w:name w:val="bds_nopic1"/>
    <w:basedOn w:val="4"/>
    <w:uiPriority w:val="0"/>
  </w:style>
  <w:style w:type="character" w:customStyle="1" w:styleId="35">
    <w:name w:val="bds_nopic2"/>
    <w:basedOn w:val="4"/>
    <w:uiPriority w:val="0"/>
  </w:style>
  <w:style w:type="character" w:customStyle="1" w:styleId="36">
    <w:name w:val="qq_login_logo"/>
    <w:basedOn w:val="4"/>
    <w:uiPriority w:val="0"/>
  </w:style>
  <w:style w:type="character" w:customStyle="1" w:styleId="37">
    <w:name w:val="more8"/>
    <w:basedOn w:val="4"/>
    <w:uiPriority w:val="0"/>
    <w:rPr>
      <w:rFonts w:hint="eastAsia" w:ascii="微软雅黑" w:hAnsi="微软雅黑" w:eastAsia="微软雅黑" w:cs="微软雅黑"/>
      <w:sz w:val="18"/>
      <w:szCs w:val="18"/>
    </w:rPr>
  </w:style>
  <w:style w:type="character" w:customStyle="1" w:styleId="38">
    <w:name w:val="fl"/>
    <w:basedOn w:val="4"/>
    <w:uiPriority w:val="0"/>
  </w:style>
  <w:style w:type="character" w:customStyle="1" w:styleId="39">
    <w:name w:val="weibomod-usercard-followbtn6"/>
    <w:basedOn w:val="4"/>
    <w:uiPriority w:val="0"/>
    <w:rPr>
      <w:color w:val="666666"/>
      <w:bdr w:val="single" w:color="D7D7D7" w:sz="6" w:space="0"/>
      <w:shd w:val="clear" w:fill="EAEAEA"/>
    </w:rPr>
  </w:style>
  <w:style w:type="character" w:customStyle="1" w:styleId="40">
    <w:name w:val="cur"/>
    <w:basedOn w:val="4"/>
    <w:uiPriority w:val="0"/>
    <w:rPr>
      <w:b/>
      <w:color w:val="FFFFFF"/>
      <w:shd w:val="clear" w:fill="AAAAAA"/>
    </w:rPr>
  </w:style>
  <w:style w:type="character" w:customStyle="1" w:styleId="41">
    <w:name w:val="current"/>
    <w:basedOn w:val="4"/>
    <w:uiPriority w:val="0"/>
    <w:rPr>
      <w:shd w:val="clear" w:fill="E23F40"/>
    </w:rPr>
  </w:style>
  <w:style w:type="character" w:customStyle="1" w:styleId="42">
    <w:name w:val="nolike"/>
    <w:basedOn w:val="4"/>
    <w:uiPriority w:val="0"/>
  </w:style>
  <w:style w:type="character" w:customStyle="1" w:styleId="43">
    <w:name w:val="style81"/>
    <w:basedOn w:val="4"/>
    <w:uiPriority w:val="0"/>
    <w:rPr>
      <w:sz w:val="15"/>
      <w:szCs w:val="1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2017-05-13T11:16:00Z</dcterms:created>
  <dc:creator>Asus</dc:creator>
  <cp:lastModifiedBy>Asus</cp:lastModifiedBy>
  <dcterms:modified xsi:type="dcterms:W3CDTF">2017-05-19T06:42:44Z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