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Assignment 2 — Build Your Knowledge Base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Team of 3 · Milestone 2 of 4 · Type your answers directly in the blank cells — they grow as you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Strict compliance: </w:t>
            </w:r>
            <w:r>
              <w:t xml:space="preserve"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Project name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same project name you used in Assignment 1</w:t>
            </w:r>
          </w:p>
        </w:tc>
        <w:tc>
          <w:tcPr>
            <w:tcW w:type="dxa" w:w="5860"/>
          </w:tcPr>
          <w:p>
            <w:r>
              <w:t>BanglaHomeoRAG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Team members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In 'Worked sections', list the sections each member led. Every section must be owned by someone; each member submits the AI-chat behind their own sections (Section 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60"/>
        <w:gridCol w:w="230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Team member</w:t>
            </w:r>
          </w:p>
        </w:tc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Student number</w:t>
            </w:r>
          </w:p>
        </w:tc>
        <w:tc>
          <w:tcPr>
            <w:tcW w:type="dxa" w:w="23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Worked sections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1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2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3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What this assignment is: </w:t>
            </w:r>
            <w:r>
              <w:t xml:space="preserve"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What to hand in: </w:t>
            </w:r>
            <w:r>
              <w:t xml:space="preserve"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1 — Recap from Assignment 1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Copy these from A1 so this form stands alone. Do NOT change the success metric — your system in A3 is judged on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three choices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domain · data speciality · primary NFR + target — one line each.</w:t>
            </w:r>
          </w:p>
        </w:tc>
        <w:tc>
          <w:tcPr>
            <w:tcW w:type="dxa" w:w="5860"/>
          </w:tcPr>
          <w:p>
            <w:r>
              <w:t>Domain: historical Bengali homeopathy home-medicine lookup (user: BHMS student / rural extension practitioner). Data speciality: code-switching -- Bangla script with transliterated Latin/Greek remedy names and Bengali potency numerals. Primary NFR: robust/reliable, optimised as groundedness with 100% citation.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Success metric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single answer-quality metric and target, unchanged.</w:t>
            </w:r>
          </w:p>
        </w:tc>
        <w:tc>
          <w:tcPr>
            <w:tcW w:type="dxa" w:w="5860"/>
          </w:tcPr>
          <w:p>
            <w:r>
              <w:t>nfr_target (configs/task.yaml): groundedness &gt;= 0.95 and cited-answer-rate = 1.0 -- every answer carries a book+page citation, or the system abstains. [Carry forward the exact baseline number/method from your A1 form here -- not reproduced in this draft.]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corpus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source, size (pages/words), and the one thing that makes it hard to read.</w:t>
            </w:r>
          </w:p>
        </w:tc>
        <w:tc>
          <w:tcPr>
            <w:tcW w:type="dxa" w:w="5860"/>
          </w:tcPr>
          <w:p>
            <w:r>
              <w:t>Two public-domain Bengali homeopathy manuals from the Digital Library of India / Internet Archive: bk1 'Homeopathic Paribarik Chikitsa' (1919, TEST/held-out) and bk2 'Homiopyathik Chikitsa Bidhan Vol.1' (1908, TRAIN). 1,107 usable scanned page-images after JP2-&gt;PNG conversion (662 + 445; 29 non-content boundary pages -- covers/blanks/scan-cards -- failed conversion harmlessly). Split by whole book, never by page, so no page is shared across splits. Hard to read: pre-1948 orthography, conjunct/matra clusters (যুক্তাক্ষর), mixed Bangla+Latin remedy names, Bengali potency numerals (৬/৩০/২০০). [TODO: insert exact page/word counts once notebooks/eda.ipynb is executed and grading_kit/manifest.yaml is filled -- floor is &gt;=300 pages / &gt;=60,000 words, already comfortably cleared on page count.]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2 — The Structure We Exploit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Every model choice is a bet on structure in the data. Name the structure your pipeline relies on, and the things it must ignore.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Structure in the page image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a vision model can exploit — nearby pixels form strokes/characters; a character looks the same when shifted. Drives your layout &amp; enhancement choices.</w:t>
            </w:r>
          </w:p>
        </w:tc>
        <w:tc>
          <w:tcPr>
            <w:tcW w:type="dxa" w:w="5860"/>
          </w:tcPr>
          <w:p>
            <w:r>
              <w:t>Pages are dominantly single-column running prose with occasional headings/footnotes in a smaller register. Characters are formed from consistent Bangla script strokes and conjunct/matra shapes that stay locally consistent regardless of where they sit on the page -- this is why whole-page OCR (below) works as well as it does on this corpus.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Structure in the text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a sequence model can exploit — reading order and context carry meaning; conjuncts/ligatures span characters. Drives your OCR &amp; embedding choices.</w:t>
            </w:r>
          </w:p>
        </w:tc>
        <w:tc>
          <w:tcPr>
            <w:tcW w:type="dxa" w:w="5860"/>
          </w:tcPr>
          <w:p>
            <w:r>
              <w:t>Bangla word order and remedy-entry structure are regular enough that one entry (remedy name -&gt; symptoms -&gt; potency/dose) forms a coherent local unit. Our chunking exploits this so a remedy's dose stays with its name instead of being split mid-entry by a fixed-size window.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should NOT change the answer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variations the system must be robust to — page position, font, mild skew, scan noise, ink bleed. Knowing these points you to the right model and augmentation.</w:t>
            </w:r>
          </w:p>
        </w:tc>
        <w:tc>
          <w:tcPr>
            <w:tcW w:type="dxa" w:w="5860"/>
          </w:tcPr>
          <w:p>
            <w:r>
              <w:t>Page position/order, exact font weight, mild skew/foxing, and OCR engine minor-version should not change which remedy/page gets retrieved or cited -- this is exactly what the code-switching speciality and the whole-page-OCR A/B test (Section 3) were measured against.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3 — Components &amp; Options We Considered</w:t>
      </w:r>
    </w:p>
    <w:p>
      <w:pPr>
        <w:spacing w:after="100"/>
      </w:pPr>
      <w:r>
        <w:t xml:space="preserve">For each stage, name the options you compared and your choice. </w:t>
      </w:r>
      <w:r>
        <w:rPr>
          <w:b/>
          <w:bCs/>
        </w:rPr>
        <w:t xml:space="preserve">At least one choice must be an existing published/pretrained method you reproduce and adapt</w:t>
      </w:r>
      <w:r>
        <w:t xml:space="preserve"> (your OCR foundation is the natural one — reproducing someone else's method is the core skill for adopting whatever comes next). Mark it in the last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3200"/>
        <w:gridCol w:w="156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9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Options we compared</w:t>
            </w:r>
          </w:p>
        </w:tc>
        <w:tc>
          <w:tcPr>
            <w:tcW w:type="dxa" w:w="3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+ why</w:t>
            </w:r>
          </w:p>
        </w:tc>
        <w:tc>
          <w:tcPr>
            <w:tcW w:type="dxa" w:w="1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Reproduced? (≥1 yes)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Enhancement (bonus)</w:t>
            </w:r>
          </w:p>
        </w:tc>
        <w:tc>
          <w:tcPr>
            <w:tcW w:type="dxa" w:w="2900"/>
          </w:tcPr>
          <w:p>
            <w:r>
              <w:t>Classical denoise/binarize vs a learned enhancement model (VAE/diffusion) vs none</w:t>
            </w:r>
          </w:p>
        </w:tc>
        <w:tc>
          <w:tcPr>
            <w:tcW w:type="dxa" w:w="3200"/>
          </w:tcPr>
          <w:p>
            <w:r>
              <w:t>None -- enhance.enabled: false. Our data speciality is code-switching, not physically degraded scans, so a learned cleanup model wasn't justified; classical preprocessing (passthrough + autocontrast) already covers our actual failure mode.</w:t>
            </w:r>
          </w:p>
        </w:tc>
        <w:tc>
          <w:tcPr>
            <w:tcW w:type="dxa" w:w="1560"/>
          </w:tcPr>
          <w:p>
            <w:r>
              <w:t>N/A -- bonus stage, not attempted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Layout detection</w:t>
            </w:r>
          </w:p>
        </w:tc>
        <w:tc>
          <w:tcPr>
            <w:tcW w:type="dxa" w:w="2900"/>
          </w:tcPr>
          <w:p>
            <w:r>
              <w:t>Tesseract block-segmentation (group word-boxes into heading/body regions) vs whole-page (one full-page region per page)</w:t>
            </w:r>
          </w:p>
        </w:tc>
        <w:tc>
          <w:tcPr>
            <w:tcW w:type="dxa" w:w="3200"/>
          </w:tcPr>
          <w:p>
            <w:r>
              <w:t>Whole-page (layout.mode: whole_page). Measured on the 30-page bk1 held-out set: block mean CER 0.483 vs whole-page 0.184. Block segmentation caused catastrophic mis-segmentation on ~9 pages (up to CER 5.69) with no benefit on this single-column corpus.</w:t>
            </w:r>
          </w:p>
        </w:tc>
        <w:tc>
          <w:tcPr>
            <w:tcW w:type="dxa" w:w="1560"/>
          </w:tcPr>
          <w:p>
            <w:r>
              <w:t>No -- heuristic Tesseract word-box grouping, not a trained detection model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OCR / HTR</w:t>
            </w:r>
          </w:p>
        </w:tc>
        <w:tc>
          <w:tcPr>
            <w:tcW w:type="dxa" w:w="2900"/>
          </w:tcPr>
          <w:p>
            <w:r>
              <w:t>Tesseract 5 (ben+eng) vs a Bangla-capable neural OCR (Surya / a bn TrOCR checkpoint)</w:t>
            </w:r>
          </w:p>
        </w:tc>
        <w:tc>
          <w:tcPr>
            <w:tcW w:type="dxa" w:w="3200"/>
          </w:tcPr>
          <w:p>
            <w:r>
              <w:t>Tesseract 5 baseline, whole-page pass at --psm 3. Two bugs fixed while measuring: (1) whole-page regions now OCR the original page image directly -- a re-saved crop dropped scan DPI and broke PSM-3 segmentation on sparse pages; (2) the TSV parser now uses csv.QUOTE_NONE -- a stray " in OCR'd text was otherwise read as a CSV quote and silently swallowed following rows, inflating 5 pages to CER 3-4x. Final held-out mean CER 0.184 (target &lt;=0.15, not yet met). Neural fallback for low-confidence pages is planned, not yet implemented (ocr.fallback is empty).</w:t>
            </w:r>
          </w:p>
        </w:tc>
        <w:tc>
          <w:tcPr>
            <w:tcW w:type="dxa" w:w="1560"/>
          </w:tcPr>
          <w:p>
            <w:r>
              <w:t>Yes -- pretrained Tesseract 5 ben+eng model, reproduced as our OCR baseline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Chunking</w:t>
            </w:r>
          </w:p>
        </w:tc>
        <w:tc>
          <w:tcPr>
            <w:tcW w:type="dxa" w:w="2900"/>
          </w:tcPr>
          <w:p>
            <w:r>
              <w:t>Fixed-size token windows vs semantic/entry-aware chunking</w:t>
            </w:r>
          </w:p>
        </w:tc>
        <w:tc>
          <w:tcPr>
            <w:tcW w:type="dxa" w:w="3200"/>
          </w:tcPr>
          <w:p>
            <w:r>
              <w:t>Entry-aware: normalize text, mark remedy-alias occurrences (canonicalizing Bangla/Latin spelling variants, e.g. ভিরেট্রাম/Veratrum -&gt; veratrum_album), start a new chunk at each remedy marker so a remedy's symptoms/potency/dose stay together, falling back to a 512-token / 64-overlap window (bge-m3 tokenizer) only when a single entry exceeds the limit.</w:t>
            </w:r>
          </w:p>
        </w:tc>
        <w:tc>
          <w:tcPr>
            <w:tcW w:type="dxa" w:w="1560"/>
          </w:tcPr>
          <w:p>
            <w:r>
              <w:t>No -- rule-based chunking logic, not a pretrained/published method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Embedding</w:t>
            </w:r>
          </w:p>
        </w:tc>
        <w:tc>
          <w:tcPr>
            <w:tcW w:type="dxa" w:w="2900"/>
          </w:tcPr>
          <w:p>
            <w:r>
              <w:t>BAAI/bge-m3 (multilingual) vs an English-only sentence embedding (e.g. MiniLM)</w:t>
            </w:r>
          </w:p>
        </w:tc>
        <w:tc>
          <w:tcPr>
            <w:tcW w:type="dxa" w:w="3200"/>
          </w:tcPr>
          <w:p>
            <w:r>
              <w:t>bge-m3 (dim 1024, fp16 on GPU) -- multilingual and actually covers Bengali, unlike an English-only default which would not represent Bangla or code-switched remedy names well.</w:t>
            </w:r>
          </w:p>
        </w:tc>
        <w:tc>
          <w:tcPr>
            <w:tcW w:type="dxa" w:w="1560"/>
          </w:tcPr>
          <w:p>
            <w:r>
              <w:t>Yes -- pretrained bge-m3 checkpoint used as-is, no fine-tuning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Vector index</w:t>
            </w:r>
          </w:p>
        </w:tc>
        <w:tc>
          <w:tcPr>
            <w:tcW w:type="dxa" w:w="2900"/>
          </w:tcPr>
          <w:p>
            <w:r>
              <w:t>FAISS Flat (exact) vs HNSW / IVF-PQ (approximate)</w:t>
            </w:r>
          </w:p>
        </w:tc>
        <w:tc>
          <w:tcPr>
            <w:tcW w:type="dxa" w:w="3200"/>
          </w:tcPr>
          <w:p>
            <w:r>
              <w:t>Flat -- our corpus is small (~1,100 pages), so exact search is fast enough and avoids the recall loss an approximate index trades for speed at a scale we don't need yet.</w:t>
            </w:r>
          </w:p>
        </w:tc>
        <w:tc>
          <w:tcPr>
            <w:tcW w:type="dxa" w:w="1560"/>
          </w:tcPr>
          <w:p>
            <w:r>
              <w:t>N/A -- off-the-shelf index data structure, not a learned/pretrained component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4 — The Knowledge Base We Built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What actually runs. State the model/checkpoint and the key parameters per stage, and whether it's pretrained, fine-tuned, or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00"/>
        <w:gridCol w:w="2360"/>
      </w:tblGrid>
      <w:tr>
        <w:trPr>
          <w:tblHeader/>
        </w:trPr>
        <w:tc>
          <w:tcPr>
            <w:tcW w:type="dxa" w:w="19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Model / checkpoint</w:t>
            </w:r>
          </w:p>
        </w:tc>
        <w:tc>
          <w:tcPr>
            <w:tcW w:type="dxa" w:w="2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Key parameters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Pretrained / fine-tuned / scratch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Ingest + enhance</w:t>
            </w:r>
          </w:p>
        </w:tc>
        <w:tc>
          <w:tcPr>
            <w:tcW w:type="dxa" w:w="2700"/>
          </w:tcPr>
          <w:p>
            <w:r>
              <w:t>None (rule-based ingest); no enhancement model</w:t>
            </w:r>
          </w:p>
        </w:tc>
        <w:tc>
          <w:tcPr>
            <w:tcW w:type="dxa" w:w="2400"/>
          </w:tcPr>
          <w:p>
            <w:r>
              <w:t>preprocess.mode=passthrough, autocontrast=true, deskew/denoise/sharpen/binarize=false; enhance.enabled=false</w:t>
            </w:r>
          </w:p>
        </w:tc>
        <w:tc>
          <w:tcPr>
            <w:tcW w:type="dxa" w:w="2360"/>
          </w:tcPr>
          <w:p>
            <w:r>
              <w:t>N/A -- no learned model in this stage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Layout</w:t>
            </w:r>
          </w:p>
        </w:tc>
        <w:tc>
          <w:tcPr>
            <w:tcW w:type="dxa" w:w="2700"/>
          </w:tcPr>
          <w:p>
            <w:r>
              <w:t>Tesseract 5 (--psm 3), used for text location only</w:t>
            </w:r>
          </w:p>
        </w:tc>
        <w:tc>
          <w:tcPr>
            <w:tcW w:type="dxa" w:w="2400"/>
          </w:tcPr>
          <w:p>
            <w:r>
              <w:t>layout.mode=whole_page</w:t>
            </w:r>
          </w:p>
        </w:tc>
        <w:tc>
          <w:tcPr>
            <w:tcW w:type="dxa" w:w="2360"/>
          </w:tcPr>
          <w:p>
            <w:r>
              <w:t>Pretrained (Tesseract ben+eng) used purely as a text-locator, not fine-tuned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OCR / HTR</w:t>
            </w:r>
          </w:p>
        </w:tc>
        <w:tc>
          <w:tcPr>
            <w:tcW w:type="dxa" w:w="2700"/>
          </w:tcPr>
          <w:p>
            <w:r>
              <w:t>Tesseract 5, tesseract:ben (ben+eng)</w:t>
            </w:r>
          </w:p>
        </w:tc>
        <w:tc>
          <w:tcPr>
            <w:tcW w:type="dxa" w:w="2400"/>
          </w:tcPr>
          <w:p>
            <w:r>
              <w:t>oem=1, body_psm=3, conf_threshold=0.60</w:t>
            </w:r>
          </w:p>
        </w:tc>
        <w:tc>
          <w:tcPr>
            <w:tcW w:type="dxa" w:w="2360"/>
          </w:tcPr>
          <w:p>
            <w:r>
              <w:t>Pretrained baseline; finetune=false -- flip to true only if CER forces it (currently 0.184 vs 0.15 target)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Chunk</w:t>
            </w:r>
          </w:p>
        </w:tc>
        <w:tc>
          <w:tcPr>
            <w:tcW w:type="dxa" w:w="2700"/>
          </w:tcPr>
          <w:p>
            <w:r>
              <w:t>BAAI/bge-m3 tokenizer only (no chunking model)</w:t>
            </w:r>
          </w:p>
        </w:tc>
        <w:tc>
          <w:tcPr>
            <w:tcW w:type="dxa" w:w="2400"/>
          </w:tcPr>
          <w:p>
            <w:r>
              <w:t>chunk_tokens=512, overlap=64, entry-aware via normalization.remedy_aliases</w:t>
            </w:r>
          </w:p>
        </w:tc>
        <w:tc>
          <w:tcPr>
            <w:tcW w:type="dxa" w:w="2360"/>
          </w:tcPr>
          <w:p>
            <w:r>
              <w:t>N/A -- rule-based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Embed</w:t>
            </w:r>
          </w:p>
        </w:tc>
        <w:tc>
          <w:tcPr>
            <w:tcW w:type="dxa" w:w="2700"/>
          </w:tcPr>
          <w:p>
            <w:r>
              <w:t>BAAI/bge-m3</w:t>
            </w:r>
          </w:p>
        </w:tc>
        <w:tc>
          <w:tcPr>
            <w:tcW w:type="dxa" w:w="2400"/>
          </w:tcPr>
          <w:p>
            <w:r>
              <w:t>dim=1024, batch_size=4, max_length=512, use_fp16=true, device=cuda (falls back to cpu)</w:t>
            </w:r>
          </w:p>
        </w:tc>
        <w:tc>
          <w:tcPr>
            <w:tcW w:type="dxa" w:w="2360"/>
          </w:tcPr>
          <w:p>
            <w:r>
              <w:t>Pretrained, used as-is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Index</w:t>
            </w:r>
          </w:p>
        </w:tc>
        <w:tc>
          <w:tcPr>
            <w:tcW w:type="dxa" w:w="2700"/>
          </w:tcPr>
          <w:p>
            <w:r>
              <w:t>FAISS IndexFlat (faiss:flat)</w:t>
            </w:r>
          </w:p>
        </w:tc>
        <w:tc>
          <w:tcPr>
            <w:tcW w:type="dxa" w:w="2400"/>
          </w:tcPr>
          <w:p>
            <w:r>
              <w:t>L2-normalized vectors (cosine similarity via inner product)</w:t>
            </w:r>
          </w:p>
        </w:tc>
        <w:tc>
          <w:tcPr>
            <w:tcW w:type="dxa" w:w="2360"/>
          </w:tcPr>
          <w:p>
            <w:r>
              <w:t>N/A -- deterministic data structure, not a learned model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The pipeline in one line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pages → clean → (enhance) → layout → OCR → chunk → embed → store. Note anything you changed from the default.</w:t>
            </w:r>
          </w:p>
        </w:tc>
        <w:tc>
          <w:tcPr>
            <w:tcW w:type="dxa" w:w="5860"/>
          </w:tcPr>
          <w:p>
            <w:r>
              <w:t>pages (data/raw/&lt;book&gt;/*.png) -&gt; preprocess (passthrough+autocontrast) -&gt; enhance (off) -&gt; layout (whole-page region) -&gt; OCR (Tesseract 5 ben+eng, PSM 3, QUOTE_NONE-safe TSV) -&gt; [PII redaction hook] -&gt; chunk (entry-aware, 512/64 fallback) -&gt; [pre-index hook] -&gt; embed (bge-m3, 1024-d) -&gt; store (FAISS flat, L2-normalized). Changed from the default: layout switched from block-segmentation to whole-page after a measured CER regression (0.483 vs 0.184).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5 — Evidence It Works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 build milestone needs proof, not promises. Show real numbers and one real retrieval.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OCR quality on a sample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measure reading quality on a labelled sample (character/word error rate, or F1). State the number and the sample size.</w:t>
            </w:r>
          </w:p>
        </w:tc>
        <w:tc>
          <w:tcPr>
            <w:tcW w:type="dxa" w:w="5860"/>
          </w:tcPr>
          <w:p>
            <w:r>
              <w:t>Mean character error rate (CER) 0.184 over the 30-page bk1 held-out set (grading_kit/heldout_pages/ + labels.jsonl), measured after fixing two bugs (DPI loss on re-saved crops; Tesseract-TSV quote-swallowing). Target from A1 was &lt;=0.15 -- not yet met. Caveat: held-out labels are currently Qwen-VLM-generated, not yet human-verified -- treat this number as provisional until spot-checked by hand. [TODO: re-run and save this measurement inside notebooks/kb_demo.ipynb before submission -- per the grading gate, a number with no notebook evidence scores zero.]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Index statistics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chunks indexed, embedding dimension, index type, corpus coverage (pages/words indexed vs total).</w:t>
            </w:r>
          </w:p>
        </w:tc>
        <w:tc>
          <w:tcPr>
            <w:tcW w:type="dxa" w:w="5860"/>
          </w:tcPr>
          <w:p>
            <w:r>
              <w:t>Known from config: embedding dimension 1024 (BAAI/bge-m3); index type FAISS Flat. [TODO: chunks indexed, and pages/words indexed vs total corpus, require an actual full-corpus build -- not yet run. Fill in real numbers from notebooks/kb_demo.ipynb / grading_kit/manifest.yaml before submission; do not report estimated numbers.]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One retrieval example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real query, the top chunk returned, and whether it's the right page. Show one that worked.</w:t>
            </w:r>
          </w:p>
        </w:tc>
        <w:tc>
          <w:tcPr>
            <w:tcW w:type="dxa" w:w="5860"/>
          </w:tcPr>
          <w:p>
            <w:r>
              <w:t>[TODO -- not yet captured. notebooks/kb_demo.ipynb Part 2 already contains a real query ('veratrum album dosage for cholera') plus a deliberately weak/out-of-corpus query to exercise is_weak(), but it has not been executed against a persisted index yet. Run it and paste the actual top-chunk result + whether it's the correct page here.]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The worst failure we saw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where reading or retrieval failed badly, and your read on why (honest — this shapes A3).</w:t>
            </w:r>
          </w:p>
        </w:tc>
        <w:tc>
          <w:tcPr>
            <w:tcW w:type="dxa" w:w="5860"/>
          </w:tcPr>
          <w:p>
            <w:r>
              <w:t>Two real failures caught while measuring OCR quality: (1) Tesseract block-layout segmentation catastrophically mis-read page bk1_p186 (CER 5.694 vs 0.195 for the same page read whole-page) -- block splitting scrambled/duplicated text on ~9 of 30 held-out pages, which is why we moved to whole-page OCR. (2) A csv-parsing bug: Tesseract's TSV output is unquoted, but Python's csv.DictReader treated a stray " inside OCR'd text as a quote character and silently merged following rows into one field, inflating 5 pages to CER 3-4x (e.g. bk1_p145: 4.054) until we forced quoting=csv.QUOTE_NONE. Both are fixed and verified (in-pipeline output now matches a raw full-page OCR pass exactly, delta=0.000); full read-on-why is in configs/design_choices.md (Layout/OCR rows).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6 — The Plan for A3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What's left: turn the knowledge base into an answering agent, then evaluate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we'll build next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retrieval + rerank, the agent loop + tools, guardrails/HITL, grounding, evaluation — and RL/RLVR if you attempt the bonus.</w:t>
            </w:r>
          </w:p>
          <w:p>
            <w:r>
              <w:t xml:space="preserve">Carry the agent forward: in A3 it must do evidence-gated re-search (widen k on weak evidence, abstain at k_max) — the mandatory agentic behaviour, graded fail-closed in A3.</w:t>
            </w:r>
          </w:p>
        </w:tc>
        <w:tc>
          <w:tcPr>
            <w:tcW w:type="dxa" w:w="5860"/>
          </w:tcPr>
          <w:p>
            <w:r>
              <w:t>Retrieval (dense bge-m3 similarity, k=10 default) + reranking (BAAI/bge-reranker-v2-m3, narrow top-20 to top-5) + the agent loop over the nine fixed tools (retrieve/rerank/read_page/enhance_page/extract/aggregate/cite/calculator/escalate_to_human) + grounding/citation enforcement + PII redaction + prompt-injection guardrails + human-in-the-loop escalation when no page clears the confidence threshold, then an evaluation harness (recall@k, groundedness, verifiable- and judged-question accuracy).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evaluation set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you'll write tasks.jsonl for YOUR domain — the questions your real user would ask; include enough checkable (verifiable) items and abstention cases.</w:t>
            </w:r>
          </w:p>
        </w:tc>
        <w:tc>
          <w:tcPr>
            <w:tcW w:type="dxa" w:w="5860"/>
          </w:tcPr>
          <w:p>
            <w:r>
              <w:t>tasks.jsonl authored from real BHMS-practitioner-style questions grounded in bk1/bk2 remedy entries: a mix of verifiable (exact-match against a known quoted dose/potency line) and judged (multi-step reasoning, LLM-judged) items, plus deliberate out-of-corpus questions whose correct answer is to abstain -- including at least one matched needs_research:true/false pair to exercise the mandatory evidence-gated re-search behaviour.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Biggest risk / unknown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thing most likely to break in A3, and your first idea to handle it.</w:t>
            </w:r>
          </w:p>
        </w:tc>
        <w:tc>
          <w:tcPr>
            <w:tcW w:type="dxa" w:w="5860"/>
          </w:tcPr>
          <w:p>
            <w:r>
              <w:t>OCR CER (0.184) is still above our 0.15 target, so some fraction of retrieved evidence will be genuinely noisy going into A3 -- if the agent grounds an answer on a mis-read remedy name or potency number, it could confidently cite a wrong page. First mitigation: keep the per-page confidence gate (conf_threshold=0.60) wired to escalate_to_human/abstain rather than answering off low-confidence OCR, and prioritise closing the CER gap (preprocessing tuning or the Bangla neural OCR fallback) before trusting citations at face value in A3 eval.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7 — Design Choices &amp; Justification (knowledge-base stages)</w:t>
      </w:r>
    </w:p>
    <w:p>
      <w:pPr>
        <w:spacing w:after="100"/>
      </w:pPr>
      <w:r>
        <w:t xml:space="preserve">Extend the eight-facet table to the stages you built (Stages 1–4). This is the graded design artifact (</w:t>
      </w:r>
      <w:r>
        <w:rPr>
          <w:i/>
          <w:iCs/>
          <w:color w:val="595959"/>
          <w:sz w:val="18"/>
          <w:szCs w:val="18"/>
        </w:rPr>
        <w:t xml:space="preserve">configs/design_choices.md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Facet</w:t>
            </w:r>
          </w:p>
        </w:tc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across the knowledge-base stages</w:t>
            </w:r>
          </w:p>
        </w:tc>
        <w:tc>
          <w:tcPr>
            <w:tcW w:type="dxa" w:w="37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Why — fits our corpus · what it costs · what would change it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Problem statement</w:t>
            </w:r>
          </w:p>
        </w:tc>
        <w:tc>
          <w:tcPr>
            <w:tcW w:type="dxa" w:w="3400"/>
          </w:tcPr>
          <w:p>
            <w:r>
              <w:t>Turn raw scans into a searchable, citation-preserving knowledge base clean enough to support &gt;=0.95 groundedness with 100% citation, within our robust/reliable NFR.</w:t>
            </w:r>
          </w:p>
        </w:tc>
        <w:tc>
          <w:tcPr>
            <w:tcW w:type="dxa" w:w="3760"/>
          </w:tcPr>
          <w:p>
            <w:r>
              <w:t>This is what every A3 answer depends on -- an agent can't be grounded if the retrieved text is wrong or uncited. Cost: OCR/layout accuracy work happens up-front, before any 'agent' behaviour exists. Would change if the NFR were e.g. latency instead of robustness -- we'd trade OCR quality work for speed.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Data</w:t>
            </w:r>
          </w:p>
        </w:tc>
        <w:tc>
          <w:tcPr>
            <w:tcW w:type="dxa" w:w="3400"/>
          </w:tcPr>
          <w:p>
            <w:r>
              <w:t>1,107 page-images (bk2=445 train / bk1=662 test, split by whole book); 30 bk1 held-out pages with page-level labels for OCR CER measurement.</w:t>
            </w:r>
          </w:p>
        </w:tc>
        <w:tc>
          <w:tcPr>
            <w:tcW w:type="dxa" w:w="3760"/>
          </w:tcPr>
          <w:p>
            <w:r>
              <w:t>Whole-book splitting makes cross-split leakage impossible by construction, which matters because both books quote overlapping Materia Medica passages. Cost: held-out labels are currently Qwen-generated, not human-verified -- our biggest current data-quality risk. Would change once labels are hand-verified.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Model</w:t>
            </w:r>
          </w:p>
        </w:tc>
        <w:tc>
          <w:tcPr>
            <w:tcW w:type="dxa" w:w="3400"/>
          </w:tcPr>
          <w:p>
            <w:r>
              <w:t>Tesseract 5 (ben+eng) baseline OCR; BAAI/bge-m3 embeddings; FAISS Flat index. No layout/enhancement model -- both are rule-based or disabled.</w:t>
            </w:r>
          </w:p>
        </w:tc>
        <w:tc>
          <w:tcPr>
            <w:tcW w:type="dxa" w:w="3760"/>
          </w:tcPr>
          <w:p>
            <w:r>
              <w:t>Tesseract is our reproduced-pretrained-method requirement; bge-m3 is the smallest good multilingual embedding that actually covers Bengali. Cost: no learned layout model means no true multi-column support if a future book needs it. Would change for a corpus speciality of degraded scans (justifies a learned enhancer) or real multi-column layout.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Methods</w:t>
            </w:r>
          </w:p>
        </w:tc>
        <w:tc>
          <w:tcPr>
            <w:tcW w:type="dxa" w:w="3400"/>
          </w:tcPr>
          <w:p>
            <w:r>
              <w:t>Whole-page OCR at PSM 3, chosen over block segmentation after a held-out CER A/B (0.184 vs 0.483); entry-aware chunking keyed on remedy-alias markers with a 512/64-token fallback window.</w:t>
            </w:r>
          </w:p>
        </w:tc>
        <w:tc>
          <w:tcPr>
            <w:tcW w:type="dxa" w:w="3760"/>
          </w:tcPr>
          <w:p>
            <w:r>
              <w:t>The A/B test is the actual justification -- block segmentation measurably hurt accuracy on this single-column corpus. Cost: we lose the heading/body region tags block-mode would have given entry-aware chunking, recovered instead via remedy-marker detection at chunk time. Would change back to block mode for a corpus with real multi-column/footnote structure.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Design</w:t>
            </w:r>
          </w:p>
        </w:tc>
        <w:tc>
          <w:tcPr>
            <w:tcW w:type="dxa" w:w="3400"/>
          </w:tcPr>
          <w:p>
            <w:r>
              <w:t>Fixed Page -&gt; Region -&gt; Chunk data contracts (contracts.py) carry page_id/doc_id/ocr_conf end-to-end so every stage -- and every future A3 citation -- can trace back to a scanned page.</w:t>
            </w:r>
          </w:p>
        </w:tc>
        <w:tc>
          <w:tcPr>
            <w:tcW w:type="dxa" w:w="3760"/>
          </w:tcPr>
          <w:p>
            <w:r>
              <w:t>This is what makes citation possible at all, and it's CI-enforced (test_contracts.py) so it can't silently drift. Cost: new metadata (e.g. remedy_ids as a first-class field) needs a contract change, deliberately friction-full. Would change if A3 grounding needs a field the current contract doesn't carry.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Development</w:t>
            </w:r>
          </w:p>
        </w:tc>
        <w:tc>
          <w:tcPr>
            <w:tcW w:type="dxa" w:w="3400"/>
          </w:tcPr>
          <w:p>
            <w:r>
              <w:t>Held-out CER used as the deciding metric for every OCR/layout choice; two real regressions (DPI loss, TSV quote-swallowing) were caught by this harness before shipping, not after.</w:t>
            </w:r>
          </w:p>
        </w:tc>
        <w:tc>
          <w:tcPr>
            <w:tcW w:type="dxa" w:w="3760"/>
          </w:tcPr>
          <w:p>
            <w:r>
              <w:t>Measuring against the real held-out set -- not eyeballing OCR text -- is what caught both bugs; byte-identical output disproved a wrong hypothesis (DPI) before we shipped a fix that didn't work. Cost: this loop is slow (Tesseract per-page, no GPU) -- minutes per comparison. Would change with a faster/cached harness for A3-scale iteration.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Deployment</w:t>
            </w:r>
          </w:p>
        </w:tc>
        <w:tc>
          <w:tcPr>
            <w:tcW w:type="dxa" w:w="3400"/>
          </w:tcPr>
          <w:p>
            <w:r>
              <w:t>OCR/layout/chunk run CPU-only; embedding runs GPU (fp16) when available and falls back to CPU automatically; index build is a single batch job (scripts/build_index.sh), not incremental yet.</w:t>
            </w:r>
          </w:p>
        </w:tc>
        <w:tc>
          <w:tcPr>
            <w:tcW w:type="dxa" w:w="3760"/>
          </w:tcPr>
          <w:p>
            <w:r>
              <w:t>Matches our corpus size and Kaggle's free-tier T4 GPU; CPU-only OCR means the KB can still be rebuilt on a machine with no GPU, just slower. Cost: full rebuilds are all-or-nothing -- no incremental re-index yet. Would change if the corpus grew large enough that a full rebuild became too slow to iterate on.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MLOps</w:t>
            </w:r>
          </w:p>
        </w:tc>
        <w:tc>
          <w:tcPr>
            <w:tcW w:type="dxa" w:w="3400"/>
          </w:tcPr>
          <w:p>
            <w:r>
              <w:t>Raw/interim data gitignored and re-fetchable via scripts/get_data.sh + data/provenance.md; preprocessing/OCR caches are fingerprinted on config so they auto-invalidate; every design decision and its measured evidence is logged in configs/design_choices.md and reports/pipeline_diagram.md.</w:t>
            </w:r>
          </w:p>
        </w:tc>
        <w:tc>
          <w:tcPr>
            <w:tcW w:type="dxa" w:w="3760"/>
          </w:tcPr>
          <w:p>
            <w:r>
              <w:t>Keeps the repo small and reproducible from source instead of shipping large binaries; fingerprinted caching means nobody has to remember to manually clear stale OCR output after a config change -- a mistake we were otherwise exposed to, given how much OCR config we've already tuned. Would change to add index versioning/monitoring once the KB is served in A4.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8 — How We Worked With AI</w:t>
      </w:r>
    </w:p>
    <w:p>
      <w:pPr>
        <w:spacing w:after="100"/>
      </w:pPr>
      <w:r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 xml:space="preserve">&lt;their student number&gt;.txt</w:t>
      </w:r>
      <w:r>
        <w:t xml:space="preserve">, containing the full AI conversation behind the sections they 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Each .txt file must contain</w:t>
            </w:r>
          </w:p>
        </w:tc>
        <w:tc>
          <w:tcPr>
            <w:tcW w:type="dxa" w:w="59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In this order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Header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member name, student number, sections led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The full conversation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every prompt and every AI reply, unedited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A short reflection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you accepted, changed, or rejected, and why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Submission — Required Folder Structure</w:t>
      </w:r>
    </w:p>
    <w:p>
      <w:pPr>
        <w:spacing w:after="100"/>
      </w:pPr>
      <w:r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 xml:space="preserve">A2_&lt;your team id&gt;.zip</w:t>
      </w:r>
      <w:r>
        <w:t xml:space="preserve">,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A2_form.docx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this filled form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src/doc_agent/  (ingest, vision, index)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the implemented knowledge-base stages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scripts/build_index.sh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builds the vector index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notebooks/kb_demo.ipynb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OCR quality + one retrieval example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reports/pipeline_diagram.md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a diagram of the knowledge-base pipeline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configs/design_choices.md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updated with Stages 1–4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transcripts/&lt;student number&gt;.txt  ×3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one AI-chat transcript per member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How You'll Be Graded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Grounding gate: </w:t>
            </w:r>
            <w:r>
              <w:t xml:space="preserve">every claim in the form must match your own code, index, and notebook outputs. Numbers with no notebook evidence score zero for that item.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we assess</w:t>
            </w:r>
          </w:p>
        </w:tc>
        <w:tc>
          <w:tcPr>
            <w:tcW w:type="dxa" w:w="2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1 — recap accurate and consistent with A1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2 — structure and invariances identified correctly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3 — options compared, with ≥1 reproduced published/pretrained method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4 — knowledge base built; models and parameters justified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5 — real evidence: OCR quality + a working retrieval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6 — a concrete, sensible plan for A3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7 — eight-facet design table for Stages 1–4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8 + submission structure correct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2026-07-04T23:56:32.641Z</dcterms:created>
  <dcterms:modified xsi:type="dcterms:W3CDTF">2026-07-04T23:56:32.641Z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