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Technical Memorandum</w:t>
      </w:r>
    </w:p>
    <w:p>
      <w:pPr>
        <w:spacing w:after="260"/>
        <w:jc w:val="center"/>
      </w:pPr>
      <w:r>
        <w:rPr>
          <w:i/>
          <w:iCs/>
          <w:color w:val="2E5395"/>
          <w:sz w:val="24"/>
          <w:szCs w:val="24"/>
        </w:rPr>
        <w:t xml:space="preserve">Temporal, Weather, and User-Type Drivers of Bike-Sharing Demand in Washington, 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Item</w:t>
            </w:r>
          </w:p>
        </w:tc>
        <w:tc>
          <w:tcPr>
            <w:tcW w:type="dxa" w:w="7160"/>
            <w:shd w:fill="1F3864" w:val="clear"/>
            <w:tcMar>
              <w:top w:type="dxa" w:w="60"/>
              <w:left w:type="dxa" w:w="100"/>
              <w:bottom w:type="dxa" w:w="60"/>
              <w:right w:type="dxa" w:w="100"/>
            </w:tcMar>
          </w:tcPr>
          <w:p>
            <w:r>
              <w:rPr>
                <w:b/>
                <w:bCs/>
                <w:color w:val="FFFFFF"/>
                <w:sz w:val="19"/>
                <w:szCs w:val="19"/>
              </w:rPr>
              <w:t xml:space="preserve">Detail</w:t>
            </w:r>
          </w:p>
        </w:tc>
      </w:tr>
      <w:tr>
        <w:tc>
          <w:tcPr>
            <w:tcW w:type="dxa" w:w="2200"/>
            <w:shd w:fill="FFFFFF" w:val="clear"/>
            <w:tcMar>
              <w:top w:type="dxa" w:w="50"/>
              <w:left w:type="dxa" w:w="100"/>
              <w:bottom w:type="dxa" w:w="50"/>
              <w:right w:type="dxa" w:w="100"/>
            </w:tcMar>
          </w:tcPr>
          <w:p>
            <w:r>
              <w:rPr>
                <w:sz w:val="19"/>
                <w:szCs w:val="19"/>
              </w:rPr>
              <w:t xml:space="preserve">Dataset</w:t>
            </w:r>
          </w:p>
        </w:tc>
        <w:tc>
          <w:tcPr>
            <w:tcW w:type="dxa" w:w="7160"/>
            <w:shd w:fill="FFFFFF" w:val="clear"/>
            <w:tcMar>
              <w:top w:type="dxa" w:w="50"/>
              <w:left w:type="dxa" w:w="100"/>
              <w:bottom w:type="dxa" w:w="50"/>
              <w:right w:type="dxa" w:w="100"/>
            </w:tcMar>
          </w:tcPr>
          <w:p>
            <w:r>
              <w:rPr>
                <w:sz w:val="19"/>
                <w:szCs w:val="19"/>
              </w:rPr>
              <w:t xml:space="preserve">UCI Bike Sharing Dataset — hourly records, Capital Bikeshare, Washington, D.C.</w:t>
            </w:r>
          </w:p>
        </w:tc>
      </w:tr>
      <w:tr>
        <w:tc>
          <w:tcPr>
            <w:tcW w:type="dxa" w:w="2200"/>
            <w:shd w:fill="EEF2F8" w:val="clear"/>
            <w:tcMar>
              <w:top w:type="dxa" w:w="50"/>
              <w:left w:type="dxa" w:w="100"/>
              <w:bottom w:type="dxa" w:w="50"/>
              <w:right w:type="dxa" w:w="100"/>
            </w:tcMar>
          </w:tcPr>
          <w:p>
            <w:r>
              <w:rPr>
                <w:sz w:val="19"/>
                <w:szCs w:val="19"/>
              </w:rPr>
              <w:t xml:space="preserve">Period covered</w:t>
            </w:r>
          </w:p>
        </w:tc>
        <w:tc>
          <w:tcPr>
            <w:tcW w:type="dxa" w:w="7160"/>
            <w:shd w:fill="EEF2F8" w:val="clear"/>
            <w:tcMar>
              <w:top w:type="dxa" w:w="50"/>
              <w:left w:type="dxa" w:w="100"/>
              <w:bottom w:type="dxa" w:w="50"/>
              <w:right w:type="dxa" w:w="100"/>
            </w:tcMar>
          </w:tcPr>
          <w:p>
            <w:r>
              <w:rPr>
                <w:sz w:val="19"/>
                <w:szCs w:val="19"/>
              </w:rPr>
              <w:t xml:space="preserve">1 January 2011 – 31 December 2012 (17,379 hourly observations)</w:t>
            </w:r>
          </w:p>
        </w:tc>
      </w:tr>
      <w:tr>
        <w:tc>
          <w:tcPr>
            <w:tcW w:type="dxa" w:w="2200"/>
            <w:shd w:fill="FFFFFF" w:val="clear"/>
            <w:tcMar>
              <w:top w:type="dxa" w:w="50"/>
              <w:left w:type="dxa" w:w="100"/>
              <w:bottom w:type="dxa" w:w="50"/>
              <w:right w:type="dxa" w:w="100"/>
            </w:tcMar>
          </w:tcPr>
          <w:p>
            <w:r>
              <w:rPr>
                <w:sz w:val="19"/>
                <w:szCs w:val="19"/>
              </w:rPr>
              <w:t xml:space="preserve">Prepared for</w:t>
            </w:r>
          </w:p>
        </w:tc>
        <w:tc>
          <w:tcPr>
            <w:tcW w:type="dxa" w:w="7160"/>
            <w:shd w:fill="FFFFFF" w:val="clear"/>
            <w:tcMar>
              <w:top w:type="dxa" w:w="50"/>
              <w:left w:type="dxa" w:w="100"/>
              <w:bottom w:type="dxa" w:w="50"/>
              <w:right w:type="dxa" w:w="100"/>
            </w:tcMar>
          </w:tcPr>
          <w:p>
            <w:r>
              <w:rPr>
                <w:sz w:val="19"/>
                <w:szCs w:val="19"/>
              </w:rPr>
              <w:t xml:space="preserve">Technical Assessment — Data Analytics, Statistics &amp; Predictive Modeling</w:t>
            </w:r>
          </w:p>
        </w:tc>
      </w:tr>
      <w:tr>
        <w:tc>
          <w:tcPr>
            <w:tcW w:type="dxa" w:w="2200"/>
            <w:shd w:fill="EEF2F8" w:val="clear"/>
            <w:tcMar>
              <w:top w:type="dxa" w:w="50"/>
              <w:left w:type="dxa" w:w="100"/>
              <w:bottom w:type="dxa" w:w="50"/>
              <w:right w:type="dxa" w:w="100"/>
            </w:tcMar>
          </w:tcPr>
          <w:p>
            <w:r>
              <w:rPr>
                <w:sz w:val="19"/>
                <w:szCs w:val="19"/>
              </w:rPr>
              <w:t xml:space="preserve">Date</w:t>
            </w:r>
          </w:p>
        </w:tc>
        <w:tc>
          <w:tcPr>
            <w:tcW w:type="dxa" w:w="7160"/>
            <w:shd w:fill="EEF2F8" w:val="clear"/>
            <w:tcMar>
              <w:top w:type="dxa" w:w="50"/>
              <w:left w:type="dxa" w:w="100"/>
              <w:bottom w:type="dxa" w:w="50"/>
              <w:right w:type="dxa" w:w="100"/>
            </w:tcMar>
          </w:tcPr>
          <w:p>
            <w:r>
              <w:rPr>
                <w:sz w:val="19"/>
                <w:szCs w:val="19"/>
              </w:rPr>
              <w:t xml:space="preserve">17 September 2026</w:t>
            </w:r>
          </w:p>
        </w:tc>
      </w:tr>
    </w:tbl>
    <w:p>
      <w:pPr>
        <w:spacing w:after="140" w:line="276"/>
      </w:pPr>
      <w:r>
        <w:rPr>
          <w:sz w:val="21"/>
          <w:szCs w:val="21"/>
        </w:rPr>
        <w:t xml:space="preserve"/>
      </w:r>
    </w:p>
    <w:p>
      <w:pPr>
        <w:pStyle w:val="Heading1"/>
        <w:pBdr>
          <w:bottom w:val="single" w:color="1F3864" w:sz="6"/>
        </w:pBdr>
        <w:spacing w:after="140" w:before="320"/>
      </w:pPr>
      <w:r>
        <w:rPr>
          <w:b/>
          <w:bCs/>
          <w:color w:val="1F3864"/>
          <w:sz w:val="27"/>
          <w:szCs w:val="27"/>
        </w:rPr>
        <w:t xml:space="preserve">1. Executive Summary</w:t>
      </w:r>
    </w:p>
    <w:p>
      <w:pPr>
        <w:spacing w:after="140" w:line="276"/>
      </w:pPr>
      <w:r>
        <w:rPr>
          <w:sz w:val="21"/>
          <w:szCs w:val="21"/>
        </w:rPr>
        <w:t xml:space="preserve">This memorandum analyzes two years of hourly Capital Bikeshare rental records to characterize demand patterns and to build models that explain and forecast hourly rental volume (count). Three tasks are addressed: (1) descriptive/exploratory analysis of temporal, weather, and user-type patterns; (2) inferential regression analysis of the drivers of demand and the statistical issues that arise; and (3) an out-of-sample forecasting exercise using a leakage-safe temporal train/test split (days 1–20 train, days 21–end test, within every month).</w:t>
      </w:r>
    </w:p>
    <w:p>
      <w:pPr>
        <w:spacing w:after="140" w:line="276"/>
      </w:pPr>
      <w:r>
        <w:rPr>
          <w:sz w:val="21"/>
          <w:szCs w:val="21"/>
        </w:rPr>
        <w:t xml:space="preserve">Key findings:</w:t>
      </w:r>
    </w:p>
    <w:p>
      <w:pPr>
        <w:pStyle w:val="ListParagraph"/>
        <w:numPr>
          <w:ilvl w:val="0"/>
          <w:numId w:val="1"/>
        </w:numPr>
        <w:spacing w:after="60" w:line="270"/>
      </w:pPr>
      <w:r>
        <w:rPr>
          <w:sz w:val="21"/>
          <w:szCs w:val="21"/>
        </w:rPr>
        <w:t xml:space="preserve">Demand is heavily right-skewed (mean 189 vs. median 142 rentals/hour) and is a count variable, not a continuous Gaussian one — ordinary least squares (OLS) is systematically misspecified, and Negative Binomial regression is preferred over Poisson due to severe overdispersion (deviance/df ≈ 117).</w:t>
      </w:r>
    </w:p>
    <w:p>
      <w:pPr>
        <w:pStyle w:val="ListParagraph"/>
        <w:numPr>
          <w:ilvl w:val="0"/>
          <w:numId w:val="1"/>
        </w:numPr>
        <w:spacing w:after="60" w:line="270"/>
      </w:pPr>
      <w:r>
        <w:rPr>
          <w:sz w:val="21"/>
          <w:szCs w:val="21"/>
        </w:rPr>
        <w:t xml:space="preserve">Registered users dominate volume (81.2% of rentals) and drive the commute-hour bimodal pattern (peaks at 08:00 and 17:00–18:00); casual users are more weekend- and leisure-oriented, peaking in the early-to-mid afternoon.</w:t>
      </w:r>
    </w:p>
    <w:p>
      <w:pPr>
        <w:pStyle w:val="ListParagraph"/>
        <w:numPr>
          <w:ilvl w:val="0"/>
          <w:numId w:val="1"/>
        </w:numPr>
        <w:spacing w:after="60" w:line="270"/>
      </w:pPr>
      <w:r>
        <w:rPr>
          <w:sz w:val="21"/>
          <w:szCs w:val="21"/>
        </w:rPr>
        <w:t xml:space="preserve">Temperature is the strongest single driver of demand (Pearson r with cnt is the largest among weather variables); humidity is negatively associated with demand; hour-of-day, season, and weather situation are all highly significant categorical drivers (ANOVA p &lt; 0.001).</w:t>
      </w:r>
    </w:p>
    <w:p>
      <w:pPr>
        <w:pStyle w:val="ListParagraph"/>
        <w:numPr>
          <w:ilvl w:val="0"/>
          <w:numId w:val="1"/>
        </w:numPr>
        <w:spacing w:after="60" w:line="270"/>
      </w:pPr>
      <w:r>
        <w:rPr>
          <w:sz w:val="21"/>
          <w:szCs w:val="21"/>
        </w:rPr>
        <w:t xml:space="preserve">For forecasting, gradient-boosted trees (XGBoost) sharply outperform the statistical Negative Binomial baseline (test RMSE ≈ 59–60 vs. 110.8; R² ≈ 0.89 vs. 0.63). A 168-hour (weekly) rolling-mean feature, computed strictly from information available before the forecast window, gives the best result (RMSE 59.52, R² 0.892), though the gain over the model with no lag features at all is modest — calendar and weather covariates already explain most of the variance.</w:t>
      </w:r>
    </w:p>
    <w:p>
      <w:pPr>
        <w:pStyle w:val="Heading1"/>
        <w:pBdr>
          <w:bottom w:val="single" w:color="1F3864" w:sz="6"/>
        </w:pBdr>
        <w:spacing w:after="140" w:before="320"/>
      </w:pPr>
      <w:r>
        <w:rPr>
          <w:b/>
          <w:bCs/>
          <w:color w:val="1F3864"/>
          <w:sz w:val="27"/>
          <w:szCs w:val="27"/>
        </w:rPr>
        <w:t xml:space="preserve">2. Task 1 — Descriptive Statistics &amp; Exploratory Analysis</w:t>
      </w:r>
    </w:p>
    <w:p>
      <w:pPr>
        <w:pStyle w:val="Heading2"/>
        <w:spacing w:after="100" w:before="240"/>
      </w:pPr>
      <w:r>
        <w:rPr>
          <w:b/>
          <w:bCs/>
          <w:color w:val="2E5395"/>
          <w:sz w:val="24"/>
          <w:szCs w:val="24"/>
        </w:rPr>
        <w:t xml:space="preserve">2.1 Data Quality &amp; Structure</w:t>
      </w:r>
    </w:p>
    <w:p>
      <w:pPr>
        <w:spacing w:after="140" w:line="276"/>
      </w:pPr>
      <w:r>
        <w:rPr>
          <w:sz w:val="21"/>
          <w:szCs w:val="21"/>
        </w:rPr>
        <w:t xml:space="preserve">The hourly dataset contains 17,379 records spanning 2011-01-01 to 2012-12-31 with 17 fields and no missing values or duplicate rows. All numeric weather covariates (temp, atemp, hum, windspeed) are pre-normalized to [0,1]. As a consistency check, casual + registered was verified to equal cnt for every one of the 17,379 rows, confirming the two components are exhaustive and additive.</w:t>
      </w:r>
    </w:p>
    <w:p>
      <w:pPr>
        <w:pStyle w:val="Heading2"/>
        <w:spacing w:after="100" w:before="240"/>
      </w:pPr>
      <w:r>
        <w:rPr>
          <w:b/>
          <w:bCs/>
          <w:color w:val="2E5395"/>
          <w:sz w:val="24"/>
          <w:szCs w:val="24"/>
        </w:rPr>
        <w:t xml:space="preserve">2.2 Distribution of Rental Demand</w:t>
      </w:r>
    </w:p>
    <w:p>
      <w:pPr>
        <w:spacing w:after="140" w:line="276"/>
      </w:pPr>
      <w:r>
        <w:rPr>
          <w:sz w:val="21"/>
          <w:szCs w:val="21"/>
        </w:rPr>
        <w:t xml:space="preserve">Hourly rental count (cnt) has mean 189.46, median 142, variance ≈ 32,901, and skewness 1.28 — a pronounced right skew consistent with a small number of very high-demand hours (rush hours, good-weather afternoons) alongside a large mass of low-demand overnight hours. A log(1+cnt) transform substantially symmetrizes the distribution, motivating the count-regression treatment used in Task 2.</w:t>
      </w:r>
    </w:p>
    <w:p>
      <w:pPr>
        <w:spacing w:before="12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220" w:before="60"/>
        <w:jc w:val="center"/>
      </w:pPr>
      <w:r>
        <w:rPr>
          <w:i/>
          <w:iCs/>
          <w:color w:val="595959"/>
          <w:sz w:val="18"/>
          <w:szCs w:val="18"/>
        </w:rPr>
        <w:t xml:space="preserve">Figure 1. Hourly rental demand — raw (left, right-skewed) vs. log-transformed (right).</w:t>
      </w:r>
    </w:p>
    <w:p>
      <w:pPr>
        <w:pStyle w:val="Heading2"/>
        <w:spacing w:after="100" w:before="240"/>
      </w:pPr>
      <w:r>
        <w:rPr>
          <w:b/>
          <w:bCs/>
          <w:color w:val="2E5395"/>
          <w:sz w:val="24"/>
          <w:szCs w:val="24"/>
        </w:rPr>
        <w:t xml:space="preserve">2.3 Casual vs. Registered Users</w:t>
      </w:r>
    </w:p>
    <w:p>
      <w:pPr>
        <w:spacing w:after="140" w:line="276"/>
      </w:pPr>
      <w:r>
        <w:rPr>
          <w:sz w:val="21"/>
          <w:szCs w:val="21"/>
        </w:rPr>
        <w:t xml:space="preserve">Across the full period, registered users account for 2,672,662 rentals (81.2%) versus 620,017 (18.8%) for casual users. The two groups follow markedly different temporal signatures: registered rentals show a sharp bimodal commuting pattern peaking near 08:00 and 17:00–18:00, while casual rentals rise gradually through the day and peak in the early afternoon (roughly 12:00–16:00), consistent with leisure/tourist usage.</w:t>
      </w:r>
    </w:p>
    <w:p>
      <w:pPr>
        <w:spacing w:before="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62125"/>
                    </a:xfrm>
                    <a:prstGeom prst="rect">
                      <a:avLst/>
                    </a:prstGeom>
                  </pic:spPr>
                </pic:pic>
              </a:graphicData>
            </a:graphic>
          </wp:inline>
        </w:drawing>
      </w:r>
    </w:p>
    <w:p>
      <w:pPr>
        <w:spacing w:after="220" w:before="60"/>
        <w:jc w:val="center"/>
      </w:pPr>
      <w:r>
        <w:rPr>
          <w:i/>
          <w:iCs/>
          <w:color w:val="595959"/>
          <w:sz w:val="18"/>
          <w:szCs w:val="18"/>
        </w:rPr>
        <w:t xml:space="preserve">Figure 2. Average hourly rentals by user type (left) and total rentals by user type (right).</w:t>
      </w:r>
    </w:p>
    <w:p>
      <w:pPr>
        <w:spacing w:after="140" w:line="276"/>
      </w:pPr>
      <w:r>
        <w:rPr>
          <w:sz w:val="21"/>
          <w:szCs w:val="21"/>
        </w:rPr>
        <w:t xml:space="preserve">This asymmetry is confirmed by working-day averages: average casual rentals fall from 57.4/hour on non-working days to 25.6/hour on working days, while registered rentals rise from 124.0/hour to 167.6/hour — a clear substitution between commute-driven and leisure-driven demand.</w:t>
      </w:r>
    </w:p>
    <w:p>
      <w:pPr>
        <w:pStyle w:val="Heading2"/>
        <w:spacing w:after="100" w:before="240"/>
      </w:pPr>
      <w:r>
        <w:rPr>
          <w:b/>
          <w:bCs/>
          <w:color w:val="2E5395"/>
          <w:sz w:val="24"/>
          <w:szCs w:val="24"/>
        </w:rPr>
        <w:t xml:space="preserve">2.4 Temporal Patterns</w:t>
      </w:r>
    </w:p>
    <w:p>
      <w:pPr>
        <w:spacing w:after="140" w:line="276"/>
      </w:pPr>
      <w:r>
        <w:rPr>
          <w:sz w:val="21"/>
          <w:szCs w:val="21"/>
        </w:rPr>
        <w:t xml:space="preserve">Hour-of-day is the single strongest categorical driver of demand in a one-way ANOVA (F = 759.1, p &lt; 0.001), followed by season (F = 409.2, p &lt; 0.001), month (F = 128.1, p &lt; 0.001), weather situation (F = 127.2, p &lt; 0.001) and weekday (F = 3.5, p = 0.0019 — a much weaker but still significant effect). Working vs. non-working days show visibly different hourly shapes (a single midday hump on weekends/holidays vs. the commute double-peak on working days), and demand is highest in fall/summer and lowest in winter/spring, tracking temperature.</w:t>
      </w:r>
    </w:p>
    <w:p>
      <w:pPr>
        <w:spacing w:before="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62125"/>
                    </a:xfrm>
                    <a:prstGeom prst="rect">
                      <a:avLst/>
                    </a:prstGeom>
                  </pic:spPr>
                </pic:pic>
              </a:graphicData>
            </a:graphic>
          </wp:inline>
        </w:drawing>
      </w:r>
    </w:p>
    <w:p>
      <w:pPr>
        <w:spacing w:after="220" w:before="60"/>
        <w:jc w:val="center"/>
      </w:pPr>
      <w:r>
        <w:rPr>
          <w:i/>
          <w:iCs/>
          <w:color w:val="595959"/>
          <w:sz w:val="18"/>
          <w:szCs w:val="18"/>
        </w:rPr>
        <w:t xml:space="preserve">Figure 3. Hourly demand by working-day status (left) and average demand by day of week (right).</w:t>
      </w:r>
    </w:p>
    <w:p>
      <w:pPr>
        <w:pStyle w:val="Heading2"/>
        <w:spacing w:after="100" w:before="240"/>
      </w:pPr>
      <w:r>
        <w:rPr>
          <w:b/>
          <w:bCs/>
          <w:color w:val="2E5395"/>
          <w:sz w:val="24"/>
          <w:szCs w:val="24"/>
        </w:rPr>
        <w:t xml:space="preserve">2.5 Weather Effects</w:t>
      </w:r>
    </w:p>
    <w:p>
      <w:pPr>
        <w:spacing w:after="140" w:line="276"/>
      </w:pPr>
      <w:r>
        <w:rPr>
          <w:sz w:val="21"/>
          <w:szCs w:val="21"/>
        </w:rPr>
        <w:t xml:space="preserve">Rental demand declines monotonically as weather worsens (clear → mist/cloudy → light precipitation → heavy precipitation), with the heavy-rain/snow category both rare and associated with the lowest median counts. Demand rises broadly with temperature up to a point before leveling off at the highest normalized values (consistent with the mild non-linearity discussed in Task 2), and is dispersed but negatively associated with humidity and, more weakly, with wind speed.</w:t>
      </w:r>
    </w:p>
    <w:p>
      <w:pPr>
        <w:spacing w:before="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62125"/>
                    </a:xfrm>
                    <a:prstGeom prst="rect">
                      <a:avLst/>
                    </a:prstGeom>
                  </pic:spPr>
                </pic:pic>
              </a:graphicData>
            </a:graphic>
          </wp:inline>
        </w:drawing>
      </w:r>
    </w:p>
    <w:p>
      <w:pPr>
        <w:spacing w:after="220" w:before="60"/>
        <w:jc w:val="center"/>
      </w:pPr>
      <w:r>
        <w:rPr>
          <w:i/>
          <w:iCs/>
          <w:color w:val="595959"/>
          <w:sz w:val="18"/>
          <w:szCs w:val="18"/>
        </w:rPr>
        <w:t xml:space="preserve">Figure 4. Rental demand by weather condition (left) and vs. normalized temperature (right).</w:t>
      </w:r>
    </w:p>
    <w:p>
      <w:pPr>
        <w:pStyle w:val="Heading1"/>
        <w:pBdr>
          <w:bottom w:val="single" w:color="1F3864" w:sz="6"/>
        </w:pBdr>
        <w:spacing w:after="140" w:before="320"/>
      </w:pPr>
      <w:r>
        <w:rPr>
          <w:b/>
          <w:bCs/>
          <w:color w:val="1F3864"/>
          <w:sz w:val="27"/>
          <w:szCs w:val="27"/>
        </w:rPr>
        <w:t xml:space="preserve">3. Task 2 — Statistical &amp; Regression Analysis</w:t>
      </w:r>
    </w:p>
    <w:p>
      <w:pPr>
        <w:pStyle w:val="Heading2"/>
        <w:spacing w:after="100" w:before="240"/>
      </w:pPr>
      <w:r>
        <w:rPr>
          <w:b/>
          <w:bCs/>
          <w:color w:val="2E5395"/>
          <w:sz w:val="24"/>
          <w:szCs w:val="24"/>
        </w:rPr>
        <w:t xml:space="preserve">3.1 Variable Screening: Correlation and Multicollinearity</w:t>
      </w:r>
    </w:p>
    <w:p>
      <w:pPr>
        <w:spacing w:after="140" w:line="276"/>
      </w:pPr>
      <w:r>
        <w:rPr>
          <w:sz w:val="21"/>
          <w:szCs w:val="21"/>
        </w:rPr>
        <w:t xml:space="preserve">Pearson and Spearman correlations among the continuous predictors (temp, atemp, hum, windspeed) and cnt were used as a screening step, alongside variance inflation factors (VIF) to check multicollinearity before model specification. As expected, temp and atemp are extremely highly correlated (near-collinear, since 'feels-like' temperature is derived from temperature); only one of the two is retained in the regression models to avoid redundancy. Humidity and wind speed carry acceptable VIFs and were retained alongside temperature.</w:t>
      </w:r>
    </w:p>
    <w:p>
      <w:pPr>
        <w:spacing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90700"/>
                    </a:xfrm>
                    <a:prstGeom prst="rect">
                      <a:avLst/>
                    </a:prstGeom>
                  </pic:spPr>
                </pic:pic>
              </a:graphicData>
            </a:graphic>
          </wp:inline>
        </w:drawing>
      </w:r>
    </w:p>
    <w:p>
      <w:pPr>
        <w:spacing w:after="220" w:before="60"/>
        <w:jc w:val="center"/>
      </w:pPr>
      <w:r>
        <w:rPr>
          <w:i/>
          <w:iCs/>
          <w:color w:val="595959"/>
          <w:sz w:val="18"/>
          <w:szCs w:val="18"/>
        </w:rPr>
        <w:t xml:space="preserve">Figure 5. Pearson (left) and Spearman (center) correlation heatmaps, and VIF diagnostics (right).</w:t>
      </w:r>
    </w:p>
    <w:p>
      <w:pPr>
        <w:pStyle w:val="Heading2"/>
        <w:spacing w:after="100" w:before="240"/>
      </w:pPr>
      <w:r>
        <w:rPr>
          <w:b/>
          <w:bCs/>
          <w:color w:val="2E5395"/>
          <w:sz w:val="24"/>
          <w:szCs w:val="24"/>
        </w:rPr>
        <w:t xml:space="preserve">3.2 Categorical Drivers (ANOVA)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Variable</w:t>
            </w:r>
          </w:p>
        </w:tc>
        <w:tc>
          <w:tcPr>
            <w:tcW w:type="dxa" w:w="2900"/>
            <w:shd w:fill="1F3864" w:val="clear"/>
            <w:tcMar>
              <w:top w:type="dxa" w:w="60"/>
              <w:left w:type="dxa" w:w="100"/>
              <w:bottom w:type="dxa" w:w="60"/>
              <w:right w:type="dxa" w:w="100"/>
            </w:tcMar>
          </w:tcPr>
          <w:p>
            <w:r>
              <w:rPr>
                <w:b/>
                <w:bCs/>
                <w:color w:val="FFFFFF"/>
                <w:sz w:val="19"/>
                <w:szCs w:val="19"/>
              </w:rPr>
              <w:t xml:space="preserve">ANOVA F</w:t>
            </w:r>
          </w:p>
        </w:tc>
        <w:tc>
          <w:tcPr>
            <w:tcW w:type="dxa" w:w="3260"/>
            <w:shd w:fill="1F3864" w:val="clear"/>
            <w:tcMar>
              <w:top w:type="dxa" w:w="60"/>
              <w:left w:type="dxa" w:w="100"/>
              <w:bottom w:type="dxa" w:w="60"/>
              <w:right w:type="dxa" w:w="100"/>
            </w:tcMar>
          </w:tcPr>
          <w:p>
            <w:r>
              <w:rPr>
                <w:b/>
                <w:bCs/>
                <w:color w:val="FFFFFF"/>
                <w:sz w:val="19"/>
                <w:szCs w:val="19"/>
              </w:rPr>
              <w:t xml:space="preserve">p-value</w:t>
            </w:r>
          </w:p>
        </w:tc>
      </w:tr>
      <w:tr>
        <w:tc>
          <w:tcPr>
            <w:tcW w:type="dxa" w:w="3200"/>
            <w:shd w:fill="FFFFFF" w:val="clear"/>
            <w:tcMar>
              <w:top w:type="dxa" w:w="50"/>
              <w:left w:type="dxa" w:w="100"/>
              <w:bottom w:type="dxa" w:w="50"/>
              <w:right w:type="dxa" w:w="100"/>
            </w:tcMar>
          </w:tcPr>
          <w:p>
            <w:r>
              <w:rPr>
                <w:sz w:val="19"/>
                <w:szCs w:val="19"/>
              </w:rPr>
              <w:t xml:space="preserve">Hour of Day</w:t>
            </w:r>
          </w:p>
        </w:tc>
        <w:tc>
          <w:tcPr>
            <w:tcW w:type="dxa" w:w="2900"/>
            <w:shd w:fill="FFFFFF" w:val="clear"/>
            <w:tcMar>
              <w:top w:type="dxa" w:w="50"/>
              <w:left w:type="dxa" w:w="100"/>
              <w:bottom w:type="dxa" w:w="50"/>
              <w:right w:type="dxa" w:w="100"/>
            </w:tcMar>
          </w:tcPr>
          <w:p>
            <w:r>
              <w:rPr>
                <w:sz w:val="19"/>
                <w:szCs w:val="19"/>
              </w:rPr>
              <w:t xml:space="preserve">759.09</w:t>
            </w:r>
          </w:p>
        </w:tc>
        <w:tc>
          <w:tcPr>
            <w:tcW w:type="dxa" w:w="3260"/>
            <w:shd w:fill="FFFFFF" w:val="clear"/>
            <w:tcMar>
              <w:top w:type="dxa" w:w="50"/>
              <w:left w:type="dxa" w:w="100"/>
              <w:bottom w:type="dxa" w:w="50"/>
              <w:right w:type="dxa" w:w="100"/>
            </w:tcMar>
          </w:tcPr>
          <w:p>
            <w:r>
              <w:rPr>
                <w:sz w:val="19"/>
                <w:szCs w:val="19"/>
              </w:rPr>
              <w:t xml:space="preserve">&lt; 0.001</w:t>
            </w:r>
          </w:p>
        </w:tc>
      </w:tr>
      <w:tr>
        <w:tc>
          <w:tcPr>
            <w:tcW w:type="dxa" w:w="3200"/>
            <w:shd w:fill="EEF2F8" w:val="clear"/>
            <w:tcMar>
              <w:top w:type="dxa" w:w="50"/>
              <w:left w:type="dxa" w:w="100"/>
              <w:bottom w:type="dxa" w:w="50"/>
              <w:right w:type="dxa" w:w="100"/>
            </w:tcMar>
          </w:tcPr>
          <w:p>
            <w:r>
              <w:rPr>
                <w:sz w:val="19"/>
                <w:szCs w:val="19"/>
              </w:rPr>
              <w:t xml:space="preserve">Weekday</w:t>
            </w:r>
          </w:p>
        </w:tc>
        <w:tc>
          <w:tcPr>
            <w:tcW w:type="dxa" w:w="2900"/>
            <w:shd w:fill="EEF2F8" w:val="clear"/>
            <w:tcMar>
              <w:top w:type="dxa" w:w="50"/>
              <w:left w:type="dxa" w:w="100"/>
              <w:bottom w:type="dxa" w:w="50"/>
              <w:right w:type="dxa" w:w="100"/>
            </w:tcMar>
          </w:tcPr>
          <w:p>
            <w:r>
              <w:rPr>
                <w:sz w:val="19"/>
                <w:szCs w:val="19"/>
              </w:rPr>
              <w:t xml:space="preserve">3.49</w:t>
            </w:r>
          </w:p>
        </w:tc>
        <w:tc>
          <w:tcPr>
            <w:tcW w:type="dxa" w:w="3260"/>
            <w:shd w:fill="EEF2F8" w:val="clear"/>
            <w:tcMar>
              <w:top w:type="dxa" w:w="50"/>
              <w:left w:type="dxa" w:w="100"/>
              <w:bottom w:type="dxa" w:w="50"/>
              <w:right w:type="dxa" w:w="100"/>
            </w:tcMar>
          </w:tcPr>
          <w:p>
            <w:r>
              <w:rPr>
                <w:sz w:val="19"/>
                <w:szCs w:val="19"/>
              </w:rPr>
              <w:t xml:space="preserve">0.0019</w:t>
            </w:r>
          </w:p>
        </w:tc>
      </w:tr>
      <w:tr>
        <w:tc>
          <w:tcPr>
            <w:tcW w:type="dxa" w:w="3200"/>
            <w:shd w:fill="FFFFFF" w:val="clear"/>
            <w:tcMar>
              <w:top w:type="dxa" w:w="50"/>
              <w:left w:type="dxa" w:w="100"/>
              <w:bottom w:type="dxa" w:w="50"/>
              <w:right w:type="dxa" w:w="100"/>
            </w:tcMar>
          </w:tcPr>
          <w:p>
            <w:r>
              <w:rPr>
                <w:sz w:val="19"/>
                <w:szCs w:val="19"/>
              </w:rPr>
              <w:t xml:space="preserve">Month</w:t>
            </w:r>
          </w:p>
        </w:tc>
        <w:tc>
          <w:tcPr>
            <w:tcW w:type="dxa" w:w="2900"/>
            <w:shd w:fill="FFFFFF" w:val="clear"/>
            <w:tcMar>
              <w:top w:type="dxa" w:w="50"/>
              <w:left w:type="dxa" w:w="100"/>
              <w:bottom w:type="dxa" w:w="50"/>
              <w:right w:type="dxa" w:w="100"/>
            </w:tcMar>
          </w:tcPr>
          <w:p>
            <w:r>
              <w:rPr>
                <w:sz w:val="19"/>
                <w:szCs w:val="19"/>
              </w:rPr>
              <w:t xml:space="preserve">128.10</w:t>
            </w:r>
          </w:p>
        </w:tc>
        <w:tc>
          <w:tcPr>
            <w:tcW w:type="dxa" w:w="3260"/>
            <w:shd w:fill="FFFFFF" w:val="clear"/>
            <w:tcMar>
              <w:top w:type="dxa" w:w="50"/>
              <w:left w:type="dxa" w:w="100"/>
              <w:bottom w:type="dxa" w:w="50"/>
              <w:right w:type="dxa" w:w="100"/>
            </w:tcMar>
          </w:tcPr>
          <w:p>
            <w:r>
              <w:rPr>
                <w:sz w:val="19"/>
                <w:szCs w:val="19"/>
              </w:rPr>
              <w:t xml:space="preserve">&lt; 0.001</w:t>
            </w:r>
          </w:p>
        </w:tc>
      </w:tr>
      <w:tr>
        <w:tc>
          <w:tcPr>
            <w:tcW w:type="dxa" w:w="3200"/>
            <w:shd w:fill="EEF2F8" w:val="clear"/>
            <w:tcMar>
              <w:top w:type="dxa" w:w="50"/>
              <w:left w:type="dxa" w:w="100"/>
              <w:bottom w:type="dxa" w:w="50"/>
              <w:right w:type="dxa" w:w="100"/>
            </w:tcMar>
          </w:tcPr>
          <w:p>
            <w:r>
              <w:rPr>
                <w:sz w:val="19"/>
                <w:szCs w:val="19"/>
              </w:rPr>
              <w:t xml:space="preserve">Season</w:t>
            </w:r>
          </w:p>
        </w:tc>
        <w:tc>
          <w:tcPr>
            <w:tcW w:type="dxa" w:w="2900"/>
            <w:shd w:fill="EEF2F8" w:val="clear"/>
            <w:tcMar>
              <w:top w:type="dxa" w:w="50"/>
              <w:left w:type="dxa" w:w="100"/>
              <w:bottom w:type="dxa" w:w="50"/>
              <w:right w:type="dxa" w:w="100"/>
            </w:tcMar>
          </w:tcPr>
          <w:p>
            <w:r>
              <w:rPr>
                <w:sz w:val="19"/>
                <w:szCs w:val="19"/>
              </w:rPr>
              <w:t xml:space="preserve">409.18</w:t>
            </w:r>
          </w:p>
        </w:tc>
        <w:tc>
          <w:tcPr>
            <w:tcW w:type="dxa" w:w="3260"/>
            <w:shd w:fill="EEF2F8" w:val="clear"/>
            <w:tcMar>
              <w:top w:type="dxa" w:w="50"/>
              <w:left w:type="dxa" w:w="100"/>
              <w:bottom w:type="dxa" w:w="50"/>
              <w:right w:type="dxa" w:w="100"/>
            </w:tcMar>
          </w:tcPr>
          <w:p>
            <w:r>
              <w:rPr>
                <w:sz w:val="19"/>
                <w:szCs w:val="19"/>
              </w:rPr>
              <w:t xml:space="preserve">&lt; 0.001</w:t>
            </w:r>
          </w:p>
        </w:tc>
      </w:tr>
      <w:tr>
        <w:tc>
          <w:tcPr>
            <w:tcW w:type="dxa" w:w="3200"/>
            <w:shd w:fill="FFFFFF" w:val="clear"/>
            <w:tcMar>
              <w:top w:type="dxa" w:w="50"/>
              <w:left w:type="dxa" w:w="100"/>
              <w:bottom w:type="dxa" w:w="50"/>
              <w:right w:type="dxa" w:w="100"/>
            </w:tcMar>
          </w:tcPr>
          <w:p>
            <w:r>
              <w:rPr>
                <w:sz w:val="19"/>
                <w:szCs w:val="19"/>
              </w:rPr>
              <w:t xml:space="preserve">Weather Situation</w:t>
            </w:r>
          </w:p>
        </w:tc>
        <w:tc>
          <w:tcPr>
            <w:tcW w:type="dxa" w:w="2900"/>
            <w:shd w:fill="FFFFFF" w:val="clear"/>
            <w:tcMar>
              <w:top w:type="dxa" w:w="50"/>
              <w:left w:type="dxa" w:w="100"/>
              <w:bottom w:type="dxa" w:w="50"/>
              <w:right w:type="dxa" w:w="100"/>
            </w:tcMar>
          </w:tcPr>
          <w:p>
            <w:r>
              <w:rPr>
                <w:sz w:val="19"/>
                <w:szCs w:val="19"/>
              </w:rPr>
              <w:t xml:space="preserve">127.17</w:t>
            </w:r>
          </w:p>
        </w:tc>
        <w:tc>
          <w:tcPr>
            <w:tcW w:type="dxa" w:w="3260"/>
            <w:shd w:fill="FFFFFF" w:val="clear"/>
            <w:tcMar>
              <w:top w:type="dxa" w:w="50"/>
              <w:left w:type="dxa" w:w="100"/>
              <w:bottom w:type="dxa" w:w="50"/>
              <w:right w:type="dxa" w:w="100"/>
            </w:tcMar>
          </w:tcPr>
          <w:p>
            <w:r>
              <w:rPr>
                <w:sz w:val="19"/>
                <w:szCs w:val="19"/>
              </w:rPr>
              <w:t xml:space="preserve">&lt; 0.001</w:t>
            </w:r>
          </w:p>
        </w:tc>
      </w:tr>
    </w:tbl>
    <w:p>
      <w:pPr>
        <w:spacing w:after="140" w:line="276"/>
      </w:pPr>
      <w:r>
        <w:rPr>
          <w:sz w:val="21"/>
          <w:szCs w:val="21"/>
        </w:rPr>
        <w:t xml:space="preserve"/>
      </w:r>
    </w:p>
    <w:p>
      <w:pPr>
        <w:pStyle w:val="Heading2"/>
        <w:spacing w:after="100" w:before="240"/>
      </w:pPr>
      <w:r>
        <w:rPr>
          <w:b/>
          <w:bCs/>
          <w:color w:val="2E5395"/>
          <w:sz w:val="24"/>
          <w:szCs w:val="24"/>
        </w:rPr>
        <w:t xml:space="preserve">3.3 Non-Linearity Check</w:t>
      </w:r>
    </w:p>
    <w:p>
      <w:pPr>
        <w:spacing w:after="140" w:line="276"/>
      </w:pPr>
      <w:r>
        <w:rPr>
          <w:sz w:val="21"/>
          <w:szCs w:val="21"/>
        </w:rPr>
        <w:t xml:space="preserve">Binning each continuous predictor into decile groups and comparing linear vs. quadratic OLS fits shows mild but real non-linearity, most notably for temperature and humidity: adding a quadratic term improves AIC for all three variables, with the largest relative gain for wind speed and the largest absolute R² improvement remaining modest overall — the dominant relationship is monotone rather than strongly curved.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660"/>
      </w:tblGrid>
      <w:tr>
        <w:trPr>
          <w:tblHeader/>
        </w:trPr>
        <w:tc>
          <w:tcPr>
            <w:tcW w:type="dxa" w:w="2000"/>
            <w:shd w:fill="1F3864" w:val="clear"/>
            <w:tcMar>
              <w:top w:type="dxa" w:w="60"/>
              <w:left w:type="dxa" w:w="100"/>
              <w:bottom w:type="dxa" w:w="60"/>
              <w:right w:type="dxa" w:w="100"/>
            </w:tcMar>
          </w:tcPr>
          <w:p>
            <w:r>
              <w:rPr>
                <w:b/>
                <w:bCs/>
                <w:color w:val="FFFFFF"/>
                <w:sz w:val="19"/>
                <w:szCs w:val="19"/>
              </w:rPr>
              <w:t xml:space="preserve">Variable</w:t>
            </w:r>
          </w:p>
        </w:tc>
        <w:tc>
          <w:tcPr>
            <w:tcW w:type="dxa" w:w="1900"/>
            <w:shd w:fill="1F3864" w:val="clear"/>
            <w:tcMar>
              <w:top w:type="dxa" w:w="60"/>
              <w:left w:type="dxa" w:w="100"/>
              <w:bottom w:type="dxa" w:w="60"/>
              <w:right w:type="dxa" w:w="100"/>
            </w:tcMar>
          </w:tcPr>
          <w:p>
            <w:r>
              <w:rPr>
                <w:b/>
                <w:bCs/>
                <w:color w:val="FFFFFF"/>
                <w:sz w:val="19"/>
                <w:szCs w:val="19"/>
              </w:rPr>
              <w:t xml:space="preserve">Linear R²</w:t>
            </w:r>
          </w:p>
        </w:tc>
        <w:tc>
          <w:tcPr>
            <w:tcW w:type="dxa" w:w="1900"/>
            <w:shd w:fill="1F3864" w:val="clear"/>
            <w:tcMar>
              <w:top w:type="dxa" w:w="60"/>
              <w:left w:type="dxa" w:w="100"/>
              <w:bottom w:type="dxa" w:w="60"/>
              <w:right w:type="dxa" w:w="100"/>
            </w:tcMar>
          </w:tcPr>
          <w:p>
            <w:r>
              <w:rPr>
                <w:b/>
                <w:bCs/>
                <w:color w:val="FFFFFF"/>
                <w:sz w:val="19"/>
                <w:szCs w:val="19"/>
              </w:rPr>
              <w:t xml:space="preserve">Quadratic R²</w:t>
            </w:r>
          </w:p>
        </w:tc>
        <w:tc>
          <w:tcPr>
            <w:tcW w:type="dxa" w:w="1900"/>
            <w:shd w:fill="1F3864" w:val="clear"/>
            <w:tcMar>
              <w:top w:type="dxa" w:w="60"/>
              <w:left w:type="dxa" w:w="100"/>
              <w:bottom w:type="dxa" w:w="60"/>
              <w:right w:type="dxa" w:w="100"/>
            </w:tcMar>
          </w:tcPr>
          <w:p>
            <w:r>
              <w:rPr>
                <w:b/>
                <w:bCs/>
                <w:color w:val="FFFFFF"/>
                <w:sz w:val="19"/>
                <w:szCs w:val="19"/>
              </w:rPr>
              <w:t xml:space="preserve">Linear AIC</w:t>
            </w:r>
          </w:p>
        </w:tc>
        <w:tc>
          <w:tcPr>
            <w:tcW w:type="dxa" w:w="1660"/>
            <w:shd w:fill="1F3864" w:val="clear"/>
            <w:tcMar>
              <w:top w:type="dxa" w:w="60"/>
              <w:left w:type="dxa" w:w="100"/>
              <w:bottom w:type="dxa" w:w="60"/>
              <w:right w:type="dxa" w:w="100"/>
            </w:tcMar>
          </w:tcPr>
          <w:p>
            <w:r>
              <w:rPr>
                <w:b/>
                <w:bCs/>
                <w:color w:val="FFFFFF"/>
                <w:sz w:val="19"/>
                <w:szCs w:val="19"/>
              </w:rPr>
              <w:t xml:space="preserve">Quadratic AIC</w:t>
            </w:r>
          </w:p>
        </w:tc>
      </w:tr>
      <w:tr>
        <w:tc>
          <w:tcPr>
            <w:tcW w:type="dxa" w:w="2000"/>
            <w:shd w:fill="FFFFFF" w:val="clear"/>
            <w:tcMar>
              <w:top w:type="dxa" w:w="50"/>
              <w:left w:type="dxa" w:w="100"/>
              <w:bottom w:type="dxa" w:w="50"/>
              <w:right w:type="dxa" w:w="100"/>
            </w:tcMar>
          </w:tcPr>
          <w:p>
            <w:r>
              <w:rPr>
                <w:sz w:val="19"/>
                <w:szCs w:val="19"/>
              </w:rPr>
              <w:t xml:space="preserve">temp</w:t>
            </w:r>
          </w:p>
        </w:tc>
        <w:tc>
          <w:tcPr>
            <w:tcW w:type="dxa" w:w="1900"/>
            <w:shd w:fill="FFFFFF" w:val="clear"/>
            <w:tcMar>
              <w:top w:type="dxa" w:w="50"/>
              <w:left w:type="dxa" w:w="100"/>
              <w:bottom w:type="dxa" w:w="50"/>
              <w:right w:type="dxa" w:w="100"/>
            </w:tcMar>
          </w:tcPr>
          <w:p>
            <w:r>
              <w:rPr>
                <w:sz w:val="19"/>
                <w:szCs w:val="19"/>
              </w:rPr>
              <w:t xml:space="preserve">0.1638</w:t>
            </w:r>
          </w:p>
        </w:tc>
        <w:tc>
          <w:tcPr>
            <w:tcW w:type="dxa" w:w="1900"/>
            <w:shd w:fill="FFFFFF" w:val="clear"/>
            <w:tcMar>
              <w:top w:type="dxa" w:w="50"/>
              <w:left w:type="dxa" w:w="100"/>
              <w:bottom w:type="dxa" w:w="50"/>
              <w:right w:type="dxa" w:w="100"/>
            </w:tcMar>
          </w:tcPr>
          <w:p>
            <w:r>
              <w:rPr>
                <w:sz w:val="19"/>
                <w:szCs w:val="19"/>
              </w:rPr>
              <w:t xml:space="preserve">0.1640</w:t>
            </w:r>
          </w:p>
        </w:tc>
        <w:tc>
          <w:tcPr>
            <w:tcW w:type="dxa" w:w="1900"/>
            <w:shd w:fill="FFFFFF" w:val="clear"/>
            <w:tcMar>
              <w:top w:type="dxa" w:w="50"/>
              <w:left w:type="dxa" w:w="100"/>
              <w:bottom w:type="dxa" w:w="50"/>
              <w:right w:type="dxa" w:w="100"/>
            </w:tcMar>
          </w:tcPr>
          <w:p>
            <w:r>
              <w:rPr>
                <w:sz w:val="19"/>
                <w:szCs w:val="19"/>
              </w:rPr>
              <w:t xml:space="preserve">226,976.45</w:t>
            </w:r>
          </w:p>
        </w:tc>
        <w:tc>
          <w:tcPr>
            <w:tcW w:type="dxa" w:w="1660"/>
            <w:shd w:fill="FFFFFF" w:val="clear"/>
            <w:tcMar>
              <w:top w:type="dxa" w:w="50"/>
              <w:left w:type="dxa" w:w="100"/>
              <w:bottom w:type="dxa" w:w="50"/>
              <w:right w:type="dxa" w:w="100"/>
            </w:tcMar>
          </w:tcPr>
          <w:p>
            <w:r>
              <w:rPr>
                <w:sz w:val="19"/>
                <w:szCs w:val="19"/>
              </w:rPr>
              <w:t xml:space="preserve">226,974.74</w:t>
            </w:r>
          </w:p>
        </w:tc>
      </w:tr>
      <w:tr>
        <w:tc>
          <w:tcPr>
            <w:tcW w:type="dxa" w:w="2000"/>
            <w:shd w:fill="EEF2F8" w:val="clear"/>
            <w:tcMar>
              <w:top w:type="dxa" w:w="50"/>
              <w:left w:type="dxa" w:w="100"/>
              <w:bottom w:type="dxa" w:w="50"/>
              <w:right w:type="dxa" w:w="100"/>
            </w:tcMar>
          </w:tcPr>
          <w:p>
            <w:r>
              <w:rPr>
                <w:sz w:val="19"/>
                <w:szCs w:val="19"/>
              </w:rPr>
              <w:t xml:space="preserve">hum</w:t>
            </w:r>
          </w:p>
        </w:tc>
        <w:tc>
          <w:tcPr>
            <w:tcW w:type="dxa" w:w="1900"/>
            <w:shd w:fill="EEF2F8" w:val="clear"/>
            <w:tcMar>
              <w:top w:type="dxa" w:w="50"/>
              <w:left w:type="dxa" w:w="100"/>
              <w:bottom w:type="dxa" w:w="50"/>
              <w:right w:type="dxa" w:w="100"/>
            </w:tcMar>
          </w:tcPr>
          <w:p>
            <w:r>
              <w:rPr>
                <w:sz w:val="19"/>
                <w:szCs w:val="19"/>
              </w:rPr>
              <w:t xml:space="preserve">0.1043</w:t>
            </w:r>
          </w:p>
        </w:tc>
        <w:tc>
          <w:tcPr>
            <w:tcW w:type="dxa" w:w="1900"/>
            <w:shd w:fill="EEF2F8" w:val="clear"/>
            <w:tcMar>
              <w:top w:type="dxa" w:w="50"/>
              <w:left w:type="dxa" w:w="100"/>
              <w:bottom w:type="dxa" w:w="50"/>
              <w:right w:type="dxa" w:w="100"/>
            </w:tcMar>
          </w:tcPr>
          <w:p>
            <w:r>
              <w:rPr>
                <w:sz w:val="19"/>
                <w:szCs w:val="19"/>
              </w:rPr>
              <w:t xml:space="preserve">0.1054</w:t>
            </w:r>
          </w:p>
        </w:tc>
        <w:tc>
          <w:tcPr>
            <w:tcW w:type="dxa" w:w="1900"/>
            <w:shd w:fill="EEF2F8" w:val="clear"/>
            <w:tcMar>
              <w:top w:type="dxa" w:w="50"/>
              <w:left w:type="dxa" w:w="100"/>
              <w:bottom w:type="dxa" w:w="50"/>
              <w:right w:type="dxa" w:w="100"/>
            </w:tcMar>
          </w:tcPr>
          <w:p>
            <w:r>
              <w:rPr>
                <w:sz w:val="19"/>
                <w:szCs w:val="19"/>
              </w:rPr>
              <w:t xml:space="preserve">228,172.44</w:t>
            </w:r>
          </w:p>
        </w:tc>
        <w:tc>
          <w:tcPr>
            <w:tcW w:type="dxa" w:w="1660"/>
            <w:shd w:fill="EEF2F8" w:val="clear"/>
            <w:tcMar>
              <w:top w:type="dxa" w:w="50"/>
              <w:left w:type="dxa" w:w="100"/>
              <w:bottom w:type="dxa" w:w="50"/>
              <w:right w:type="dxa" w:w="100"/>
            </w:tcMar>
          </w:tcPr>
          <w:p>
            <w:r>
              <w:rPr>
                <w:sz w:val="19"/>
                <w:szCs w:val="19"/>
              </w:rPr>
              <w:t xml:space="preserve">228,152.01</w:t>
            </w:r>
          </w:p>
        </w:tc>
      </w:tr>
      <w:tr>
        <w:tc>
          <w:tcPr>
            <w:tcW w:type="dxa" w:w="2000"/>
            <w:shd w:fill="FFFFFF" w:val="clear"/>
            <w:tcMar>
              <w:top w:type="dxa" w:w="50"/>
              <w:left w:type="dxa" w:w="100"/>
              <w:bottom w:type="dxa" w:w="50"/>
              <w:right w:type="dxa" w:w="100"/>
            </w:tcMar>
          </w:tcPr>
          <w:p>
            <w:r>
              <w:rPr>
                <w:sz w:val="19"/>
                <w:szCs w:val="19"/>
              </w:rPr>
              <w:t xml:space="preserve">windspeed</w:t>
            </w:r>
          </w:p>
        </w:tc>
        <w:tc>
          <w:tcPr>
            <w:tcW w:type="dxa" w:w="1900"/>
            <w:shd w:fill="FFFFFF" w:val="clear"/>
            <w:tcMar>
              <w:top w:type="dxa" w:w="50"/>
              <w:left w:type="dxa" w:w="100"/>
              <w:bottom w:type="dxa" w:w="50"/>
              <w:right w:type="dxa" w:w="100"/>
            </w:tcMar>
          </w:tcPr>
          <w:p>
            <w:r>
              <w:rPr>
                <w:sz w:val="19"/>
                <w:szCs w:val="19"/>
              </w:rPr>
              <w:t xml:space="preserve">0.0087</w:t>
            </w:r>
          </w:p>
        </w:tc>
        <w:tc>
          <w:tcPr>
            <w:tcW w:type="dxa" w:w="1900"/>
            <w:shd w:fill="FFFFFF" w:val="clear"/>
            <w:tcMar>
              <w:top w:type="dxa" w:w="50"/>
              <w:left w:type="dxa" w:w="100"/>
              <w:bottom w:type="dxa" w:w="50"/>
              <w:right w:type="dxa" w:w="100"/>
            </w:tcMar>
          </w:tcPr>
          <w:p>
            <w:r>
              <w:rPr>
                <w:sz w:val="19"/>
                <w:szCs w:val="19"/>
              </w:rPr>
              <w:t xml:space="preserve">0.0122</w:t>
            </w:r>
          </w:p>
        </w:tc>
        <w:tc>
          <w:tcPr>
            <w:tcW w:type="dxa" w:w="1900"/>
            <w:shd w:fill="FFFFFF" w:val="clear"/>
            <w:tcMar>
              <w:top w:type="dxa" w:w="50"/>
              <w:left w:type="dxa" w:w="100"/>
              <w:bottom w:type="dxa" w:w="50"/>
              <w:right w:type="dxa" w:w="100"/>
            </w:tcMar>
          </w:tcPr>
          <w:p>
            <w:r>
              <w:rPr>
                <w:sz w:val="19"/>
                <w:szCs w:val="19"/>
              </w:rPr>
              <w:t xml:space="preserve">229,934.45</w:t>
            </w:r>
          </w:p>
        </w:tc>
        <w:tc>
          <w:tcPr>
            <w:tcW w:type="dxa" w:w="1660"/>
            <w:shd w:fill="FFFFFF" w:val="clear"/>
            <w:tcMar>
              <w:top w:type="dxa" w:w="50"/>
              <w:left w:type="dxa" w:w="100"/>
              <w:bottom w:type="dxa" w:w="50"/>
              <w:right w:type="dxa" w:w="100"/>
            </w:tcMar>
          </w:tcPr>
          <w:p>
            <w:r>
              <w:rPr>
                <w:sz w:val="19"/>
                <w:szCs w:val="19"/>
              </w:rPr>
              <w:t xml:space="preserve">229,875.31</w:t>
            </w:r>
          </w:p>
        </w:tc>
      </w:tr>
    </w:tbl>
    <w:p>
      <w:pPr>
        <w:spacing w:after="140" w:line="276"/>
      </w:pPr>
      <w:r>
        <w:rPr>
          <w:sz w:val="21"/>
          <w:szCs w:val="21"/>
        </w:rPr>
        <w:t xml:space="preserve"/>
      </w:r>
    </w:p>
    <w:p>
      <w:pPr>
        <w:spacing w:before="120"/>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85925"/>
                    </a:xfrm>
                    <a:prstGeom prst="rect">
                      <a:avLst/>
                    </a:prstGeom>
                  </pic:spPr>
                </pic:pic>
              </a:graphicData>
            </a:graphic>
          </wp:inline>
        </w:drawing>
      </w:r>
    </w:p>
    <w:p>
      <w:pPr>
        <w:spacing w:after="220" w:before="60"/>
        <w:jc w:val="center"/>
      </w:pPr>
      <w:r>
        <w:rPr>
          <w:i/>
          <w:iCs/>
          <w:color w:val="595959"/>
          <w:sz w:val="18"/>
          <w:szCs w:val="18"/>
        </w:rPr>
        <w:t xml:space="preserve">Figure 6. Mean rental count across decile bins of temperature, humidity, and wind speed.</w:t>
      </w:r>
    </w:p>
    <w:p>
      <w:pPr>
        <w:pStyle w:val="Heading2"/>
        <w:spacing w:after="100" w:before="240"/>
      </w:pPr>
      <w:r>
        <w:rPr>
          <w:b/>
          <w:bCs/>
          <w:color w:val="2E5395"/>
          <w:sz w:val="24"/>
          <w:szCs w:val="24"/>
        </w:rPr>
        <w:t xml:space="preserve">3.4 Binary Predictors (Welch's t-test)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580"/>
        <w:gridCol w:w="178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Variable</w:t>
            </w:r>
          </w:p>
        </w:tc>
        <w:tc>
          <w:tcPr>
            <w:tcW w:type="dxa" w:w="2400"/>
            <w:shd w:fill="1F3864" w:val="clear"/>
            <w:tcMar>
              <w:top w:type="dxa" w:w="60"/>
              <w:left w:type="dxa" w:w="100"/>
              <w:bottom w:type="dxa" w:w="60"/>
              <w:right w:type="dxa" w:w="100"/>
            </w:tcMar>
          </w:tcPr>
          <w:p>
            <w:r>
              <w:rPr>
                <w:b/>
                <w:bCs/>
                <w:color w:val="FFFFFF"/>
                <w:sz w:val="19"/>
                <w:szCs w:val="19"/>
              </w:rPr>
              <w:t xml:space="preserve">Group 1</w:t>
            </w:r>
          </w:p>
        </w:tc>
        <w:tc>
          <w:tcPr>
            <w:tcW w:type="dxa" w:w="2400"/>
            <w:shd w:fill="1F3864" w:val="clear"/>
            <w:tcMar>
              <w:top w:type="dxa" w:w="60"/>
              <w:left w:type="dxa" w:w="100"/>
              <w:bottom w:type="dxa" w:w="60"/>
              <w:right w:type="dxa" w:w="100"/>
            </w:tcMar>
          </w:tcPr>
          <w:p>
            <w:r>
              <w:rPr>
                <w:b/>
                <w:bCs/>
                <w:color w:val="FFFFFF"/>
                <w:sz w:val="19"/>
                <w:szCs w:val="19"/>
              </w:rPr>
              <w:t xml:space="preserve">Group 2</w:t>
            </w:r>
          </w:p>
        </w:tc>
        <w:tc>
          <w:tcPr>
            <w:tcW w:type="dxa" w:w="1580"/>
            <w:shd w:fill="1F3864" w:val="clear"/>
            <w:tcMar>
              <w:top w:type="dxa" w:w="60"/>
              <w:left w:type="dxa" w:w="100"/>
              <w:bottom w:type="dxa" w:w="60"/>
              <w:right w:type="dxa" w:w="100"/>
            </w:tcMar>
          </w:tcPr>
          <w:p>
            <w:r>
              <w:rPr>
                <w:b/>
                <w:bCs/>
                <w:color w:val="FFFFFF"/>
                <w:sz w:val="19"/>
                <w:szCs w:val="19"/>
              </w:rPr>
              <w:t xml:space="preserve">Welch t</w:t>
            </w:r>
          </w:p>
        </w:tc>
        <w:tc>
          <w:tcPr>
            <w:tcW w:type="dxa" w:w="1780"/>
            <w:shd w:fill="1F3864" w:val="clear"/>
            <w:tcMar>
              <w:top w:type="dxa" w:w="60"/>
              <w:left w:type="dxa" w:w="100"/>
              <w:bottom w:type="dxa" w:w="60"/>
              <w:right w:type="dxa" w:w="100"/>
            </w:tcMar>
          </w:tcPr>
          <w:p>
            <w:r>
              <w:rPr>
                <w:b/>
                <w:bCs/>
                <w:color w:val="FFFFFF"/>
                <w:sz w:val="19"/>
                <w:szCs w:val="19"/>
              </w:rPr>
              <w:t xml:space="preserve">p-value</w:t>
            </w:r>
          </w:p>
        </w:tc>
      </w:tr>
      <w:tr>
        <w:tc>
          <w:tcPr>
            <w:tcW w:type="dxa" w:w="2200"/>
            <w:shd w:fill="FFFFFF" w:val="clear"/>
            <w:tcMar>
              <w:top w:type="dxa" w:w="50"/>
              <w:left w:type="dxa" w:w="100"/>
              <w:bottom w:type="dxa" w:w="50"/>
              <w:right w:type="dxa" w:w="100"/>
            </w:tcMar>
          </w:tcPr>
          <w:p>
            <w:r>
              <w:rPr>
                <w:sz w:val="19"/>
                <w:szCs w:val="19"/>
              </w:rPr>
              <w:t xml:space="preserve">Workingday</w:t>
            </w:r>
          </w:p>
        </w:tc>
        <w:tc>
          <w:tcPr>
            <w:tcW w:type="dxa" w:w="2400"/>
            <w:shd w:fill="FFFFFF" w:val="clear"/>
            <w:tcMar>
              <w:top w:type="dxa" w:w="50"/>
              <w:left w:type="dxa" w:w="100"/>
              <w:bottom w:type="dxa" w:w="50"/>
              <w:right w:type="dxa" w:w="100"/>
            </w:tcMar>
          </w:tcPr>
          <w:p>
            <w:r>
              <w:rPr>
                <w:sz w:val="19"/>
                <w:szCs w:val="19"/>
              </w:rPr>
              <w:t xml:space="preserve">Working day</w:t>
            </w:r>
          </w:p>
        </w:tc>
        <w:tc>
          <w:tcPr>
            <w:tcW w:type="dxa" w:w="2400"/>
            <w:shd w:fill="FFFFFF" w:val="clear"/>
            <w:tcMar>
              <w:top w:type="dxa" w:w="50"/>
              <w:left w:type="dxa" w:w="100"/>
              <w:bottom w:type="dxa" w:w="50"/>
              <w:right w:type="dxa" w:w="100"/>
            </w:tcMar>
          </w:tcPr>
          <w:p>
            <w:r>
              <w:rPr>
                <w:sz w:val="19"/>
                <w:szCs w:val="19"/>
              </w:rPr>
              <w:t xml:space="preserve">Non-working day</w:t>
            </w:r>
          </w:p>
        </w:tc>
        <w:tc>
          <w:tcPr>
            <w:tcW w:type="dxa" w:w="1580"/>
            <w:shd w:fill="FFFFFF" w:val="clear"/>
            <w:tcMar>
              <w:top w:type="dxa" w:w="50"/>
              <w:left w:type="dxa" w:w="100"/>
              <w:bottom w:type="dxa" w:w="50"/>
              <w:right w:type="dxa" w:w="100"/>
            </w:tcMar>
          </w:tcPr>
          <w:p>
            <w:r>
              <w:rPr>
                <w:sz w:val="19"/>
                <w:szCs w:val="19"/>
              </w:rPr>
              <w:t xml:space="preserve">4.095</w:t>
            </w:r>
          </w:p>
        </w:tc>
        <w:tc>
          <w:tcPr>
            <w:tcW w:type="dxa" w:w="1780"/>
            <w:shd w:fill="FFFFFF" w:val="clear"/>
            <w:tcMar>
              <w:top w:type="dxa" w:w="50"/>
              <w:left w:type="dxa" w:w="100"/>
              <w:bottom w:type="dxa" w:w="50"/>
              <w:right w:type="dxa" w:w="100"/>
            </w:tcMar>
          </w:tcPr>
          <w:p>
            <w:r>
              <w:rPr>
                <w:sz w:val="19"/>
                <w:szCs w:val="19"/>
              </w:rPr>
              <w:t xml:space="preserve">4.25e-05</w:t>
            </w:r>
          </w:p>
        </w:tc>
      </w:tr>
      <w:tr>
        <w:tc>
          <w:tcPr>
            <w:tcW w:type="dxa" w:w="2200"/>
            <w:shd w:fill="EEF2F8" w:val="clear"/>
            <w:tcMar>
              <w:top w:type="dxa" w:w="50"/>
              <w:left w:type="dxa" w:w="100"/>
              <w:bottom w:type="dxa" w:w="50"/>
              <w:right w:type="dxa" w:w="100"/>
            </w:tcMar>
          </w:tcPr>
          <w:p>
            <w:r>
              <w:rPr>
                <w:sz w:val="19"/>
                <w:szCs w:val="19"/>
              </w:rPr>
              <w:t xml:space="preserve">Holiday</w:t>
            </w:r>
          </w:p>
        </w:tc>
        <w:tc>
          <w:tcPr>
            <w:tcW w:type="dxa" w:w="2400"/>
            <w:shd w:fill="EEF2F8" w:val="clear"/>
            <w:tcMar>
              <w:top w:type="dxa" w:w="50"/>
              <w:left w:type="dxa" w:w="100"/>
              <w:bottom w:type="dxa" w:w="50"/>
              <w:right w:type="dxa" w:w="100"/>
            </w:tcMar>
          </w:tcPr>
          <w:p>
            <w:r>
              <w:rPr>
                <w:sz w:val="19"/>
                <w:szCs w:val="19"/>
              </w:rPr>
              <w:t xml:space="preserve">Non-holiday</w:t>
            </w:r>
          </w:p>
        </w:tc>
        <w:tc>
          <w:tcPr>
            <w:tcW w:type="dxa" w:w="2400"/>
            <w:shd w:fill="EEF2F8" w:val="clear"/>
            <w:tcMar>
              <w:top w:type="dxa" w:w="50"/>
              <w:left w:type="dxa" w:w="100"/>
              <w:bottom w:type="dxa" w:w="50"/>
              <w:right w:type="dxa" w:w="100"/>
            </w:tcMar>
          </w:tcPr>
          <w:p>
            <w:r>
              <w:rPr>
                <w:sz w:val="19"/>
                <w:szCs w:val="19"/>
              </w:rPr>
              <w:t xml:space="preserve">Holiday</w:t>
            </w:r>
          </w:p>
        </w:tc>
        <w:tc>
          <w:tcPr>
            <w:tcW w:type="dxa" w:w="1580"/>
            <w:shd w:fill="EEF2F8" w:val="clear"/>
            <w:tcMar>
              <w:top w:type="dxa" w:w="50"/>
              <w:left w:type="dxa" w:w="100"/>
              <w:bottom w:type="dxa" w:w="50"/>
              <w:right w:type="dxa" w:w="100"/>
            </w:tcMar>
          </w:tcPr>
          <w:p>
            <w:r>
              <w:rPr>
                <w:sz w:val="19"/>
                <w:szCs w:val="19"/>
              </w:rPr>
              <w:t xml:space="preserve">4.694</w:t>
            </w:r>
          </w:p>
        </w:tc>
        <w:tc>
          <w:tcPr>
            <w:tcW w:type="dxa" w:w="1780"/>
            <w:shd w:fill="EEF2F8" w:val="clear"/>
            <w:tcMar>
              <w:top w:type="dxa" w:w="50"/>
              <w:left w:type="dxa" w:w="100"/>
              <w:bottom w:type="dxa" w:w="50"/>
              <w:right w:type="dxa" w:w="100"/>
            </w:tcMar>
          </w:tcPr>
          <w:p>
            <w:r>
              <w:rPr>
                <w:sz w:val="19"/>
                <w:szCs w:val="19"/>
              </w:rPr>
              <w:t xml:space="preserve">3.40e-06</w:t>
            </w:r>
          </w:p>
        </w:tc>
      </w:tr>
      <w:tr>
        <w:tc>
          <w:tcPr>
            <w:tcW w:type="dxa" w:w="2200"/>
            <w:shd w:fill="FFFFFF" w:val="clear"/>
            <w:tcMar>
              <w:top w:type="dxa" w:w="50"/>
              <w:left w:type="dxa" w:w="100"/>
              <w:bottom w:type="dxa" w:w="50"/>
              <w:right w:type="dxa" w:w="100"/>
            </w:tcMar>
          </w:tcPr>
          <w:p>
            <w:r>
              <w:rPr>
                <w:sz w:val="19"/>
                <w:szCs w:val="19"/>
              </w:rPr>
              <w:t xml:space="preserve">Year</w:t>
            </w:r>
          </w:p>
        </w:tc>
        <w:tc>
          <w:tcPr>
            <w:tcW w:type="dxa" w:w="2400"/>
            <w:shd w:fill="FFFFFF" w:val="clear"/>
            <w:tcMar>
              <w:top w:type="dxa" w:w="50"/>
              <w:left w:type="dxa" w:w="100"/>
              <w:bottom w:type="dxa" w:w="50"/>
              <w:right w:type="dxa" w:w="100"/>
            </w:tcMar>
          </w:tcPr>
          <w:p>
            <w:r>
              <w:rPr>
                <w:sz w:val="19"/>
                <w:szCs w:val="19"/>
              </w:rPr>
              <w:t xml:space="preserve">2011</w:t>
            </w:r>
          </w:p>
        </w:tc>
        <w:tc>
          <w:tcPr>
            <w:tcW w:type="dxa" w:w="2400"/>
            <w:shd w:fill="FFFFFF" w:val="clear"/>
            <w:tcMar>
              <w:top w:type="dxa" w:w="50"/>
              <w:left w:type="dxa" w:w="100"/>
              <w:bottom w:type="dxa" w:w="50"/>
              <w:right w:type="dxa" w:w="100"/>
            </w:tcMar>
          </w:tcPr>
          <w:p>
            <w:r>
              <w:rPr>
                <w:sz w:val="19"/>
                <w:szCs w:val="19"/>
              </w:rPr>
              <w:t xml:space="preserve">2012</w:t>
            </w:r>
          </w:p>
        </w:tc>
        <w:tc>
          <w:tcPr>
            <w:tcW w:type="dxa" w:w="1580"/>
            <w:shd w:fill="FFFFFF" w:val="clear"/>
            <w:tcMar>
              <w:top w:type="dxa" w:w="50"/>
              <w:left w:type="dxa" w:w="100"/>
              <w:bottom w:type="dxa" w:w="50"/>
              <w:right w:type="dxa" w:w="100"/>
            </w:tcMar>
          </w:tcPr>
          <w:p>
            <w:r>
              <w:rPr>
                <w:sz w:val="19"/>
                <w:szCs w:val="19"/>
              </w:rPr>
              <w:t xml:space="preserve">-34.181</w:t>
            </w:r>
          </w:p>
        </w:tc>
        <w:tc>
          <w:tcPr>
            <w:tcW w:type="dxa" w:w="1780"/>
            <w:shd w:fill="FFFFFF" w:val="clear"/>
            <w:tcMar>
              <w:top w:type="dxa" w:w="50"/>
              <w:left w:type="dxa" w:w="100"/>
              <w:bottom w:type="dxa" w:w="50"/>
              <w:right w:type="dxa" w:w="100"/>
            </w:tcMar>
          </w:tcPr>
          <w:p>
            <w:r>
              <w:rPr>
                <w:sz w:val="19"/>
                <w:szCs w:val="19"/>
              </w:rPr>
              <w:t xml:space="preserve">1.38e-246</w:t>
            </w:r>
          </w:p>
        </w:tc>
      </w:tr>
    </w:tbl>
    <w:p>
      <w:pPr>
        <w:spacing w:after="140" w:line="276"/>
      </w:pPr>
      <w:r>
        <w:rPr>
          <w:sz w:val="21"/>
          <w:szCs w:val="21"/>
        </w:rPr>
        <w:t xml:space="preserve"/>
      </w:r>
    </w:p>
    <w:p>
      <w:pPr>
        <w:spacing w:after="140" w:line="276"/>
      </w:pPr>
      <w:r>
        <w:rPr>
          <w:sz w:val="21"/>
          <w:szCs w:val="21"/>
        </w:rPr>
        <w:t xml:space="preserve">All three binary factors are statistically significant, though the year effect dwarfs the others (t = -34.2): overall ridership grew substantially from 2011 to 2012, reflecting system growth/adoption rather than a seasonal or weather effect — this motivates including yr as a control in the forecasting models in Task 3.</w:t>
      </w:r>
    </w:p>
    <w:p>
      <w:pPr>
        <w:pStyle w:val="Heading2"/>
        <w:spacing w:after="100" w:before="240"/>
      </w:pPr>
      <w:r>
        <w:rPr>
          <w:b/>
          <w:bCs/>
          <w:color w:val="2E5395"/>
          <w:sz w:val="24"/>
          <w:szCs w:val="24"/>
        </w:rPr>
        <w:t xml:space="preserve">3.5 Regression Models and Diagnostics</w:t>
      </w:r>
    </w:p>
    <w:p>
      <w:pPr>
        <w:spacing w:after="140" w:line="276"/>
      </w:pPr>
      <w:r>
        <w:rPr>
          <w:sz w:val="21"/>
          <w:szCs w:val="21"/>
        </w:rPr>
        <w:t xml:space="preserve">An OLS model (cnt ~ temp + hum + windspeed + season + weathersit + workingday + holiday) was fit as a baseline. It explains only a modest share of variance (R² = 0.283) and its residual diagnostics show clear heteroscedasticity (residual spread widening with fitted values) and non-normal, heavy-tailed residuals — expected for strictly non-negative, over-dispersed count data. A Poisson GLM was then fit and rejected on distributional grounds: its deviance-to-degrees-of-freedom ratio is 117.17, far above the value of ≈1 expected under the Poisson assumption, indicating severe overdispersion. A Negative Binomial (NB) GLM, which adds a dispersion parameter to absorb this excess variance, is therefore the preferred inferential model.</w:t>
      </w:r>
    </w:p>
    <w:p>
      <w:pPr>
        <w:spacing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76425"/>
                    </a:xfrm>
                    <a:prstGeom prst="rect">
                      <a:avLst/>
                    </a:prstGeom>
                  </pic:spPr>
                </pic:pic>
              </a:graphicData>
            </a:graphic>
          </wp:inline>
        </w:drawing>
      </w:r>
    </w:p>
    <w:p>
      <w:pPr>
        <w:spacing w:after="220" w:before="60"/>
        <w:jc w:val="center"/>
      </w:pPr>
      <w:r>
        <w:rPr>
          <w:i/>
          <w:iCs/>
          <w:color w:val="595959"/>
          <w:sz w:val="18"/>
          <w:szCs w:val="18"/>
        </w:rPr>
        <w:t xml:space="preserve">Figure 7. OLS residuals vs. fitted values (heteroscedasticity) and Q-Q plot (non-normal residuals).</w:t>
      </w:r>
    </w:p>
    <w:p>
      <w:pPr>
        <w:spacing w:after="80" w:before="160"/>
      </w:pPr>
      <w:r>
        <w:rPr>
          <w:b/>
          <w:bCs/>
          <w:i/>
          <w:iCs/>
          <w:color w:val="333333"/>
          <w:sz w:val="21"/>
          <w:szCs w:val="21"/>
        </w:rPr>
        <w:t xml:space="preserve">OLS coefficients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shd w:fill="1F3864" w:val="clear"/>
            <w:tcMar>
              <w:top w:type="dxa" w:w="60"/>
              <w:left w:type="dxa" w:w="100"/>
              <w:bottom w:type="dxa" w:w="60"/>
              <w:right w:type="dxa" w:w="100"/>
            </w:tcMar>
          </w:tcPr>
          <w:p>
            <w:r>
              <w:rPr>
                <w:b/>
                <w:bCs/>
                <w:color w:val="FFFFFF"/>
                <w:sz w:val="19"/>
                <w:szCs w:val="19"/>
              </w:rPr>
              <w:t xml:space="preserve">Term</w:t>
            </w:r>
          </w:p>
        </w:tc>
        <w:tc>
          <w:tcPr>
            <w:tcW w:type="dxa" w:w="1400"/>
            <w:shd w:fill="1F3864" w:val="clear"/>
            <w:tcMar>
              <w:top w:type="dxa" w:w="60"/>
              <w:left w:type="dxa" w:w="100"/>
              <w:bottom w:type="dxa" w:w="60"/>
              <w:right w:type="dxa" w:w="100"/>
            </w:tcMar>
          </w:tcPr>
          <w:p>
            <w:r>
              <w:rPr>
                <w:b/>
                <w:bCs/>
                <w:color w:val="FFFFFF"/>
                <w:sz w:val="19"/>
                <w:szCs w:val="19"/>
              </w:rPr>
              <w:t xml:space="preserve">Coef.</w:t>
            </w:r>
          </w:p>
        </w:tc>
        <w:tc>
          <w:tcPr>
            <w:tcW w:type="dxa" w:w="1400"/>
            <w:shd w:fill="1F3864" w:val="clear"/>
            <w:tcMar>
              <w:top w:type="dxa" w:w="60"/>
              <w:left w:type="dxa" w:w="100"/>
              <w:bottom w:type="dxa" w:w="60"/>
              <w:right w:type="dxa" w:w="100"/>
            </w:tcMar>
          </w:tcPr>
          <w:p>
            <w:r>
              <w:rPr>
                <w:b/>
                <w:bCs/>
                <w:color w:val="FFFFFF"/>
                <w:sz w:val="19"/>
                <w:szCs w:val="19"/>
              </w:rPr>
              <w:t xml:space="preserve">p-value</w:t>
            </w:r>
          </w:p>
        </w:tc>
        <w:tc>
          <w:tcPr>
            <w:tcW w:type="dxa" w:w="4160"/>
            <w:shd w:fill="1F3864" w:val="clear"/>
            <w:tcMar>
              <w:top w:type="dxa" w:w="60"/>
              <w:left w:type="dxa" w:w="100"/>
              <w:bottom w:type="dxa" w:w="60"/>
              <w:right w:type="dxa" w:w="100"/>
            </w:tcMar>
          </w:tcPr>
          <w:p>
            <w:r>
              <w:rPr>
                <w:b/>
                <w:bCs/>
                <w:color w:val="FFFFFF"/>
                <w:sz w:val="19"/>
                <w:szCs w:val="19"/>
              </w:rPr>
              <w:t xml:space="preserve">Interpretation</w:t>
            </w:r>
          </w:p>
        </w:tc>
      </w:tr>
      <w:tr>
        <w:tc>
          <w:tcPr>
            <w:tcW w:type="dxa" w:w="2400"/>
            <w:shd w:fill="FFFFFF" w:val="clear"/>
            <w:tcMar>
              <w:top w:type="dxa" w:w="50"/>
              <w:left w:type="dxa" w:w="100"/>
              <w:bottom w:type="dxa" w:w="50"/>
              <w:right w:type="dxa" w:w="100"/>
            </w:tcMar>
          </w:tcPr>
          <w:p>
            <w:r>
              <w:rPr>
                <w:sz w:val="19"/>
                <w:szCs w:val="19"/>
              </w:rPr>
              <w:t xml:space="preserve">temp</w:t>
            </w:r>
          </w:p>
        </w:tc>
        <w:tc>
          <w:tcPr>
            <w:tcW w:type="dxa" w:w="1400"/>
            <w:shd w:fill="FFFFFF" w:val="clear"/>
            <w:tcMar>
              <w:top w:type="dxa" w:w="50"/>
              <w:left w:type="dxa" w:w="100"/>
              <w:bottom w:type="dxa" w:w="50"/>
              <w:right w:type="dxa" w:w="100"/>
            </w:tcMar>
          </w:tcPr>
          <w:p>
            <w:r>
              <w:rPr>
                <w:sz w:val="19"/>
                <w:szCs w:val="19"/>
              </w:rPr>
              <w:t xml:space="preserve">454.79</w:t>
            </w:r>
          </w:p>
        </w:tc>
        <w:tc>
          <w:tcPr>
            <w:tcW w:type="dxa" w:w="1400"/>
            <w:shd w:fill="FFFFFF" w:val="clear"/>
            <w:tcMar>
              <w:top w:type="dxa" w:w="50"/>
              <w:left w:type="dxa" w:w="100"/>
              <w:bottom w:type="dxa" w:w="50"/>
              <w:right w:type="dxa" w:w="100"/>
            </w:tcMar>
          </w:tcPr>
          <w:p>
            <w:r>
              <w:rPr>
                <w:sz w:val="19"/>
                <w:szCs w:val="19"/>
              </w:rPr>
              <w:t xml:space="preserve">&lt; 0.001</w:t>
            </w:r>
          </w:p>
        </w:tc>
        <w:tc>
          <w:tcPr>
            <w:tcW w:type="dxa" w:w="4160"/>
            <w:shd w:fill="FFFFFF" w:val="clear"/>
            <w:tcMar>
              <w:top w:type="dxa" w:w="50"/>
              <w:left w:type="dxa" w:w="100"/>
              <w:bottom w:type="dxa" w:w="50"/>
              <w:right w:type="dxa" w:w="100"/>
            </w:tcMar>
          </w:tcPr>
          <w:p>
            <w:r>
              <w:rPr>
                <w:sz w:val="19"/>
                <w:szCs w:val="19"/>
              </w:rPr>
              <w:t xml:space="preserve">Strongest positive driver of raw count</w:t>
            </w:r>
          </w:p>
        </w:tc>
      </w:tr>
      <w:tr>
        <w:tc>
          <w:tcPr>
            <w:tcW w:type="dxa" w:w="2400"/>
            <w:shd w:fill="EEF2F8" w:val="clear"/>
            <w:tcMar>
              <w:top w:type="dxa" w:w="50"/>
              <w:left w:type="dxa" w:w="100"/>
              <w:bottom w:type="dxa" w:w="50"/>
              <w:right w:type="dxa" w:w="100"/>
            </w:tcMar>
          </w:tcPr>
          <w:p>
            <w:r>
              <w:rPr>
                <w:sz w:val="19"/>
                <w:szCs w:val="19"/>
              </w:rPr>
              <w:t xml:space="preserve">hum</w:t>
            </w:r>
          </w:p>
        </w:tc>
        <w:tc>
          <w:tcPr>
            <w:tcW w:type="dxa" w:w="1400"/>
            <w:shd w:fill="EEF2F8" w:val="clear"/>
            <w:tcMar>
              <w:top w:type="dxa" w:w="50"/>
              <w:left w:type="dxa" w:w="100"/>
              <w:bottom w:type="dxa" w:w="50"/>
              <w:right w:type="dxa" w:w="100"/>
            </w:tcMar>
          </w:tcPr>
          <w:p>
            <w:r>
              <w:rPr>
                <w:sz w:val="19"/>
                <w:szCs w:val="19"/>
              </w:rPr>
              <w:t xml:space="preserve">-286.65</w:t>
            </w:r>
          </w:p>
        </w:tc>
        <w:tc>
          <w:tcPr>
            <w:tcW w:type="dxa" w:w="1400"/>
            <w:shd w:fill="EEF2F8" w:val="clear"/>
            <w:tcMar>
              <w:top w:type="dxa" w:w="50"/>
              <w:left w:type="dxa" w:w="100"/>
              <w:bottom w:type="dxa" w:w="50"/>
              <w:right w:type="dxa" w:w="100"/>
            </w:tcMar>
          </w:tcPr>
          <w:p>
            <w:r>
              <w:rPr>
                <w:sz w:val="19"/>
                <w:szCs w:val="19"/>
              </w:rPr>
              <w:t xml:space="preserve">&lt; 0.001</w:t>
            </w:r>
          </w:p>
        </w:tc>
        <w:tc>
          <w:tcPr>
            <w:tcW w:type="dxa" w:w="4160"/>
            <w:shd w:fill="EEF2F8" w:val="clear"/>
            <w:tcMar>
              <w:top w:type="dxa" w:w="50"/>
              <w:left w:type="dxa" w:w="100"/>
              <w:bottom w:type="dxa" w:w="50"/>
              <w:right w:type="dxa" w:w="100"/>
            </w:tcMar>
          </w:tcPr>
          <w:p>
            <w:r>
              <w:rPr>
                <w:sz w:val="19"/>
                <w:szCs w:val="19"/>
              </w:rPr>
              <w:t xml:space="preserve">Strong negative driver</w:t>
            </w:r>
          </w:p>
        </w:tc>
      </w:tr>
      <w:tr>
        <w:tc>
          <w:tcPr>
            <w:tcW w:type="dxa" w:w="2400"/>
            <w:shd w:fill="FFFFFF" w:val="clear"/>
            <w:tcMar>
              <w:top w:type="dxa" w:w="50"/>
              <w:left w:type="dxa" w:w="100"/>
              <w:bottom w:type="dxa" w:w="50"/>
              <w:right w:type="dxa" w:w="100"/>
            </w:tcMar>
          </w:tcPr>
          <w:p>
            <w:r>
              <w:rPr>
                <w:sz w:val="19"/>
                <w:szCs w:val="19"/>
              </w:rPr>
              <w:t xml:space="preserve">windspeed</w:t>
            </w:r>
          </w:p>
        </w:tc>
        <w:tc>
          <w:tcPr>
            <w:tcW w:type="dxa" w:w="1400"/>
            <w:shd w:fill="FFFFFF" w:val="clear"/>
            <w:tcMar>
              <w:top w:type="dxa" w:w="50"/>
              <w:left w:type="dxa" w:w="100"/>
              <w:bottom w:type="dxa" w:w="50"/>
              <w:right w:type="dxa" w:w="100"/>
            </w:tcMar>
          </w:tcPr>
          <w:p>
            <w:r>
              <w:rPr>
                <w:sz w:val="19"/>
                <w:szCs w:val="19"/>
              </w:rPr>
              <w:t xml:space="preserve">31.65</w:t>
            </w:r>
          </w:p>
        </w:tc>
        <w:tc>
          <w:tcPr>
            <w:tcW w:type="dxa" w:w="1400"/>
            <w:shd w:fill="FFFFFF" w:val="clear"/>
            <w:tcMar>
              <w:top w:type="dxa" w:w="50"/>
              <w:left w:type="dxa" w:w="100"/>
              <w:bottom w:type="dxa" w:w="50"/>
              <w:right w:type="dxa" w:w="100"/>
            </w:tcMar>
          </w:tcPr>
          <w:p>
            <w:r>
              <w:rPr>
                <w:sz w:val="19"/>
                <w:szCs w:val="19"/>
              </w:rPr>
              <w:t xml:space="preserve">0.002</w:t>
            </w:r>
          </w:p>
        </w:tc>
        <w:tc>
          <w:tcPr>
            <w:tcW w:type="dxa" w:w="4160"/>
            <w:shd w:fill="FFFFFF" w:val="clear"/>
            <w:tcMar>
              <w:top w:type="dxa" w:w="50"/>
              <w:left w:type="dxa" w:w="100"/>
              <w:bottom w:type="dxa" w:w="50"/>
              <w:right w:type="dxa" w:w="100"/>
            </w:tcMar>
          </w:tcPr>
          <w:p>
            <w:r>
              <w:rPr>
                <w:sz w:val="19"/>
                <w:szCs w:val="19"/>
              </w:rPr>
              <w:t xml:space="preserve">Small positive effect</w:t>
            </w:r>
          </w:p>
        </w:tc>
      </w:tr>
      <w:tr>
        <w:tc>
          <w:tcPr>
            <w:tcW w:type="dxa" w:w="2400"/>
            <w:shd w:fill="EEF2F8" w:val="clear"/>
            <w:tcMar>
              <w:top w:type="dxa" w:w="50"/>
              <w:left w:type="dxa" w:w="100"/>
              <w:bottom w:type="dxa" w:w="50"/>
              <w:right w:type="dxa" w:w="100"/>
            </w:tcMar>
          </w:tcPr>
          <w:p>
            <w:r>
              <w:rPr>
                <w:sz w:val="19"/>
                <w:szCs w:val="19"/>
              </w:rPr>
              <w:t xml:space="preserve">season = fall</w:t>
            </w:r>
          </w:p>
        </w:tc>
        <w:tc>
          <w:tcPr>
            <w:tcW w:type="dxa" w:w="1400"/>
            <w:shd w:fill="EEF2F8" w:val="clear"/>
            <w:tcMar>
              <w:top w:type="dxa" w:w="50"/>
              <w:left w:type="dxa" w:w="100"/>
              <w:bottom w:type="dxa" w:w="50"/>
              <w:right w:type="dxa" w:w="100"/>
            </w:tcMar>
          </w:tcPr>
          <w:p>
            <w:r>
              <w:rPr>
                <w:sz w:val="19"/>
                <w:szCs w:val="19"/>
              </w:rPr>
              <w:t xml:space="preserve">-43.40</w:t>
            </w:r>
          </w:p>
        </w:tc>
        <w:tc>
          <w:tcPr>
            <w:tcW w:type="dxa" w:w="1400"/>
            <w:shd w:fill="EEF2F8" w:val="clear"/>
            <w:tcMar>
              <w:top w:type="dxa" w:w="50"/>
              <w:left w:type="dxa" w:w="100"/>
              <w:bottom w:type="dxa" w:w="50"/>
              <w:right w:type="dxa" w:w="100"/>
            </w:tcMar>
          </w:tcPr>
          <w:p>
            <w:r>
              <w:rPr>
                <w:sz w:val="19"/>
                <w:szCs w:val="19"/>
              </w:rPr>
              <w:t xml:space="preserve">&lt; 0.001</w:t>
            </w:r>
          </w:p>
        </w:tc>
        <w:tc>
          <w:tcPr>
            <w:tcW w:type="dxa" w:w="4160"/>
            <w:shd w:fill="EEF2F8" w:val="clear"/>
            <w:tcMar>
              <w:top w:type="dxa" w:w="50"/>
              <w:left w:type="dxa" w:w="100"/>
              <w:bottom w:type="dxa" w:w="50"/>
              <w:right w:type="dxa" w:w="100"/>
            </w:tcMar>
          </w:tcPr>
          <w:p>
            <w:r>
              <w:rPr>
                <w:sz w:val="19"/>
                <w:szCs w:val="19"/>
              </w:rPr>
              <w:t xml:space="preserve">Lower than spring baseline</w:t>
            </w:r>
          </w:p>
        </w:tc>
      </w:tr>
      <w:tr>
        <w:tc>
          <w:tcPr>
            <w:tcW w:type="dxa" w:w="2400"/>
            <w:shd w:fill="FFFFFF" w:val="clear"/>
            <w:tcMar>
              <w:top w:type="dxa" w:w="50"/>
              <w:left w:type="dxa" w:w="100"/>
              <w:bottom w:type="dxa" w:w="50"/>
              <w:right w:type="dxa" w:w="100"/>
            </w:tcMar>
          </w:tcPr>
          <w:p>
            <w:r>
              <w:rPr>
                <w:sz w:val="19"/>
                <w:szCs w:val="19"/>
              </w:rPr>
              <w:t xml:space="preserve">season = winter</w:t>
            </w:r>
          </w:p>
        </w:tc>
        <w:tc>
          <w:tcPr>
            <w:tcW w:type="dxa" w:w="1400"/>
            <w:shd w:fill="FFFFFF" w:val="clear"/>
            <w:tcMar>
              <w:top w:type="dxa" w:w="50"/>
              <w:left w:type="dxa" w:w="100"/>
              <w:bottom w:type="dxa" w:w="50"/>
              <w:right w:type="dxa" w:w="100"/>
            </w:tcMar>
          </w:tcPr>
          <w:p>
            <w:r>
              <w:rPr>
                <w:sz w:val="19"/>
                <w:szCs w:val="19"/>
              </w:rPr>
              <w:t xml:space="preserve">57.09</w:t>
            </w:r>
          </w:p>
        </w:tc>
        <w:tc>
          <w:tcPr>
            <w:tcW w:type="dxa" w:w="1400"/>
            <w:shd w:fill="FFFFFF" w:val="clear"/>
            <w:tcMar>
              <w:top w:type="dxa" w:w="50"/>
              <w:left w:type="dxa" w:w="100"/>
              <w:bottom w:type="dxa" w:w="50"/>
              <w:right w:type="dxa" w:w="100"/>
            </w:tcMar>
          </w:tcPr>
          <w:p>
            <w:r>
              <w:rPr>
                <w:sz w:val="19"/>
                <w:szCs w:val="19"/>
              </w:rPr>
              <w:t xml:space="preserve">&lt; 0.001</w:t>
            </w:r>
          </w:p>
        </w:tc>
        <w:tc>
          <w:tcPr>
            <w:tcW w:type="dxa" w:w="4160"/>
            <w:shd w:fill="FFFFFF" w:val="clear"/>
            <w:tcMar>
              <w:top w:type="dxa" w:w="50"/>
              <w:left w:type="dxa" w:w="100"/>
              <w:bottom w:type="dxa" w:w="50"/>
              <w:right w:type="dxa" w:w="100"/>
            </w:tcMar>
          </w:tcPr>
          <w:p>
            <w:r>
              <w:rPr>
                <w:sz w:val="19"/>
                <w:szCs w:val="19"/>
              </w:rPr>
              <w:t xml:space="preserve">Higher than spring baseline</w:t>
            </w:r>
          </w:p>
        </w:tc>
      </w:tr>
      <w:tr>
        <w:tc>
          <w:tcPr>
            <w:tcW w:type="dxa" w:w="2400"/>
            <w:shd w:fill="EEF2F8" w:val="clear"/>
            <w:tcMar>
              <w:top w:type="dxa" w:w="50"/>
              <w:left w:type="dxa" w:w="100"/>
              <w:bottom w:type="dxa" w:w="50"/>
              <w:right w:type="dxa" w:w="100"/>
            </w:tcMar>
          </w:tcPr>
          <w:p>
            <w:r>
              <w:rPr>
                <w:sz w:val="19"/>
                <w:szCs w:val="19"/>
              </w:rPr>
              <w:t xml:space="preserve">weather = mist/cloudy</w:t>
            </w:r>
          </w:p>
        </w:tc>
        <w:tc>
          <w:tcPr>
            <w:tcW w:type="dxa" w:w="1400"/>
            <w:shd w:fill="EEF2F8" w:val="clear"/>
            <w:tcMar>
              <w:top w:type="dxa" w:w="50"/>
              <w:left w:type="dxa" w:w="100"/>
              <w:bottom w:type="dxa" w:w="50"/>
              <w:right w:type="dxa" w:w="100"/>
            </w:tcMar>
          </w:tcPr>
          <w:p>
            <w:r>
              <w:rPr>
                <w:sz w:val="19"/>
                <w:szCs w:val="19"/>
              </w:rPr>
              <w:t xml:space="preserve">17.02</w:t>
            </w:r>
          </w:p>
        </w:tc>
        <w:tc>
          <w:tcPr>
            <w:tcW w:type="dxa" w:w="1400"/>
            <w:shd w:fill="EEF2F8" w:val="clear"/>
            <w:tcMar>
              <w:top w:type="dxa" w:w="50"/>
              <w:left w:type="dxa" w:w="100"/>
              <w:bottom w:type="dxa" w:w="50"/>
              <w:right w:type="dxa" w:w="100"/>
            </w:tcMar>
          </w:tcPr>
          <w:p>
            <w:r>
              <w:rPr>
                <w:sz w:val="19"/>
                <w:szCs w:val="19"/>
              </w:rPr>
              <w:t xml:space="preserve">&lt; 0.001</w:t>
            </w:r>
          </w:p>
        </w:tc>
        <w:tc>
          <w:tcPr>
            <w:tcW w:type="dxa" w:w="4160"/>
            <w:shd w:fill="EEF2F8" w:val="clear"/>
            <w:tcMar>
              <w:top w:type="dxa" w:w="50"/>
              <w:left w:type="dxa" w:w="100"/>
              <w:bottom w:type="dxa" w:w="50"/>
              <w:right w:type="dxa" w:w="100"/>
            </w:tcMar>
          </w:tcPr>
          <w:p>
            <w:r>
              <w:rPr>
                <w:sz w:val="19"/>
                <w:szCs w:val="19"/>
              </w:rPr>
              <w:t xml:space="preserve">Modest increase vs. clear</w:t>
            </w:r>
          </w:p>
        </w:tc>
      </w:tr>
      <w:tr>
        <w:tc>
          <w:tcPr>
            <w:tcW w:type="dxa" w:w="2400"/>
            <w:shd w:fill="FFFFFF" w:val="clear"/>
            <w:tcMar>
              <w:top w:type="dxa" w:w="50"/>
              <w:left w:type="dxa" w:w="100"/>
              <w:bottom w:type="dxa" w:w="50"/>
              <w:right w:type="dxa" w:w="100"/>
            </w:tcMar>
          </w:tcPr>
          <w:p>
            <w:r>
              <w:rPr>
                <w:sz w:val="19"/>
                <w:szCs w:val="19"/>
              </w:rPr>
              <w:t xml:space="preserve">weather = heavy rain/snow</w:t>
            </w:r>
          </w:p>
        </w:tc>
        <w:tc>
          <w:tcPr>
            <w:tcW w:type="dxa" w:w="1400"/>
            <w:shd w:fill="FFFFFF" w:val="clear"/>
            <w:tcMar>
              <w:top w:type="dxa" w:w="50"/>
              <w:left w:type="dxa" w:w="100"/>
              <w:bottom w:type="dxa" w:w="50"/>
              <w:right w:type="dxa" w:w="100"/>
            </w:tcMar>
          </w:tcPr>
          <w:p>
            <w:r>
              <w:rPr>
                <w:sz w:val="19"/>
                <w:szCs w:val="19"/>
              </w:rPr>
              <w:t xml:space="preserve">104.82</w:t>
            </w:r>
          </w:p>
        </w:tc>
        <w:tc>
          <w:tcPr>
            <w:tcW w:type="dxa" w:w="1400"/>
            <w:shd w:fill="FFFFFF" w:val="clear"/>
            <w:tcMar>
              <w:top w:type="dxa" w:w="50"/>
              <w:left w:type="dxa" w:w="100"/>
              <w:bottom w:type="dxa" w:w="50"/>
              <w:right w:type="dxa" w:w="100"/>
            </w:tcMar>
          </w:tcPr>
          <w:p>
            <w:r>
              <w:rPr>
                <w:sz w:val="19"/>
                <w:szCs w:val="19"/>
              </w:rPr>
              <w:t xml:space="preserve">0.238</w:t>
            </w:r>
          </w:p>
        </w:tc>
        <w:tc>
          <w:tcPr>
            <w:tcW w:type="dxa" w:w="4160"/>
            <w:shd w:fill="FFFFFF" w:val="clear"/>
            <w:tcMar>
              <w:top w:type="dxa" w:w="50"/>
              <w:left w:type="dxa" w:w="100"/>
              <w:bottom w:type="dxa" w:w="50"/>
              <w:right w:type="dxa" w:w="100"/>
            </w:tcMar>
          </w:tcPr>
          <w:p>
            <w:r>
              <w:rPr>
                <w:sz w:val="19"/>
                <w:szCs w:val="19"/>
              </w:rPr>
              <w:t xml:space="preserve">Not significant (very rare category)</w:t>
            </w:r>
          </w:p>
        </w:tc>
      </w:tr>
    </w:tbl>
    <w:p>
      <w:pPr>
        <w:spacing w:after="140" w:line="276"/>
      </w:pPr>
      <w:r>
        <w:rPr>
          <w:sz w:val="21"/>
          <w:szCs w:val="21"/>
        </w:rPr>
        <w:t xml:space="preserve"/>
      </w:r>
    </w:p>
    <w:p>
      <w:pPr>
        <w:spacing w:after="80" w:before="160"/>
      </w:pPr>
      <w:r>
        <w:rPr>
          <w:b/>
          <w:bCs/>
          <w:i/>
          <w:iCs/>
          <w:color w:val="333333"/>
          <w:sz w:val="21"/>
          <w:szCs w:val="21"/>
        </w:rPr>
        <w:t xml:space="preserve">Negative Binomial GLM (log link) — incidence rate ratios (IRR)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1660"/>
      </w:tblGrid>
      <w:tr>
        <w:trPr>
          <w:tblHeader/>
        </w:trPr>
        <w:tc>
          <w:tcPr>
            <w:tcW w:type="dxa" w:w="2900"/>
            <w:shd w:fill="1F3864" w:val="clear"/>
            <w:tcMar>
              <w:top w:type="dxa" w:w="60"/>
              <w:left w:type="dxa" w:w="100"/>
              <w:bottom w:type="dxa" w:w="60"/>
              <w:right w:type="dxa" w:w="100"/>
            </w:tcMar>
          </w:tcPr>
          <w:p>
            <w:r>
              <w:rPr>
                <w:b/>
                <w:bCs/>
                <w:color w:val="FFFFFF"/>
                <w:sz w:val="19"/>
                <w:szCs w:val="19"/>
              </w:rPr>
              <w:t xml:space="preserve">Term</w:t>
            </w:r>
          </w:p>
        </w:tc>
        <w:tc>
          <w:tcPr>
            <w:tcW w:type="dxa" w:w="1900"/>
            <w:shd w:fill="1F3864" w:val="clear"/>
            <w:tcMar>
              <w:top w:type="dxa" w:w="60"/>
              <w:left w:type="dxa" w:w="100"/>
              <w:bottom w:type="dxa" w:w="60"/>
              <w:right w:type="dxa" w:w="100"/>
            </w:tcMar>
          </w:tcPr>
          <w:p>
            <w:r>
              <w:rPr>
                <w:b/>
                <w:bCs/>
                <w:color w:val="FFFFFF"/>
                <w:sz w:val="19"/>
                <w:szCs w:val="19"/>
              </w:rPr>
              <w:t xml:space="preserve">Coef. (log)</w:t>
            </w:r>
          </w:p>
        </w:tc>
        <w:tc>
          <w:tcPr>
            <w:tcW w:type="dxa" w:w="1900"/>
            <w:shd w:fill="1F3864" w:val="clear"/>
            <w:tcMar>
              <w:top w:type="dxa" w:w="60"/>
              <w:left w:type="dxa" w:w="100"/>
              <w:bottom w:type="dxa" w:w="60"/>
              <w:right w:type="dxa" w:w="100"/>
            </w:tcMar>
          </w:tcPr>
          <w:p>
            <w:r>
              <w:rPr>
                <w:b/>
                <w:bCs/>
                <w:color w:val="FFFFFF"/>
                <w:sz w:val="19"/>
                <w:szCs w:val="19"/>
              </w:rPr>
              <w:t xml:space="preserve">IRR = eᶜᵒᵉᶠ</w:t>
            </w:r>
          </w:p>
        </w:tc>
        <w:tc>
          <w:tcPr>
            <w:tcW w:type="dxa" w:w="1660"/>
            <w:shd w:fill="1F3864" w:val="clear"/>
            <w:tcMar>
              <w:top w:type="dxa" w:w="60"/>
              <w:left w:type="dxa" w:w="100"/>
              <w:bottom w:type="dxa" w:w="60"/>
              <w:right w:type="dxa" w:w="100"/>
            </w:tcMar>
          </w:tcPr>
          <w:p>
            <w:r>
              <w:rPr>
                <w:b/>
                <w:bCs/>
                <w:color w:val="FFFFFF"/>
                <w:sz w:val="19"/>
                <w:szCs w:val="19"/>
              </w:rPr>
              <w:t xml:space="preserve">p-value</w:t>
            </w:r>
          </w:p>
        </w:tc>
      </w:tr>
      <w:tr>
        <w:tc>
          <w:tcPr>
            <w:tcW w:type="dxa" w:w="2900"/>
            <w:shd w:fill="FFFFFF" w:val="clear"/>
            <w:tcMar>
              <w:top w:type="dxa" w:w="50"/>
              <w:left w:type="dxa" w:w="100"/>
              <w:bottom w:type="dxa" w:w="50"/>
              <w:right w:type="dxa" w:w="100"/>
            </w:tcMar>
          </w:tcPr>
          <w:p>
            <w:r>
              <w:rPr>
                <w:sz w:val="19"/>
                <w:szCs w:val="19"/>
              </w:rPr>
              <w:t xml:space="preserve">Intercept</w:t>
            </w:r>
          </w:p>
        </w:tc>
        <w:tc>
          <w:tcPr>
            <w:tcW w:type="dxa" w:w="1900"/>
            <w:shd w:fill="FFFFFF" w:val="clear"/>
            <w:tcMar>
              <w:top w:type="dxa" w:w="50"/>
              <w:left w:type="dxa" w:w="100"/>
              <w:bottom w:type="dxa" w:w="50"/>
              <w:right w:type="dxa" w:w="100"/>
            </w:tcMar>
          </w:tcPr>
          <w:p>
            <w:r>
              <w:rPr>
                <w:sz w:val="19"/>
                <w:szCs w:val="19"/>
              </w:rPr>
              <w:t xml:space="preserve">4.539</w:t>
            </w:r>
          </w:p>
        </w:tc>
        <w:tc>
          <w:tcPr>
            <w:tcW w:type="dxa" w:w="1900"/>
            <w:shd w:fill="FFFFFF" w:val="clear"/>
            <w:tcMar>
              <w:top w:type="dxa" w:w="50"/>
              <w:left w:type="dxa" w:w="100"/>
              <w:bottom w:type="dxa" w:w="50"/>
              <w:right w:type="dxa" w:w="100"/>
            </w:tcMar>
          </w:tcPr>
          <w:p>
            <w:r>
              <w:rPr>
                <w:sz w:val="19"/>
                <w:szCs w:val="19"/>
              </w:rPr>
              <w:t xml:space="preserve">93.6</w:t>
            </w:r>
          </w:p>
        </w:tc>
        <w:tc>
          <w:tcPr>
            <w:tcW w:type="dxa" w:w="1660"/>
            <w:shd w:fill="FFFFFF" w:val="clear"/>
            <w:tcMar>
              <w:top w:type="dxa" w:w="50"/>
              <w:left w:type="dxa" w:w="100"/>
              <w:bottom w:type="dxa" w:w="50"/>
              <w:right w:type="dxa" w:w="100"/>
            </w:tcMar>
          </w:tcPr>
          <w:p>
            <w:r>
              <w:rPr>
                <w:sz w:val="19"/>
                <w:szCs w:val="19"/>
              </w:rPr>
              <w:t xml:space="preserve">&lt; 0.001</w:t>
            </w:r>
          </w:p>
        </w:tc>
      </w:tr>
      <w:tr>
        <w:tc>
          <w:tcPr>
            <w:tcW w:type="dxa" w:w="2900"/>
            <w:shd w:fill="EEF2F8" w:val="clear"/>
            <w:tcMar>
              <w:top w:type="dxa" w:w="50"/>
              <w:left w:type="dxa" w:w="100"/>
              <w:bottom w:type="dxa" w:w="50"/>
              <w:right w:type="dxa" w:w="100"/>
            </w:tcMar>
          </w:tcPr>
          <w:p>
            <w:r>
              <w:rPr>
                <w:sz w:val="19"/>
                <w:szCs w:val="19"/>
              </w:rPr>
              <w:t xml:space="preserve">temp</w:t>
            </w:r>
          </w:p>
        </w:tc>
        <w:tc>
          <w:tcPr>
            <w:tcW w:type="dxa" w:w="1900"/>
            <w:shd w:fill="EEF2F8" w:val="clear"/>
            <w:tcMar>
              <w:top w:type="dxa" w:w="50"/>
              <w:left w:type="dxa" w:w="100"/>
              <w:bottom w:type="dxa" w:w="50"/>
              <w:right w:type="dxa" w:w="100"/>
            </w:tcMar>
          </w:tcPr>
          <w:p>
            <w:r>
              <w:rPr>
                <w:sz w:val="19"/>
                <w:szCs w:val="19"/>
              </w:rPr>
              <w:t xml:space="preserve">2.680</w:t>
            </w:r>
          </w:p>
        </w:tc>
        <w:tc>
          <w:tcPr>
            <w:tcW w:type="dxa" w:w="1900"/>
            <w:shd w:fill="EEF2F8" w:val="clear"/>
            <w:tcMar>
              <w:top w:type="dxa" w:w="50"/>
              <w:left w:type="dxa" w:w="100"/>
              <w:bottom w:type="dxa" w:w="50"/>
              <w:right w:type="dxa" w:w="100"/>
            </w:tcMar>
          </w:tcPr>
          <w:p>
            <w:r>
              <w:rPr>
                <w:sz w:val="19"/>
                <w:szCs w:val="19"/>
              </w:rPr>
              <w:t xml:space="preserve">14.58×</w:t>
            </w:r>
          </w:p>
        </w:tc>
        <w:tc>
          <w:tcPr>
            <w:tcW w:type="dxa" w:w="1660"/>
            <w:shd w:fill="EEF2F8" w:val="clear"/>
            <w:tcMar>
              <w:top w:type="dxa" w:w="50"/>
              <w:left w:type="dxa" w:w="100"/>
              <w:bottom w:type="dxa" w:w="50"/>
              <w:right w:type="dxa" w:w="100"/>
            </w:tcMar>
          </w:tcPr>
          <w:p>
            <w:r>
              <w:rPr>
                <w:sz w:val="19"/>
                <w:szCs w:val="19"/>
              </w:rPr>
              <w:t xml:space="preserve">&lt; 0.001</w:t>
            </w:r>
          </w:p>
        </w:tc>
      </w:tr>
      <w:tr>
        <w:tc>
          <w:tcPr>
            <w:tcW w:type="dxa" w:w="2900"/>
            <w:shd w:fill="FFFFFF" w:val="clear"/>
            <w:tcMar>
              <w:top w:type="dxa" w:w="50"/>
              <w:left w:type="dxa" w:w="100"/>
              <w:bottom w:type="dxa" w:w="50"/>
              <w:right w:type="dxa" w:w="100"/>
            </w:tcMar>
          </w:tcPr>
          <w:p>
            <w:r>
              <w:rPr>
                <w:sz w:val="19"/>
                <w:szCs w:val="19"/>
              </w:rPr>
              <w:t xml:space="preserve">hum</w:t>
            </w:r>
          </w:p>
        </w:tc>
        <w:tc>
          <w:tcPr>
            <w:tcW w:type="dxa" w:w="1900"/>
            <w:shd w:fill="FFFFFF" w:val="clear"/>
            <w:tcMar>
              <w:top w:type="dxa" w:w="50"/>
              <w:left w:type="dxa" w:w="100"/>
              <w:bottom w:type="dxa" w:w="50"/>
              <w:right w:type="dxa" w:w="100"/>
            </w:tcMar>
          </w:tcPr>
          <w:p>
            <w:r>
              <w:rPr>
                <w:sz w:val="19"/>
                <w:szCs w:val="19"/>
              </w:rPr>
              <w:t xml:space="preserve">-1.525</w:t>
            </w:r>
          </w:p>
        </w:tc>
        <w:tc>
          <w:tcPr>
            <w:tcW w:type="dxa" w:w="1900"/>
            <w:shd w:fill="FFFFFF" w:val="clear"/>
            <w:tcMar>
              <w:top w:type="dxa" w:w="50"/>
              <w:left w:type="dxa" w:w="100"/>
              <w:bottom w:type="dxa" w:w="50"/>
              <w:right w:type="dxa" w:w="100"/>
            </w:tcMar>
          </w:tcPr>
          <w:p>
            <w:r>
              <w:rPr>
                <w:sz w:val="19"/>
                <w:szCs w:val="19"/>
              </w:rPr>
              <w:t xml:space="preserve">0.22×</w:t>
            </w:r>
          </w:p>
        </w:tc>
        <w:tc>
          <w:tcPr>
            <w:tcW w:type="dxa" w:w="1660"/>
            <w:shd w:fill="FFFFFF" w:val="clear"/>
            <w:tcMar>
              <w:top w:type="dxa" w:w="50"/>
              <w:left w:type="dxa" w:w="100"/>
              <w:bottom w:type="dxa" w:w="50"/>
              <w:right w:type="dxa" w:w="100"/>
            </w:tcMar>
          </w:tcPr>
          <w:p>
            <w:r>
              <w:rPr>
                <w:sz w:val="19"/>
                <w:szCs w:val="19"/>
              </w:rPr>
              <w:t xml:space="preserve">&lt; 0.001</w:t>
            </w:r>
          </w:p>
        </w:tc>
      </w:tr>
      <w:tr>
        <w:tc>
          <w:tcPr>
            <w:tcW w:type="dxa" w:w="2900"/>
            <w:shd w:fill="EEF2F8" w:val="clear"/>
            <w:tcMar>
              <w:top w:type="dxa" w:w="50"/>
              <w:left w:type="dxa" w:w="100"/>
              <w:bottom w:type="dxa" w:w="50"/>
              <w:right w:type="dxa" w:w="100"/>
            </w:tcMar>
          </w:tcPr>
          <w:p>
            <w:r>
              <w:rPr>
                <w:sz w:val="19"/>
                <w:szCs w:val="19"/>
              </w:rPr>
              <w:t xml:space="preserve">windspeed</w:t>
            </w:r>
          </w:p>
        </w:tc>
        <w:tc>
          <w:tcPr>
            <w:tcW w:type="dxa" w:w="1900"/>
            <w:shd w:fill="EEF2F8" w:val="clear"/>
            <w:tcMar>
              <w:top w:type="dxa" w:w="50"/>
              <w:left w:type="dxa" w:w="100"/>
              <w:bottom w:type="dxa" w:w="50"/>
              <w:right w:type="dxa" w:w="100"/>
            </w:tcMar>
          </w:tcPr>
          <w:p>
            <w:r>
              <w:rPr>
                <w:sz w:val="19"/>
                <w:szCs w:val="19"/>
              </w:rPr>
              <w:t xml:space="preserve">0.191</w:t>
            </w:r>
          </w:p>
        </w:tc>
        <w:tc>
          <w:tcPr>
            <w:tcW w:type="dxa" w:w="1900"/>
            <w:shd w:fill="EEF2F8" w:val="clear"/>
            <w:tcMar>
              <w:top w:type="dxa" w:w="50"/>
              <w:left w:type="dxa" w:w="100"/>
              <w:bottom w:type="dxa" w:w="50"/>
              <w:right w:type="dxa" w:w="100"/>
            </w:tcMar>
          </w:tcPr>
          <w:p>
            <w:r>
              <w:rPr>
                <w:sz w:val="19"/>
                <w:szCs w:val="19"/>
              </w:rPr>
              <w:t xml:space="preserve">1.21×</w:t>
            </w:r>
          </w:p>
        </w:tc>
        <w:tc>
          <w:tcPr>
            <w:tcW w:type="dxa" w:w="1660"/>
            <w:shd w:fill="EEF2F8" w:val="clear"/>
            <w:tcMar>
              <w:top w:type="dxa" w:w="50"/>
              <w:left w:type="dxa" w:w="100"/>
              <w:bottom w:type="dxa" w:w="50"/>
              <w:right w:type="dxa" w:w="100"/>
            </w:tcMar>
          </w:tcPr>
          <w:p>
            <w:r>
              <w:rPr>
                <w:sz w:val="19"/>
                <w:szCs w:val="19"/>
              </w:rPr>
              <w:t xml:space="preserve">0.004</w:t>
            </w:r>
          </w:p>
        </w:tc>
      </w:tr>
      <w:tr>
        <w:tc>
          <w:tcPr>
            <w:tcW w:type="dxa" w:w="2900"/>
            <w:shd w:fill="FFFFFF" w:val="clear"/>
            <w:tcMar>
              <w:top w:type="dxa" w:w="50"/>
              <w:left w:type="dxa" w:w="100"/>
              <w:bottom w:type="dxa" w:w="50"/>
              <w:right w:type="dxa" w:w="100"/>
            </w:tcMar>
          </w:tcPr>
          <w:p>
            <w:r>
              <w:rPr>
                <w:sz w:val="19"/>
                <w:szCs w:val="19"/>
              </w:rPr>
              <w:t xml:space="preserve">season = fall</w:t>
            </w:r>
          </w:p>
        </w:tc>
        <w:tc>
          <w:tcPr>
            <w:tcW w:type="dxa" w:w="1900"/>
            <w:shd w:fill="FFFFFF" w:val="clear"/>
            <w:tcMar>
              <w:top w:type="dxa" w:w="50"/>
              <w:left w:type="dxa" w:w="100"/>
              <w:bottom w:type="dxa" w:w="50"/>
              <w:right w:type="dxa" w:w="100"/>
            </w:tcMar>
          </w:tcPr>
          <w:p>
            <w:r>
              <w:rPr>
                <w:sz w:val="19"/>
                <w:szCs w:val="19"/>
              </w:rPr>
              <w:t xml:space="preserve">-0.217</w:t>
            </w:r>
          </w:p>
        </w:tc>
        <w:tc>
          <w:tcPr>
            <w:tcW w:type="dxa" w:w="1900"/>
            <w:shd w:fill="FFFFFF" w:val="clear"/>
            <w:tcMar>
              <w:top w:type="dxa" w:w="50"/>
              <w:left w:type="dxa" w:w="100"/>
              <w:bottom w:type="dxa" w:w="50"/>
              <w:right w:type="dxa" w:w="100"/>
            </w:tcMar>
          </w:tcPr>
          <w:p>
            <w:r>
              <w:rPr>
                <w:sz w:val="19"/>
                <w:szCs w:val="19"/>
              </w:rPr>
              <w:t xml:space="preserve">0.81×</w:t>
            </w:r>
          </w:p>
        </w:tc>
        <w:tc>
          <w:tcPr>
            <w:tcW w:type="dxa" w:w="1660"/>
            <w:shd w:fill="FFFFFF" w:val="clear"/>
            <w:tcMar>
              <w:top w:type="dxa" w:w="50"/>
              <w:left w:type="dxa" w:w="100"/>
              <w:bottom w:type="dxa" w:w="50"/>
              <w:right w:type="dxa" w:w="100"/>
            </w:tcMar>
          </w:tcPr>
          <w:p>
            <w:r>
              <w:rPr>
                <w:sz w:val="19"/>
                <w:szCs w:val="19"/>
              </w:rPr>
              <w:t xml:space="preserve">&lt; 0.001</w:t>
            </w:r>
          </w:p>
        </w:tc>
      </w:tr>
      <w:tr>
        <w:tc>
          <w:tcPr>
            <w:tcW w:type="dxa" w:w="2900"/>
            <w:shd w:fill="EEF2F8" w:val="clear"/>
            <w:tcMar>
              <w:top w:type="dxa" w:w="50"/>
              <w:left w:type="dxa" w:w="100"/>
              <w:bottom w:type="dxa" w:w="50"/>
              <w:right w:type="dxa" w:w="100"/>
            </w:tcMar>
          </w:tcPr>
          <w:p>
            <w:r>
              <w:rPr>
                <w:sz w:val="19"/>
                <w:szCs w:val="19"/>
              </w:rPr>
              <w:t xml:space="preserve">season = winter</w:t>
            </w:r>
          </w:p>
        </w:tc>
        <w:tc>
          <w:tcPr>
            <w:tcW w:type="dxa" w:w="1900"/>
            <w:shd w:fill="EEF2F8" w:val="clear"/>
            <w:tcMar>
              <w:top w:type="dxa" w:w="50"/>
              <w:left w:type="dxa" w:w="100"/>
              <w:bottom w:type="dxa" w:w="50"/>
              <w:right w:type="dxa" w:w="100"/>
            </w:tcMar>
          </w:tcPr>
          <w:p>
            <w:r>
              <w:rPr>
                <w:sz w:val="19"/>
                <w:szCs w:val="19"/>
              </w:rPr>
              <w:t xml:space="preserve">0.386</w:t>
            </w:r>
          </w:p>
        </w:tc>
        <w:tc>
          <w:tcPr>
            <w:tcW w:type="dxa" w:w="1900"/>
            <w:shd w:fill="EEF2F8" w:val="clear"/>
            <w:tcMar>
              <w:top w:type="dxa" w:w="50"/>
              <w:left w:type="dxa" w:w="100"/>
              <w:bottom w:type="dxa" w:w="50"/>
              <w:right w:type="dxa" w:w="100"/>
            </w:tcMar>
          </w:tcPr>
          <w:p>
            <w:r>
              <w:rPr>
                <w:sz w:val="19"/>
                <w:szCs w:val="19"/>
              </w:rPr>
              <w:t xml:space="preserve">1.47×</w:t>
            </w:r>
          </w:p>
        </w:tc>
        <w:tc>
          <w:tcPr>
            <w:tcW w:type="dxa" w:w="1660"/>
            <w:shd w:fill="EEF2F8" w:val="clear"/>
            <w:tcMar>
              <w:top w:type="dxa" w:w="50"/>
              <w:left w:type="dxa" w:w="100"/>
              <w:bottom w:type="dxa" w:w="50"/>
              <w:right w:type="dxa" w:w="100"/>
            </w:tcMar>
          </w:tcPr>
          <w:p>
            <w:r>
              <w:rPr>
                <w:sz w:val="19"/>
                <w:szCs w:val="19"/>
              </w:rPr>
              <w:t xml:space="preserve">&lt; 0.001</w:t>
            </w:r>
          </w:p>
        </w:tc>
      </w:tr>
      <w:tr>
        <w:tc>
          <w:tcPr>
            <w:tcW w:type="dxa" w:w="2900"/>
            <w:shd w:fill="FFFFFF" w:val="clear"/>
            <w:tcMar>
              <w:top w:type="dxa" w:w="50"/>
              <w:left w:type="dxa" w:w="100"/>
              <w:bottom w:type="dxa" w:w="50"/>
              <w:right w:type="dxa" w:w="100"/>
            </w:tcMar>
          </w:tcPr>
          <w:p>
            <w:r>
              <w:rPr>
                <w:sz w:val="19"/>
                <w:szCs w:val="19"/>
              </w:rPr>
              <w:t xml:space="preserve">weather = mist/cloudy</w:t>
            </w:r>
          </w:p>
        </w:tc>
        <w:tc>
          <w:tcPr>
            <w:tcW w:type="dxa" w:w="1900"/>
            <w:shd w:fill="FFFFFF" w:val="clear"/>
            <w:tcMar>
              <w:top w:type="dxa" w:w="50"/>
              <w:left w:type="dxa" w:w="100"/>
              <w:bottom w:type="dxa" w:w="50"/>
              <w:right w:type="dxa" w:w="100"/>
            </w:tcMar>
          </w:tcPr>
          <w:p>
            <w:r>
              <w:rPr>
                <w:sz w:val="19"/>
                <w:szCs w:val="19"/>
              </w:rPr>
              <w:t xml:space="preserve">0.155</w:t>
            </w:r>
          </w:p>
        </w:tc>
        <w:tc>
          <w:tcPr>
            <w:tcW w:type="dxa" w:w="1900"/>
            <w:shd w:fill="FFFFFF" w:val="clear"/>
            <w:tcMar>
              <w:top w:type="dxa" w:w="50"/>
              <w:left w:type="dxa" w:w="100"/>
              <w:bottom w:type="dxa" w:w="50"/>
              <w:right w:type="dxa" w:w="100"/>
            </w:tcMar>
          </w:tcPr>
          <w:p>
            <w:r>
              <w:rPr>
                <w:sz w:val="19"/>
                <w:szCs w:val="19"/>
              </w:rPr>
              <w:t xml:space="preserve">1.17×</w:t>
            </w:r>
          </w:p>
        </w:tc>
        <w:tc>
          <w:tcPr>
            <w:tcW w:type="dxa" w:w="1660"/>
            <w:shd w:fill="FFFFFF" w:val="clear"/>
            <w:tcMar>
              <w:top w:type="dxa" w:w="50"/>
              <w:left w:type="dxa" w:w="100"/>
              <w:bottom w:type="dxa" w:w="50"/>
              <w:right w:type="dxa" w:w="100"/>
            </w:tcMar>
          </w:tcPr>
          <w:p>
            <w:r>
              <w:rPr>
                <w:sz w:val="19"/>
                <w:szCs w:val="19"/>
              </w:rPr>
              <w:t xml:space="preserve">&lt; 0.001</w:t>
            </w:r>
          </w:p>
        </w:tc>
      </w:tr>
      <w:tr>
        <w:tc>
          <w:tcPr>
            <w:tcW w:type="dxa" w:w="2900"/>
            <w:shd w:fill="EEF2F8" w:val="clear"/>
            <w:tcMar>
              <w:top w:type="dxa" w:w="50"/>
              <w:left w:type="dxa" w:w="100"/>
              <w:bottom w:type="dxa" w:w="50"/>
              <w:right w:type="dxa" w:w="100"/>
            </w:tcMar>
          </w:tcPr>
          <w:p>
            <w:r>
              <w:rPr>
                <w:sz w:val="19"/>
                <w:szCs w:val="19"/>
              </w:rPr>
              <w:t xml:space="preserve">weather = light rain/snow</w:t>
            </w:r>
          </w:p>
        </w:tc>
        <w:tc>
          <w:tcPr>
            <w:tcW w:type="dxa" w:w="1900"/>
            <w:shd w:fill="EEF2F8" w:val="clear"/>
            <w:tcMar>
              <w:top w:type="dxa" w:w="50"/>
              <w:left w:type="dxa" w:w="100"/>
              <w:bottom w:type="dxa" w:w="50"/>
              <w:right w:type="dxa" w:w="100"/>
            </w:tcMar>
          </w:tcPr>
          <w:p>
            <w:r>
              <w:rPr>
                <w:sz w:val="19"/>
                <w:szCs w:val="19"/>
              </w:rPr>
              <w:t xml:space="preserve">-0.111</w:t>
            </w:r>
          </w:p>
        </w:tc>
        <w:tc>
          <w:tcPr>
            <w:tcW w:type="dxa" w:w="1900"/>
            <w:shd w:fill="EEF2F8" w:val="clear"/>
            <w:tcMar>
              <w:top w:type="dxa" w:w="50"/>
              <w:left w:type="dxa" w:w="100"/>
              <w:bottom w:type="dxa" w:w="50"/>
              <w:right w:type="dxa" w:w="100"/>
            </w:tcMar>
          </w:tcPr>
          <w:p>
            <w:r>
              <w:rPr>
                <w:sz w:val="19"/>
                <w:szCs w:val="19"/>
              </w:rPr>
              <w:t xml:space="preserve">0.89×</w:t>
            </w:r>
          </w:p>
        </w:tc>
        <w:tc>
          <w:tcPr>
            <w:tcW w:type="dxa" w:w="1660"/>
            <w:shd w:fill="EEF2F8" w:val="clear"/>
            <w:tcMar>
              <w:top w:type="dxa" w:w="50"/>
              <w:left w:type="dxa" w:w="100"/>
              <w:bottom w:type="dxa" w:w="50"/>
              <w:right w:type="dxa" w:w="100"/>
            </w:tcMar>
          </w:tcPr>
          <w:p>
            <w:r>
              <w:rPr>
                <w:sz w:val="19"/>
                <w:szCs w:val="19"/>
              </w:rPr>
              <w:t xml:space="preserve">&lt; 0.001</w:t>
            </w:r>
          </w:p>
        </w:tc>
      </w:tr>
    </w:tbl>
    <w:p>
      <w:pPr>
        <w:spacing w:after="140" w:line="276"/>
      </w:pPr>
      <w:r>
        <w:rPr>
          <w:sz w:val="21"/>
          <w:szCs w:val="21"/>
        </w:rPr>
        <w:t xml:space="preserve"/>
      </w:r>
    </w:p>
    <w:p>
      <w:pPr>
        <w:spacing w:after="140" w:line="276"/>
      </w:pPr>
      <w:r>
        <w:rPr>
          <w:sz w:val="21"/>
          <w:szCs w:val="21"/>
        </w:rPr>
        <w:t xml:space="preserve">The IRR reading is multiplicative: moving temperature from its minimum to maximum normalized value multiplies expected demand by roughly e^2.68 ≈ 14.6× holding other covariates fixed (an extreme, mostly out-of-sample comparison; realistic within-range moves are smaller), while a one-unit increase in normalized humidity is associated with a ~78% reduction in expected demand. Together, the OLS and NB results agree on sign and relative importance of drivers (temperature dominant and positive, humidity strongly negative, wind speed weak positive, fall/winter seasonal shifts, deteriorating weather reduces demand); the NB model is preferred for inference and prediction because it correctly models cnt as a non-negative, over-dispersed count outcome rather than as continuous and homoscedastic.</w:t>
      </w:r>
    </w:p>
    <w:p>
      <w:pPr>
        <w:pStyle w:val="Heading1"/>
        <w:pBdr>
          <w:bottom w:val="single" w:color="1F3864" w:sz="6"/>
        </w:pBdr>
        <w:spacing w:after="140" w:before="320"/>
      </w:pPr>
      <w:r>
        <w:rPr>
          <w:b/>
          <w:bCs/>
          <w:color w:val="1F3864"/>
          <w:sz w:val="27"/>
          <w:szCs w:val="27"/>
        </w:rPr>
        <w:t xml:space="preserve">4. Task 3 — Demand Forecasting &amp; Predictive Modeling</w:t>
      </w:r>
    </w:p>
    <w:p>
      <w:pPr>
        <w:pStyle w:val="Heading2"/>
        <w:spacing w:after="100" w:before="240"/>
      </w:pPr>
      <w:r>
        <w:rPr>
          <w:b/>
          <w:bCs/>
          <w:color w:val="2E5395"/>
          <w:sz w:val="24"/>
          <w:szCs w:val="24"/>
        </w:rPr>
        <w:t xml:space="preserve">4.1 Train/Test Partitioning and Leakage Control</w:t>
      </w:r>
    </w:p>
    <w:p>
      <w:pPr>
        <w:spacing w:after="140" w:line="276"/>
      </w:pPr>
      <w:r>
        <w:rPr>
          <w:sz w:val="21"/>
          <w:szCs w:val="21"/>
        </w:rPr>
        <w:t xml:space="preserve">Per the assessment specification, the first 20 days of every month were assigned to the training set and days 21 through month-end to the test set, applied uniformly across both years (11,460 training observations spanning 2011-01-01 to 2012-12-20; 5,919 test observations spanning 2011-01-21 to 2012-12-31). Because the split interleaves many short train/test blocks across the two-year horizon rather than a single chronological cut, any lag or rolling-window feature must be computed using only information that would genuinely have been available before the forecast point — using future values (even from the same month) would leak information across the train/test boundary.</w:t>
      </w:r>
    </w:p>
    <w:p>
      <w:pPr>
        <w:spacing w:after="140" w:line="276"/>
      </w:pPr>
      <w:r>
        <w:rPr>
          <w:sz w:val="21"/>
          <w:szCs w:val="21"/>
        </w:rPr>
        <w:t xml:space="preserve">To enforce this, temporal features (24-hour and 168-hour/weekly lags and rolling means) were built from a series in which test-period target values are masked to NaN before computing shifts/rolls, so no test-period cnt value can contaminate a feature. At inference time, a recursive multi-step forecasting procedure walks forward hour-by-hour through the test window: each new prediction is written back into the 'known' series so that subsequent lag/rolling features for later test hours are built from the model's own prior predictions (or from genuine train-period history when close enough to day 20), never from actual held-out targets.</w:t>
      </w:r>
    </w:p>
    <w:p>
      <w:pPr>
        <w:pStyle w:val="Heading2"/>
        <w:spacing w:after="100" w:before="240"/>
      </w:pPr>
      <w:r>
        <w:rPr>
          <w:b/>
          <w:bCs/>
          <w:color w:val="2E5395"/>
          <w:sz w:val="24"/>
          <w:szCs w:val="24"/>
        </w:rPr>
        <w:t xml:space="preserve">4.2 Evaluation Metric(s)</w:t>
      </w:r>
    </w:p>
    <w:p>
      <w:pPr>
        <w:spacing w:after="140" w:line="276"/>
      </w:pPr>
      <w:r>
        <w:rPr>
          <w:sz w:val="21"/>
          <w:szCs w:val="21"/>
        </w:rPr>
        <w:t xml:space="preserve">Three complementary metrics were used: Mean Absolute Error (MAE, interpretable in rentals/hour and robust to outliers), Root Mean Squared Error (RMSE, penalizing large misses more heavily — relevant for capacity/rebalancing decisions), and R² (share of variance explained, for cross-model comparability). RMSE was used as the primary ranking criterion since large under-forecasts during demand spikes are operationally costlier than many small errors.</w:t>
      </w:r>
    </w:p>
    <w:p>
      <w:pPr>
        <w:pStyle w:val="Heading2"/>
        <w:spacing w:after="100" w:before="240"/>
      </w:pPr>
      <w:r>
        <w:rPr>
          <w:b/>
          <w:bCs/>
          <w:color w:val="2E5395"/>
          <w:sz w:val="24"/>
          <w:szCs w:val="24"/>
        </w:rPr>
        <w:t xml:space="preserve">4.3 Feature Engineering</w:t>
      </w:r>
    </w:p>
    <w:p>
      <w:pPr>
        <w:spacing w:after="140" w:line="276"/>
      </w:pPr>
      <w:r>
        <w:rPr>
          <w:sz w:val="21"/>
          <w:szCs w:val="21"/>
        </w:rPr>
        <w:t xml:space="preserve">The base feature set uses only information already required by the model at prediction time: hour, weekday, month, season, weather situation, temperature, humidity, wind speed, holiday, working-day, and year flags. On top of this base set, seven experiments add leak-safe temporal features individually and in combination: 24-hour lag, 168-hour (weekly) lag, 24-hour rolling mean, 168-hour rolling mean, and combinations of the two lag and two rolling-mean features.</w:t>
      </w:r>
    </w:p>
    <w:p>
      <w:pPr>
        <w:pStyle w:val="Heading2"/>
        <w:spacing w:after="100" w:before="240"/>
      </w:pPr>
      <w:r>
        <w:rPr>
          <w:b/>
          <w:bCs/>
          <w:color w:val="2E5395"/>
          <w:sz w:val="24"/>
          <w:szCs w:val="24"/>
        </w:rPr>
        <w:t xml:space="preserve">4.4 Model Architecture &amp; Training Setup</w:t>
      </w:r>
    </w:p>
    <w:p>
      <w:pPr>
        <w:spacing w:after="140" w:line="276"/>
      </w:pPr>
      <w:r>
        <w:rPr>
          <w:sz w:val="21"/>
          <w:szCs w:val="21"/>
        </w:rPr>
        <w:t xml:space="preserve">Two model families were compared. (1) A Negative Binomial GLM (the Task 2 inferential model, refit on the training partition only) serves as a statistical baseline, using only the base feature set. (2) Gradient-boosted trees (XGBRegressor: 500 trees, max depth 6, learning rate 0.05, 80% row/column subsampling, squared-error objective) were trained once per feature-set experiment on the training partition, then evaluated on the test partition — using direct one-shot prediction for the no-lag base model, and the leak-safe recursive multi-step procedure described above for every model that includes lag or rolling-window features.</w:t>
      </w:r>
    </w:p>
    <w:p>
      <w:pPr>
        <w:pStyle w:val="Heading2"/>
        <w:spacing w:after="100" w:before="240"/>
      </w:pPr>
      <w:r>
        <w:rPr>
          <w:b/>
          <w:bCs/>
          <w:color w:val="2E5395"/>
          <w:sz w:val="24"/>
          <w:szCs w:val="24"/>
        </w:rPr>
        <w:t xml:space="preserve">4.5 Empirical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60"/>
        <w:gridCol w:w="1580"/>
        <w:gridCol w:w="1580"/>
        <w:gridCol w:w="1780"/>
      </w:tblGrid>
      <w:tr>
        <w:trPr>
          <w:tblHeader/>
        </w:trPr>
        <w:tc>
          <w:tcPr>
            <w:tcW w:type="dxa" w:w="3860"/>
            <w:shd w:fill="1F3864" w:val="clear"/>
            <w:tcMar>
              <w:top w:type="dxa" w:w="60"/>
              <w:left w:type="dxa" w:w="100"/>
              <w:bottom w:type="dxa" w:w="60"/>
              <w:right w:type="dxa" w:w="100"/>
            </w:tcMar>
          </w:tcPr>
          <w:p>
            <w:r>
              <w:rPr>
                <w:b/>
                <w:bCs/>
                <w:color w:val="FFFFFF"/>
                <w:sz w:val="19"/>
                <w:szCs w:val="19"/>
              </w:rPr>
              <w:t xml:space="preserve">Model / Feature Set</w:t>
            </w:r>
          </w:p>
        </w:tc>
        <w:tc>
          <w:tcPr>
            <w:tcW w:type="dxa" w:w="1580"/>
            <w:shd w:fill="1F3864" w:val="clear"/>
            <w:tcMar>
              <w:top w:type="dxa" w:w="60"/>
              <w:left w:type="dxa" w:w="100"/>
              <w:bottom w:type="dxa" w:w="60"/>
              <w:right w:type="dxa" w:w="100"/>
            </w:tcMar>
          </w:tcPr>
          <w:p>
            <w:r>
              <w:rPr>
                <w:b/>
                <w:bCs/>
                <w:color w:val="FFFFFF"/>
                <w:sz w:val="19"/>
                <w:szCs w:val="19"/>
              </w:rPr>
              <w:t xml:space="preserve">MAE</w:t>
            </w:r>
          </w:p>
        </w:tc>
        <w:tc>
          <w:tcPr>
            <w:tcW w:type="dxa" w:w="1580"/>
            <w:shd w:fill="1F3864" w:val="clear"/>
            <w:tcMar>
              <w:top w:type="dxa" w:w="60"/>
              <w:left w:type="dxa" w:w="100"/>
              <w:bottom w:type="dxa" w:w="60"/>
              <w:right w:type="dxa" w:w="100"/>
            </w:tcMar>
          </w:tcPr>
          <w:p>
            <w:r>
              <w:rPr>
                <w:b/>
                <w:bCs/>
                <w:color w:val="FFFFFF"/>
                <w:sz w:val="19"/>
                <w:szCs w:val="19"/>
              </w:rPr>
              <w:t xml:space="preserve">RMSE</w:t>
            </w:r>
          </w:p>
        </w:tc>
        <w:tc>
          <w:tcPr>
            <w:tcW w:type="dxa" w:w="1780"/>
            <w:shd w:fill="1F3864" w:val="clear"/>
            <w:tcMar>
              <w:top w:type="dxa" w:w="60"/>
              <w:left w:type="dxa" w:w="100"/>
              <w:bottom w:type="dxa" w:w="60"/>
              <w:right w:type="dxa" w:w="100"/>
            </w:tcMar>
          </w:tcPr>
          <w:p>
            <w:r>
              <w:rPr>
                <w:b/>
                <w:bCs/>
                <w:color w:val="FFFFFF"/>
                <w:sz w:val="19"/>
                <w:szCs w:val="19"/>
              </w:rPr>
              <w:t xml:space="preserve">R²</w:t>
            </w:r>
          </w:p>
        </w:tc>
      </w:tr>
      <w:tr>
        <w:tc>
          <w:tcPr>
            <w:tcW w:type="dxa" w:w="3860"/>
            <w:shd w:fill="FFFFFF" w:val="clear"/>
            <w:tcMar>
              <w:top w:type="dxa" w:w="50"/>
              <w:left w:type="dxa" w:w="100"/>
              <w:bottom w:type="dxa" w:w="50"/>
              <w:right w:type="dxa" w:w="100"/>
            </w:tcMar>
          </w:tcPr>
          <w:p>
            <w:r>
              <w:rPr>
                <w:sz w:val="19"/>
                <w:szCs w:val="19"/>
              </w:rPr>
              <w:t xml:space="preserve">Rolling-168 only</w:t>
            </w:r>
          </w:p>
        </w:tc>
        <w:tc>
          <w:tcPr>
            <w:tcW w:type="dxa" w:w="1580"/>
            <w:shd w:fill="FFFFFF" w:val="clear"/>
            <w:tcMar>
              <w:top w:type="dxa" w:w="50"/>
              <w:left w:type="dxa" w:w="100"/>
              <w:bottom w:type="dxa" w:w="50"/>
              <w:right w:type="dxa" w:w="100"/>
            </w:tcMar>
          </w:tcPr>
          <w:p>
            <w:r>
              <w:rPr>
                <w:sz w:val="19"/>
                <w:szCs w:val="19"/>
              </w:rPr>
              <w:t xml:space="preserve">37.54</w:t>
            </w:r>
          </w:p>
        </w:tc>
        <w:tc>
          <w:tcPr>
            <w:tcW w:type="dxa" w:w="1580"/>
            <w:shd w:fill="FFFFFF" w:val="clear"/>
            <w:tcMar>
              <w:top w:type="dxa" w:w="50"/>
              <w:left w:type="dxa" w:w="100"/>
              <w:bottom w:type="dxa" w:w="50"/>
              <w:right w:type="dxa" w:w="100"/>
            </w:tcMar>
          </w:tcPr>
          <w:p>
            <w:r>
              <w:rPr>
                <w:sz w:val="19"/>
                <w:szCs w:val="19"/>
              </w:rPr>
              <w:t xml:space="preserve">59.52</w:t>
            </w:r>
          </w:p>
        </w:tc>
        <w:tc>
          <w:tcPr>
            <w:tcW w:type="dxa" w:w="1780"/>
            <w:shd w:fill="FFFFFF" w:val="clear"/>
            <w:tcMar>
              <w:top w:type="dxa" w:w="50"/>
              <w:left w:type="dxa" w:w="100"/>
              <w:bottom w:type="dxa" w:w="50"/>
              <w:right w:type="dxa" w:w="100"/>
            </w:tcMar>
          </w:tcPr>
          <w:p>
            <w:r>
              <w:rPr>
                <w:sz w:val="19"/>
                <w:szCs w:val="19"/>
              </w:rPr>
              <w:t xml:space="preserve">0.892</w:t>
            </w:r>
          </w:p>
        </w:tc>
      </w:tr>
      <w:tr>
        <w:tc>
          <w:tcPr>
            <w:tcW w:type="dxa" w:w="3860"/>
            <w:shd w:fill="EEF2F8" w:val="clear"/>
            <w:tcMar>
              <w:top w:type="dxa" w:w="50"/>
              <w:left w:type="dxa" w:w="100"/>
              <w:bottom w:type="dxa" w:w="50"/>
              <w:right w:type="dxa" w:w="100"/>
            </w:tcMar>
          </w:tcPr>
          <w:p>
            <w:r>
              <w:rPr>
                <w:sz w:val="19"/>
                <w:szCs w:val="19"/>
              </w:rPr>
              <w:t xml:space="preserve">Rolling-24 only</w:t>
            </w:r>
          </w:p>
        </w:tc>
        <w:tc>
          <w:tcPr>
            <w:tcW w:type="dxa" w:w="1580"/>
            <w:shd w:fill="EEF2F8" w:val="clear"/>
            <w:tcMar>
              <w:top w:type="dxa" w:w="50"/>
              <w:left w:type="dxa" w:w="100"/>
              <w:bottom w:type="dxa" w:w="50"/>
              <w:right w:type="dxa" w:w="100"/>
            </w:tcMar>
          </w:tcPr>
          <w:p>
            <w:r>
              <w:rPr>
                <w:sz w:val="19"/>
                <w:szCs w:val="19"/>
              </w:rPr>
              <w:t xml:space="preserve">36.84</w:t>
            </w:r>
          </w:p>
        </w:tc>
        <w:tc>
          <w:tcPr>
            <w:tcW w:type="dxa" w:w="1580"/>
            <w:shd w:fill="EEF2F8" w:val="clear"/>
            <w:tcMar>
              <w:top w:type="dxa" w:w="50"/>
              <w:left w:type="dxa" w:w="100"/>
              <w:bottom w:type="dxa" w:w="50"/>
              <w:right w:type="dxa" w:w="100"/>
            </w:tcMar>
          </w:tcPr>
          <w:p>
            <w:r>
              <w:rPr>
                <w:sz w:val="19"/>
                <w:szCs w:val="19"/>
              </w:rPr>
              <w:t xml:space="preserve">59.80</w:t>
            </w:r>
          </w:p>
        </w:tc>
        <w:tc>
          <w:tcPr>
            <w:tcW w:type="dxa" w:w="1780"/>
            <w:shd w:fill="EEF2F8" w:val="clear"/>
            <w:tcMar>
              <w:top w:type="dxa" w:w="50"/>
              <w:left w:type="dxa" w:w="100"/>
              <w:bottom w:type="dxa" w:w="50"/>
              <w:right w:type="dxa" w:w="100"/>
            </w:tcMar>
          </w:tcPr>
          <w:p>
            <w:r>
              <w:rPr>
                <w:sz w:val="19"/>
                <w:szCs w:val="19"/>
              </w:rPr>
              <w:t xml:space="preserve">0.891</w:t>
            </w:r>
          </w:p>
        </w:tc>
      </w:tr>
      <w:tr>
        <w:tc>
          <w:tcPr>
            <w:tcW w:type="dxa" w:w="3860"/>
            <w:shd w:fill="FFFFFF" w:val="clear"/>
            <w:tcMar>
              <w:top w:type="dxa" w:w="50"/>
              <w:left w:type="dxa" w:w="100"/>
              <w:bottom w:type="dxa" w:w="50"/>
              <w:right w:type="dxa" w:w="100"/>
            </w:tcMar>
          </w:tcPr>
          <w:p>
            <w:r>
              <w:rPr>
                <w:sz w:val="19"/>
                <w:szCs w:val="19"/>
              </w:rPr>
              <w:t xml:space="preserve">XGBoost base (no lags)</w:t>
            </w:r>
          </w:p>
        </w:tc>
        <w:tc>
          <w:tcPr>
            <w:tcW w:type="dxa" w:w="1580"/>
            <w:shd w:fill="FFFFFF" w:val="clear"/>
            <w:tcMar>
              <w:top w:type="dxa" w:w="50"/>
              <w:left w:type="dxa" w:w="100"/>
              <w:bottom w:type="dxa" w:w="50"/>
              <w:right w:type="dxa" w:w="100"/>
            </w:tcMar>
          </w:tcPr>
          <w:p>
            <w:r>
              <w:rPr>
                <w:sz w:val="19"/>
                <w:szCs w:val="19"/>
              </w:rPr>
              <w:t xml:space="preserve">36.98</w:t>
            </w:r>
          </w:p>
        </w:tc>
        <w:tc>
          <w:tcPr>
            <w:tcW w:type="dxa" w:w="1580"/>
            <w:shd w:fill="FFFFFF" w:val="clear"/>
            <w:tcMar>
              <w:top w:type="dxa" w:w="50"/>
              <w:left w:type="dxa" w:w="100"/>
              <w:bottom w:type="dxa" w:w="50"/>
              <w:right w:type="dxa" w:w="100"/>
            </w:tcMar>
          </w:tcPr>
          <w:p>
            <w:r>
              <w:rPr>
                <w:sz w:val="19"/>
                <w:szCs w:val="19"/>
              </w:rPr>
              <w:t xml:space="preserve">59.88</w:t>
            </w:r>
          </w:p>
        </w:tc>
        <w:tc>
          <w:tcPr>
            <w:tcW w:type="dxa" w:w="1780"/>
            <w:shd w:fill="FFFFFF" w:val="clear"/>
            <w:tcMar>
              <w:top w:type="dxa" w:w="50"/>
              <w:left w:type="dxa" w:w="100"/>
              <w:bottom w:type="dxa" w:w="50"/>
              <w:right w:type="dxa" w:w="100"/>
            </w:tcMar>
          </w:tcPr>
          <w:p>
            <w:r>
              <w:rPr>
                <w:sz w:val="19"/>
                <w:szCs w:val="19"/>
              </w:rPr>
              <w:t xml:space="preserve">0.891</w:t>
            </w:r>
          </w:p>
        </w:tc>
      </w:tr>
      <w:tr>
        <w:tc>
          <w:tcPr>
            <w:tcW w:type="dxa" w:w="3860"/>
            <w:shd w:fill="EEF2F8" w:val="clear"/>
            <w:tcMar>
              <w:top w:type="dxa" w:w="50"/>
              <w:left w:type="dxa" w:w="100"/>
              <w:bottom w:type="dxa" w:w="50"/>
              <w:right w:type="dxa" w:w="100"/>
            </w:tcMar>
          </w:tcPr>
          <w:p>
            <w:r>
              <w:rPr>
                <w:sz w:val="19"/>
                <w:szCs w:val="19"/>
              </w:rPr>
              <w:t xml:space="preserve">All rolling (24+168)</w:t>
            </w:r>
          </w:p>
        </w:tc>
        <w:tc>
          <w:tcPr>
            <w:tcW w:type="dxa" w:w="1580"/>
            <w:shd w:fill="EEF2F8" w:val="clear"/>
            <w:tcMar>
              <w:top w:type="dxa" w:w="50"/>
              <w:left w:type="dxa" w:w="100"/>
              <w:bottom w:type="dxa" w:w="50"/>
              <w:right w:type="dxa" w:w="100"/>
            </w:tcMar>
          </w:tcPr>
          <w:p>
            <w:r>
              <w:rPr>
                <w:sz w:val="19"/>
                <w:szCs w:val="19"/>
              </w:rPr>
              <w:t xml:space="preserve">37.93</w:t>
            </w:r>
          </w:p>
        </w:tc>
        <w:tc>
          <w:tcPr>
            <w:tcW w:type="dxa" w:w="1580"/>
            <w:shd w:fill="EEF2F8" w:val="clear"/>
            <w:tcMar>
              <w:top w:type="dxa" w:w="50"/>
              <w:left w:type="dxa" w:w="100"/>
              <w:bottom w:type="dxa" w:w="50"/>
              <w:right w:type="dxa" w:w="100"/>
            </w:tcMar>
          </w:tcPr>
          <w:p>
            <w:r>
              <w:rPr>
                <w:sz w:val="19"/>
                <w:szCs w:val="19"/>
              </w:rPr>
              <w:t xml:space="preserve">60.18</w:t>
            </w:r>
          </w:p>
        </w:tc>
        <w:tc>
          <w:tcPr>
            <w:tcW w:type="dxa" w:w="1780"/>
            <w:shd w:fill="EEF2F8" w:val="clear"/>
            <w:tcMar>
              <w:top w:type="dxa" w:w="50"/>
              <w:left w:type="dxa" w:w="100"/>
              <w:bottom w:type="dxa" w:w="50"/>
              <w:right w:type="dxa" w:w="100"/>
            </w:tcMar>
          </w:tcPr>
          <w:p>
            <w:r>
              <w:rPr>
                <w:sz w:val="19"/>
                <w:szCs w:val="19"/>
              </w:rPr>
              <w:t xml:space="preserve">0.890</w:t>
            </w:r>
          </w:p>
        </w:tc>
      </w:tr>
      <w:tr>
        <w:tc>
          <w:tcPr>
            <w:tcW w:type="dxa" w:w="3860"/>
            <w:shd w:fill="FFFFFF" w:val="clear"/>
            <w:tcMar>
              <w:top w:type="dxa" w:w="50"/>
              <w:left w:type="dxa" w:w="100"/>
              <w:bottom w:type="dxa" w:w="50"/>
              <w:right w:type="dxa" w:w="100"/>
            </w:tcMar>
          </w:tcPr>
          <w:p>
            <w:r>
              <w:rPr>
                <w:sz w:val="19"/>
                <w:szCs w:val="19"/>
              </w:rPr>
              <w:t xml:space="preserve">Lag-168 only</w:t>
            </w:r>
          </w:p>
        </w:tc>
        <w:tc>
          <w:tcPr>
            <w:tcW w:type="dxa" w:w="1580"/>
            <w:shd w:fill="FFFFFF" w:val="clear"/>
            <w:tcMar>
              <w:top w:type="dxa" w:w="50"/>
              <w:left w:type="dxa" w:w="100"/>
              <w:bottom w:type="dxa" w:w="50"/>
              <w:right w:type="dxa" w:w="100"/>
            </w:tcMar>
          </w:tcPr>
          <w:p>
            <w:r>
              <w:rPr>
                <w:sz w:val="19"/>
                <w:szCs w:val="19"/>
              </w:rPr>
              <w:t xml:space="preserve">39.85</w:t>
            </w:r>
          </w:p>
        </w:tc>
        <w:tc>
          <w:tcPr>
            <w:tcW w:type="dxa" w:w="1580"/>
            <w:shd w:fill="FFFFFF" w:val="clear"/>
            <w:tcMar>
              <w:top w:type="dxa" w:w="50"/>
              <w:left w:type="dxa" w:w="100"/>
              <w:bottom w:type="dxa" w:w="50"/>
              <w:right w:type="dxa" w:w="100"/>
            </w:tcMar>
          </w:tcPr>
          <w:p>
            <w:r>
              <w:rPr>
                <w:sz w:val="19"/>
                <w:szCs w:val="19"/>
              </w:rPr>
              <w:t xml:space="preserve">69.05</w:t>
            </w:r>
          </w:p>
        </w:tc>
        <w:tc>
          <w:tcPr>
            <w:tcW w:type="dxa" w:w="1780"/>
            <w:shd w:fill="FFFFFF" w:val="clear"/>
            <w:tcMar>
              <w:top w:type="dxa" w:w="50"/>
              <w:left w:type="dxa" w:w="100"/>
              <w:bottom w:type="dxa" w:w="50"/>
              <w:right w:type="dxa" w:w="100"/>
            </w:tcMar>
          </w:tcPr>
          <w:p>
            <w:r>
              <w:rPr>
                <w:sz w:val="19"/>
                <w:szCs w:val="19"/>
              </w:rPr>
              <w:t xml:space="preserve">0.855</w:t>
            </w:r>
          </w:p>
        </w:tc>
      </w:tr>
      <w:tr>
        <w:tc>
          <w:tcPr>
            <w:tcW w:type="dxa" w:w="3860"/>
            <w:shd w:fill="EEF2F8" w:val="clear"/>
            <w:tcMar>
              <w:top w:type="dxa" w:w="50"/>
              <w:left w:type="dxa" w:w="100"/>
              <w:bottom w:type="dxa" w:w="50"/>
              <w:right w:type="dxa" w:w="100"/>
            </w:tcMar>
          </w:tcPr>
          <w:p>
            <w:r>
              <w:rPr>
                <w:sz w:val="19"/>
                <w:szCs w:val="19"/>
              </w:rPr>
              <w:t xml:space="preserve">Lag-24 only</w:t>
            </w:r>
          </w:p>
        </w:tc>
        <w:tc>
          <w:tcPr>
            <w:tcW w:type="dxa" w:w="1580"/>
            <w:shd w:fill="EEF2F8" w:val="clear"/>
            <w:tcMar>
              <w:top w:type="dxa" w:w="50"/>
              <w:left w:type="dxa" w:w="100"/>
              <w:bottom w:type="dxa" w:w="50"/>
              <w:right w:type="dxa" w:w="100"/>
            </w:tcMar>
          </w:tcPr>
          <w:p>
            <w:r>
              <w:rPr>
                <w:sz w:val="19"/>
                <w:szCs w:val="19"/>
              </w:rPr>
              <w:t xml:space="preserve">44.23</w:t>
            </w:r>
          </w:p>
        </w:tc>
        <w:tc>
          <w:tcPr>
            <w:tcW w:type="dxa" w:w="1580"/>
            <w:shd w:fill="EEF2F8" w:val="clear"/>
            <w:tcMar>
              <w:top w:type="dxa" w:w="50"/>
              <w:left w:type="dxa" w:w="100"/>
              <w:bottom w:type="dxa" w:w="50"/>
              <w:right w:type="dxa" w:w="100"/>
            </w:tcMar>
          </w:tcPr>
          <w:p>
            <w:r>
              <w:rPr>
                <w:sz w:val="19"/>
                <w:szCs w:val="19"/>
              </w:rPr>
              <w:t xml:space="preserve">78.53</w:t>
            </w:r>
          </w:p>
        </w:tc>
        <w:tc>
          <w:tcPr>
            <w:tcW w:type="dxa" w:w="1780"/>
            <w:shd w:fill="EEF2F8" w:val="clear"/>
            <w:tcMar>
              <w:top w:type="dxa" w:w="50"/>
              <w:left w:type="dxa" w:w="100"/>
              <w:bottom w:type="dxa" w:w="50"/>
              <w:right w:type="dxa" w:w="100"/>
            </w:tcMar>
          </w:tcPr>
          <w:p>
            <w:r>
              <w:rPr>
                <w:sz w:val="19"/>
                <w:szCs w:val="19"/>
              </w:rPr>
              <w:t xml:space="preserve">0.812</w:t>
            </w:r>
          </w:p>
        </w:tc>
      </w:tr>
      <w:tr>
        <w:tc>
          <w:tcPr>
            <w:tcW w:type="dxa" w:w="3860"/>
            <w:shd w:fill="FFFFFF" w:val="clear"/>
            <w:tcMar>
              <w:top w:type="dxa" w:w="50"/>
              <w:left w:type="dxa" w:w="100"/>
              <w:bottom w:type="dxa" w:w="50"/>
              <w:right w:type="dxa" w:w="100"/>
            </w:tcMar>
          </w:tcPr>
          <w:p>
            <w:r>
              <w:rPr>
                <w:sz w:val="19"/>
                <w:szCs w:val="19"/>
              </w:rPr>
              <w:t xml:space="preserve">All lags (24+168)</w:t>
            </w:r>
          </w:p>
        </w:tc>
        <w:tc>
          <w:tcPr>
            <w:tcW w:type="dxa" w:w="1580"/>
            <w:shd w:fill="FFFFFF" w:val="clear"/>
            <w:tcMar>
              <w:top w:type="dxa" w:w="50"/>
              <w:left w:type="dxa" w:w="100"/>
              <w:bottom w:type="dxa" w:w="50"/>
              <w:right w:type="dxa" w:w="100"/>
            </w:tcMar>
          </w:tcPr>
          <w:p>
            <w:r>
              <w:rPr>
                <w:sz w:val="19"/>
                <w:szCs w:val="19"/>
              </w:rPr>
              <w:t xml:space="preserve">46.57</w:t>
            </w:r>
          </w:p>
        </w:tc>
        <w:tc>
          <w:tcPr>
            <w:tcW w:type="dxa" w:w="1580"/>
            <w:shd w:fill="FFFFFF" w:val="clear"/>
            <w:tcMar>
              <w:top w:type="dxa" w:w="50"/>
              <w:left w:type="dxa" w:w="100"/>
              <w:bottom w:type="dxa" w:w="50"/>
              <w:right w:type="dxa" w:w="100"/>
            </w:tcMar>
          </w:tcPr>
          <w:p>
            <w:r>
              <w:rPr>
                <w:sz w:val="19"/>
                <w:szCs w:val="19"/>
              </w:rPr>
              <w:t xml:space="preserve">81.88</w:t>
            </w:r>
          </w:p>
        </w:tc>
        <w:tc>
          <w:tcPr>
            <w:tcW w:type="dxa" w:w="1780"/>
            <w:shd w:fill="FFFFFF" w:val="clear"/>
            <w:tcMar>
              <w:top w:type="dxa" w:w="50"/>
              <w:left w:type="dxa" w:w="100"/>
              <w:bottom w:type="dxa" w:w="50"/>
              <w:right w:type="dxa" w:w="100"/>
            </w:tcMar>
          </w:tcPr>
          <w:p>
            <w:r>
              <w:rPr>
                <w:sz w:val="19"/>
                <w:szCs w:val="19"/>
              </w:rPr>
              <w:t xml:space="preserve">0.796</w:t>
            </w:r>
          </w:p>
        </w:tc>
      </w:tr>
      <w:tr>
        <w:tc>
          <w:tcPr>
            <w:tcW w:type="dxa" w:w="3860"/>
            <w:shd w:fill="EEF2F8" w:val="clear"/>
            <w:tcMar>
              <w:top w:type="dxa" w:w="50"/>
              <w:left w:type="dxa" w:w="100"/>
              <w:bottom w:type="dxa" w:w="50"/>
              <w:right w:type="dxa" w:w="100"/>
            </w:tcMar>
          </w:tcPr>
          <w:p>
            <w:r>
              <w:rPr>
                <w:sz w:val="19"/>
                <w:szCs w:val="19"/>
              </w:rPr>
              <w:t xml:space="preserve">Negative Binomial GLM (baseline)</w:t>
            </w:r>
          </w:p>
        </w:tc>
        <w:tc>
          <w:tcPr>
            <w:tcW w:type="dxa" w:w="1580"/>
            <w:shd w:fill="EEF2F8" w:val="clear"/>
            <w:tcMar>
              <w:top w:type="dxa" w:w="50"/>
              <w:left w:type="dxa" w:w="100"/>
              <w:bottom w:type="dxa" w:w="50"/>
              <w:right w:type="dxa" w:w="100"/>
            </w:tcMar>
          </w:tcPr>
          <w:p>
            <w:r>
              <w:rPr>
                <w:sz w:val="19"/>
                <w:szCs w:val="19"/>
              </w:rPr>
              <w:t xml:space="preserve">68.17</w:t>
            </w:r>
          </w:p>
        </w:tc>
        <w:tc>
          <w:tcPr>
            <w:tcW w:type="dxa" w:w="1580"/>
            <w:shd w:fill="EEF2F8" w:val="clear"/>
            <w:tcMar>
              <w:top w:type="dxa" w:w="50"/>
              <w:left w:type="dxa" w:w="100"/>
              <w:bottom w:type="dxa" w:w="50"/>
              <w:right w:type="dxa" w:w="100"/>
            </w:tcMar>
          </w:tcPr>
          <w:p>
            <w:r>
              <w:rPr>
                <w:sz w:val="19"/>
                <w:szCs w:val="19"/>
              </w:rPr>
              <w:t xml:space="preserve">110.80</w:t>
            </w:r>
          </w:p>
        </w:tc>
        <w:tc>
          <w:tcPr>
            <w:tcW w:type="dxa" w:w="1780"/>
            <w:shd w:fill="EEF2F8" w:val="clear"/>
            <w:tcMar>
              <w:top w:type="dxa" w:w="50"/>
              <w:left w:type="dxa" w:w="100"/>
              <w:bottom w:type="dxa" w:w="50"/>
              <w:right w:type="dxa" w:w="100"/>
            </w:tcMar>
          </w:tcPr>
          <w:p>
            <w:r>
              <w:rPr>
                <w:sz w:val="19"/>
                <w:szCs w:val="19"/>
              </w:rPr>
              <w:t xml:space="preserve">0.626</w:t>
            </w:r>
          </w:p>
        </w:tc>
      </w:tr>
    </w:tbl>
    <w:p>
      <w:pPr>
        <w:spacing w:after="140" w:line="276"/>
      </w:pPr>
      <w:r>
        <w:rPr>
          <w:sz w:val="21"/>
          <w:szCs w:val="21"/>
        </w:rPr>
        <w:t xml:space="preserve"/>
      </w:r>
    </w:p>
    <w:p>
      <w:pPr>
        <w:spacing w:after="140" w:line="276"/>
      </w:pPr>
      <w:r>
        <w:rPr>
          <w:sz w:val="21"/>
          <w:szCs w:val="21"/>
        </w:rPr>
        <w:t xml:space="preserve">Two patterns stand out. First, every XGBoost variant substantially outperforms the statistical NB baseline (RMSE roughly halved), confirming that non-linear interactions among hour, weather, and calendar features — which the additive NB-GLM cannot capture — carry real predictive value. Second, within the XGBoost family, smoothed rolling-mean features beat single-point lag features (e.g., Rolling-168 RMSE 59.52 vs. Lag-168 RMSE 69.05): a single lagged observation is noisy, whereas a weekly or daily rolling average better represents the recent demand regime. Notably, the base model with no temporal features at all (RMSE 59.88) is nearly indistinguishable from the best rolling-feature model (RMSE 59.52) — most of the predictable signal is already captured by hour-of-day, calendar, and weather covariates, and the recursively-generated lag/rolling features add only a modest further gain given the leakage constraints imposed by the multi-block train/test design.</w:t>
      </w:r>
    </w:p>
    <w:p>
      <w:pPr>
        <w:spacing w:before="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28875"/>
                    </a:xfrm>
                    <a:prstGeom prst="rect">
                      <a:avLst/>
                    </a:prstGeom>
                  </pic:spPr>
                </pic:pic>
              </a:graphicData>
            </a:graphic>
          </wp:inline>
        </w:drawing>
      </w:r>
    </w:p>
    <w:p>
      <w:pPr>
        <w:spacing w:after="220" w:before="60"/>
        <w:jc w:val="center"/>
      </w:pPr>
      <w:r>
        <w:rPr>
          <w:i/>
          <w:iCs/>
          <w:color w:val="595959"/>
          <w:sz w:val="18"/>
          <w:szCs w:val="18"/>
        </w:rPr>
        <w:t xml:space="preserve">Figure 8. Actual vs. predicted hourly counts for the top-3 models, first test block (recursive multi-step forecast).</w:t>
      </w:r>
    </w:p>
    <w:p>
      <w:pPr>
        <w:pStyle w:val="Heading1"/>
        <w:pBdr>
          <w:bottom w:val="single" w:color="1F3864" w:sz="6"/>
        </w:pBdr>
        <w:spacing w:after="140" w:before="320"/>
      </w:pPr>
      <w:r>
        <w:rPr>
          <w:b/>
          <w:bCs/>
          <w:color w:val="1F3864"/>
          <w:sz w:val="27"/>
          <w:szCs w:val="27"/>
        </w:rPr>
        <w:t xml:space="preserve">5. Conclusions &amp; Recommendations</w:t>
      </w:r>
    </w:p>
    <w:p>
      <w:pPr>
        <w:pStyle w:val="ListParagraph"/>
        <w:numPr>
          <w:ilvl w:val="0"/>
          <w:numId w:val="1"/>
        </w:numPr>
        <w:spacing w:after="60" w:line="270"/>
      </w:pPr>
      <w:r>
        <w:rPr>
          <w:sz w:val="21"/>
          <w:szCs w:val="21"/>
        </w:rPr>
        <w:t xml:space="preserve">Treat rental count explicitly as an over-dispersed count outcome: Negative Binomial regression is appropriate for interpretable inference on driver effects; OLS understates uncertainty and misrepresents the error structure.</w:t>
      </w:r>
    </w:p>
    <w:p>
      <w:pPr>
        <w:pStyle w:val="ListParagraph"/>
        <w:numPr>
          <w:ilvl w:val="0"/>
          <w:numId w:val="1"/>
        </w:numPr>
        <w:spacing w:after="60" w:line="270"/>
      </w:pPr>
      <w:r>
        <w:rPr>
          <w:sz w:val="21"/>
          <w:szCs w:val="21"/>
        </w:rPr>
        <w:t xml:space="preserve">Temperature, humidity, hour-of-day, season, weather situation, and year are all robust, statistically significant drivers of demand and should anchor any operational forecasting or rebalancing model.</w:t>
      </w:r>
    </w:p>
    <w:p>
      <w:pPr>
        <w:pStyle w:val="ListParagraph"/>
        <w:numPr>
          <w:ilvl w:val="0"/>
          <w:numId w:val="1"/>
        </w:numPr>
        <w:spacing w:after="60" w:line="270"/>
      </w:pPr>
      <w:r>
        <w:rPr>
          <w:sz w:val="21"/>
          <w:szCs w:val="21"/>
        </w:rPr>
        <w:t xml:space="preserve">Casual and registered users have distinct temporal signatures (leisure midday vs. commute double-peak) and are worth modeling or capacity-planning separately where the business use case allows (e.g., station rebalancing before the morning/evening commute vs. weekend leisure corridors).</w:t>
      </w:r>
    </w:p>
    <w:p>
      <w:pPr>
        <w:pStyle w:val="ListParagraph"/>
        <w:numPr>
          <w:ilvl w:val="0"/>
          <w:numId w:val="1"/>
        </w:numPr>
        <w:spacing w:after="60" w:line="270"/>
      </w:pPr>
      <w:r>
        <w:rPr>
          <w:sz w:val="21"/>
          <w:szCs w:val="21"/>
        </w:rPr>
        <w:t xml:space="preserve">For operational forecasting under the specified train/test protocol, gradient-boosted trees with a 168-hour rolling-mean feature, computed with strict leak controls, gave the best out-of-sample accuracy (RMSE 59.5, R² 0.89) and are recommended over both the NB-GLM baseline and simple point-lag features.</w:t>
      </w:r>
    </w:p>
    <w:p>
      <w:pPr>
        <w:pStyle w:val="ListParagraph"/>
        <w:numPr>
          <w:ilvl w:val="0"/>
          <w:numId w:val="1"/>
        </w:numPr>
        <w:spacing w:after="60" w:line="270"/>
      </w:pPr>
      <w:r>
        <w:rPr>
          <w:sz w:val="21"/>
          <w:szCs w:val="21"/>
        </w:rPr>
        <w:t xml:space="preserve">Because the gain from temporal (lag/rolling) features over the no-lag base model is modest under this partitioning scheme, further improvement is more likely to come from richer weather/calendar interactions or external data (e.g., local events, precipitation intensity) than from more elaborate lag engineering alone.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Capital Bikeshare Demand Analysis — Technical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5f0a9556afa0210965a807815070e37648de96.png"/><Relationship Id="rId10" Type="http://schemas.openxmlformats.org/officeDocument/2006/relationships/image" Target="media/e0b44e89f8aa8b14c242a190d3769506ef9c1902.png"/><Relationship Id="rId11" Type="http://schemas.openxmlformats.org/officeDocument/2006/relationships/image" Target="media/760532997da10991f415d6469abdf0516c3d2dff.png"/><Relationship Id="rId12" Type="http://schemas.openxmlformats.org/officeDocument/2006/relationships/image" Target="media/379dd1df97ed3a9eed81e09e59c91bce430c5c1b.png"/><Relationship Id="rId13" Type="http://schemas.openxmlformats.org/officeDocument/2006/relationships/image" Target="media/8136580b29f4d744c5c21df9ec0b456437ac084c.png"/><Relationship Id="rId14" Type="http://schemas.openxmlformats.org/officeDocument/2006/relationships/image" Target="media/be1d00e5bca51fd7743c4d5ad9690816c8b5c8db.png"/><Relationship Id="rId15" Type="http://schemas.openxmlformats.org/officeDocument/2006/relationships/image" Target="media/d1bc102d16816a891b744545cc678e54bf40306f.png"/><Relationship Id="rId16" Type="http://schemas.openxmlformats.org/officeDocument/2006/relationships/image" Target="media/642fec50cdfd2954a9bafd9a7a1dbe152cb540f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2026-09-17T15:33:56.379Z</dcterms:created>
  <dcterms:modified xsi:type="dcterms:W3CDTF">2026-09-17T15:33:56.379Z</dcterms:modified>
</cp:coreProperties>
</file>

<file path=docProps/custom.xml><?xml version="1.0" encoding="utf-8"?>
<Properties xmlns="http://schemas.openxmlformats.org/officeDocument/2006/custom-properties" xmlns:vt="http://schemas.openxmlformats.org/officeDocument/2006/docPropsVTypes"/>
</file>