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4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1.png" ContentType="image/png"/>
  <Override PartName="/word/media/rId136.png" ContentType="image/png"/>
  <Override PartName="/word/media/rId141.png" ContentType="image/png"/>
  <Override PartName="/word/media/rId148.png" ContentType="image/png"/>
  <Override PartName="/word/media/rId1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7" w:name="annual-progress-report-year-1"/>
    <w:p>
      <w:pPr>
        <w:pStyle w:val="Heading1"/>
      </w:pPr>
      <w:r>
        <w:t xml:space="preserve">Annual Progress Report — Year 1</w:t>
      </w:r>
    </w:p>
    <w:bookmarkStart w:id="20" w:name="X0c71b3dc85173439ec1e020c2bdb5289a77cfb8"/>
    <w:p>
      <w:pPr>
        <w:pStyle w:val="Heading2"/>
      </w:pPr>
      <w:r>
        <w:t xml:space="preserve">An Asymmetric Mecanum Platform for Autonomous Operation in Narrow Aisles</w:t>
      </w:r>
    </w:p>
    <w:p>
      <w:pPr>
        <w:pStyle w:val="FirstParagraph"/>
      </w:pPr>
      <w:r>
        <w:rPr>
          <w:bCs/>
          <w:b/>
        </w:rPr>
        <w:t xml:space="preserve">Aritra Das</w:t>
      </w:r>
      <w:r>
        <w:t xml:space="preserve"> </w:t>
      </w:r>
      <w:r>
        <w:t xml:space="preserve">Roll No. 25D0074</w:t>
      </w:r>
      <w:r>
        <w:t xml:space="preserve"> </w:t>
      </w:r>
      <w:r>
        <w:t xml:space="preserve">Department of Biosciences and Bioengineering</w:t>
      </w:r>
      <w:r>
        <w:t xml:space="preserve"> </w:t>
      </w:r>
      <w:r>
        <w:t xml:space="preserve">Indian Institute of Technology Bombay</w:t>
      </w:r>
    </w:p>
    <w:p>
      <w:pPr>
        <w:pStyle w:val="BodyText"/>
      </w:pPr>
      <w:r>
        <w:rPr>
          <w:bCs/>
          <w:b/>
        </w:rPr>
        <w:t xml:space="preserve">Research Supervisor:</w:t>
      </w:r>
      <w:r>
        <w:t xml:space="preserve"> </w:t>
      </w:r>
      <w:r>
        <w:t xml:space="preserve">Prof. Ambarish Kunwar</w:t>
      </w:r>
    </w:p>
    <w:p>
      <w:pPr>
        <w:pStyle w:val="BodyText"/>
      </w:pPr>
      <w:r>
        <w:rPr>
          <w:bCs/>
          <w:b/>
        </w:rPr>
        <w:t xml:space="preserve">Reporting period:</w:t>
      </w:r>
      <w:r>
        <w:t xml:space="preserve"> </w:t>
      </w:r>
      <w:r>
        <w:t xml:space="preserve">first year of registration</w:t>
      </w:r>
      <w:r>
        <w:t xml:space="preserve"> </w:t>
      </w:r>
      <w:r>
        <w:rPr>
          <w:bCs/>
          <w:b/>
        </w:rPr>
        <w:t xml:space="preserve">Draft revision:</w:t>
      </w:r>
      <w:r>
        <w:t xml:space="preserve"> </w:t>
      </w:r>
      <w:r>
        <w:t xml:space="preserve">3 September 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Status of this document.</w:t>
      </w:r>
      <w:r>
        <w:t xml:space="preserve"> </w:t>
      </w:r>
      <w:r>
        <w:t xml:space="preserve">A working draft, assembled from the project’s own</w:t>
      </w:r>
      <w:r>
        <w:t xml:space="preserve"> </w:t>
      </w:r>
      <w:r>
        <w:t xml:space="preserve">version-controlled record rather than written from memory:</w:t>
      </w:r>
      <w:r>
        <w:t xml:space="preserve"> </w:t>
      </w:r>
      <w:r>
        <w:rPr>
          <w:rStyle w:val="VerbatimChar"/>
        </w:rPr>
        <w:t xml:space="preserve">Research_Journal.md</w:t>
      </w:r>
      <w:r>
        <w:t xml:space="preserve"> </w:t>
      </w:r>
      <w:r>
        <w:t xml:space="preserve">(3594 lines, 56 dated entries in Part XVII alone), the theory and audit</w:t>
      </w:r>
      <w:r>
        <w:t xml:space="preserve"> </w:t>
      </w:r>
      <w:r>
        <w:t xml:space="preserve">documents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twenty-two analysis tools and scripts under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,</w:t>
      </w:r>
      <w:r>
        <w:t xml:space="preserve"> </w:t>
      </w:r>
      <w:r>
        <w:t xml:space="preserve">four telemetry logs under</w:t>
      </w:r>
      <w:r>
        <w:t xml:space="preserve"> </w:t>
      </w:r>
      <w:r>
        <w:rPr>
          <w:rStyle w:val="VerbatimChar"/>
        </w:rPr>
        <w:t xml:space="preserve">data/bench_logs/</w:t>
      </w:r>
      <w:r>
        <w:t xml:space="preserve">, and three field runs with pose</w:t>
      </w:r>
      <w:r>
        <w:t xml:space="preserve"> </w:t>
      </w:r>
      <w:r>
        <w:t xml:space="preserve">and map data under</w:t>
      </w:r>
      <w:r>
        <w:t xml:space="preserve"> </w:t>
      </w:r>
      <w:r>
        <w:rPr>
          <w:rStyle w:val="VerbatimChar"/>
        </w:rPr>
        <w:t xml:space="preserve">data/field_runs/</w:t>
      </w:r>
      <w:r>
        <w:t xml:space="preserve">. Every quantitative claim is traceable to</w:t>
      </w:r>
      <w:r>
        <w:t xml:space="preserve"> </w:t>
      </w:r>
      <w:r>
        <w:t xml:space="preserve">one of those or to a paper in §13. Numbers in the results sections were</w:t>
      </w:r>
      <w:r>
        <w:t xml:space="preserve"> </w:t>
      </w:r>
      <w:r>
        <w:t xml:space="preserve">recomputed from the raw logs for this report and agree with the journal.</w:t>
      </w:r>
    </w:p>
    <w:p>
      <w:pPr>
        <w:pStyle w:val="BlockText"/>
      </w:pPr>
      <w:r>
        <w:t xml:space="preserve">Items marked</w:t>
      </w:r>
      <w:r>
        <w:t xml:space="preserve"> </w:t>
      </w:r>
      <w:r>
        <w:rPr>
          <w:bCs/>
          <w:b/>
        </w:rPr>
        <w:t xml:space="preserve">[CONFIRM]</w:t>
      </w:r>
      <w:r>
        <w:t xml:space="preserve"> </w:t>
      </w:r>
      <w:r>
        <w:t xml:space="preserve">need a decision or a piece of information the</w:t>
      </w:r>
      <w:r>
        <w:t xml:space="preserve"> </w:t>
      </w:r>
      <w:r>
        <w:t xml:space="preserve">repository does not hold.</w:t>
      </w:r>
    </w:p>
    <w:p>
      <w:pPr>
        <w:pStyle w:val="BlockText"/>
      </w:pPr>
      <w:r>
        <w:rPr>
          <w:bCs/>
          <w:b/>
        </w:rPr>
        <w:t xml:space="preserve">[CONFIRM] Before submission:</w:t>
      </w:r>
      <w:r>
        <w:t xml:space="preserve"> </w:t>
      </w:r>
      <w:r>
        <w:t xml:space="preserve">the APS deadline and cycle with the Academic</w:t>
      </w:r>
      <w:r>
        <w:t xml:space="preserve"> </w:t>
      </w:r>
      <w:r>
        <w:t xml:space="preserve">Office; the departmental report format and expected length; the supervisor’s</w:t>
      </w:r>
      <w:r>
        <w:t xml:space="preserve"> </w:t>
      </w:r>
      <w:r>
        <w:t xml:space="preserve">view on how much of §11 to include; and the IRCC position on disclosing the</w:t>
      </w:r>
      <w:r>
        <w:t xml:space="preserve"> </w:t>
      </w:r>
      <w:r>
        <w:t xml:space="preserve">UV-C subsystem if a patent filing is contemplated.</w:t>
      </w:r>
    </w:p>
    <w:p>
      <w:r>
        <w:pict>
          <v:rect style="width:0;height:1.5pt" o:hralign="center" o:hrstd="t" o:hr="t"/>
        </w:pict>
      </w:r>
    </w:p>
    <w:bookmarkEnd w:id="20"/>
    <w:bookmarkStart w:id="21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54a346158e1c9302d737b408239f1b33007b474">
        <w:r>
          <w:rPr>
            <w:rStyle w:val="Hyperlink"/>
          </w:rPr>
          <w:t xml:space="preserve">Summary</w:t>
        </w:r>
      </w:hyperlink>
    </w:p>
    <w:p>
      <w:pPr>
        <w:numPr>
          <w:ilvl w:val="0"/>
          <w:numId w:val="1001"/>
        </w:numPr>
        <w:pStyle w:val="Compact"/>
      </w:pPr>
      <w:hyperlink w:anchor="X0a26f89e063bc1d7fdd5c7fcdde78934ebc7ed3">
        <w:r>
          <w:rPr>
            <w:rStyle w:val="Hyperlink"/>
          </w:rPr>
          <w:t xml:space="preserve">Motivation and problem statement</w:t>
        </w:r>
      </w:hyperlink>
    </w:p>
    <w:p>
      <w:pPr>
        <w:numPr>
          <w:ilvl w:val="0"/>
          <w:numId w:val="1001"/>
        </w:numPr>
        <w:pStyle w:val="Compact"/>
      </w:pPr>
      <w:hyperlink w:anchor="X31242b024d6f7723b038b98d3a60d2a31df2a14">
        <w:r>
          <w:rPr>
            <w:rStyle w:val="Hyperlink"/>
          </w:rPr>
          <w:t xml:space="preserve">Literature reviewed and where this work sits</w:t>
        </w:r>
      </w:hyperlink>
    </w:p>
    <w:p>
      <w:pPr>
        <w:numPr>
          <w:ilvl w:val="0"/>
          <w:numId w:val="1001"/>
        </w:numPr>
        <w:pStyle w:val="Compact"/>
      </w:pPr>
      <w:hyperlink w:anchor="Xad21fcd1e8a0ca17c030ad32dd23e01c29cbf89">
        <w:r>
          <w:rPr>
            <w:rStyle w:val="Hyperlink"/>
          </w:rPr>
          <w:t xml:space="preserve">Objectives</w:t>
        </w:r>
      </w:hyperlink>
    </w:p>
    <w:p>
      <w:pPr>
        <w:numPr>
          <w:ilvl w:val="0"/>
          <w:numId w:val="1001"/>
        </w:numPr>
        <w:pStyle w:val="Compact"/>
      </w:pPr>
      <w:hyperlink w:anchor="X2e874c1541ec985ed9e83221ed5aa98d76413b4">
        <w:r>
          <w:rPr>
            <w:rStyle w:val="Hyperlink"/>
          </w:rPr>
          <w:t xml:space="preserve">The platform as built</w:t>
        </w:r>
      </w:hyperlink>
    </w:p>
    <w:p>
      <w:pPr>
        <w:numPr>
          <w:ilvl w:val="0"/>
          <w:numId w:val="1001"/>
        </w:numPr>
        <w:pStyle w:val="Compact"/>
      </w:pPr>
      <w:hyperlink w:anchor="X4487bde78832c4c32b8ecf970ac30e89b1a0b5e">
        <w:r>
          <w:rPr>
            <w:rStyle w:val="Hyperlink"/>
          </w:rPr>
          <w:t xml:space="preserve">Closed-loop velocity control</w:t>
        </w:r>
      </w:hyperlink>
    </w:p>
    <w:p>
      <w:pPr>
        <w:numPr>
          <w:ilvl w:val="0"/>
          <w:numId w:val="1001"/>
        </w:numPr>
        <w:pStyle w:val="Compact"/>
      </w:pPr>
      <w:hyperlink w:anchor="Xe5732b734373125c09efc681ebf52ffdaaa055e">
        <w:r>
          <w:rPr>
            <w:rStyle w:val="Hyperlink"/>
          </w:rPr>
          <w:t xml:space="preserve">Perception, mapping and the frame-convention faults</w:t>
        </w:r>
      </w:hyperlink>
    </w:p>
    <w:p>
      <w:pPr>
        <w:numPr>
          <w:ilvl w:val="0"/>
          <w:numId w:val="1001"/>
        </w:numPr>
        <w:pStyle w:val="Compact"/>
      </w:pPr>
      <w:hyperlink w:anchor="X01fb4ee119d5ed448f155b34380d98021616498">
        <w:r>
          <w:rPr>
            <w:rStyle w:val="Hyperlink"/>
          </w:rPr>
          <w:t xml:space="preserve">The SLAM front-end investigation</w:t>
        </w:r>
      </w:hyperlink>
    </w:p>
    <w:p>
      <w:pPr>
        <w:numPr>
          <w:ilvl w:val="0"/>
          <w:numId w:val="1001"/>
        </w:numPr>
        <w:pStyle w:val="Compact"/>
      </w:pPr>
      <w:hyperlink w:anchor="X1518ac02e4a6e31e42eb81959b39c60efa94b24">
        <w:r>
          <w:rPr>
            <w:rStyle w:val="Hyperlink"/>
          </w:rPr>
          <w:t xml:space="preserve">Autonomous navigation</w:t>
        </w:r>
      </w:hyperlink>
    </w:p>
    <w:p>
      <w:pPr>
        <w:numPr>
          <w:ilvl w:val="0"/>
          <w:numId w:val="1001"/>
        </w:numPr>
        <w:pStyle w:val="Compact"/>
      </w:pPr>
      <w:hyperlink w:anchor="X2dc15bd9a48fa0ff7e00bf9b0334fa7d54765bd">
        <w:r>
          <w:rPr>
            <w:rStyle w:val="Hyperlink"/>
          </w:rPr>
          <w:t xml:space="preserve">Critical evaluation</w:t>
        </w:r>
      </w:hyperlink>
    </w:p>
    <w:p>
      <w:pPr>
        <w:numPr>
          <w:ilvl w:val="0"/>
          <w:numId w:val="1001"/>
        </w:numPr>
        <w:pStyle w:val="Compact"/>
      </w:pPr>
      <w:hyperlink w:anchor="X553658a7eea5025b456fa9140c8ba48c4079d6c">
        <w:r>
          <w:rPr>
            <w:rStyle w:val="Hyperlink"/>
          </w:rPr>
          <w:t xml:space="preserve">Parallel project — instrumentation and control for a UVGI air-disinfection unit</w:t>
        </w:r>
      </w:hyperlink>
    </w:p>
    <w:p>
      <w:pPr>
        <w:numPr>
          <w:ilvl w:val="0"/>
          <w:numId w:val="1001"/>
        </w:numPr>
        <w:pStyle w:val="Compact"/>
      </w:pPr>
      <w:hyperlink w:anchor="Xfb40711c7e9bf5f15711946f2350b0e76d32512">
        <w:r>
          <w:rPr>
            <w:rStyle w:val="Hyperlink"/>
          </w:rPr>
          <w:t xml:space="preserve">Research gaps and the plan for years 2 to 4</w:t>
        </w:r>
      </w:hyperlink>
    </w:p>
    <w:p>
      <w:pPr>
        <w:numPr>
          <w:ilvl w:val="0"/>
          <w:numId w:val="1001"/>
        </w:numPr>
        <w:pStyle w:val="Compact"/>
      </w:pPr>
      <w:hyperlink w:anchor="X8241e2c2f4870e183c18f4839d5b00887fbb26d">
        <w:r>
          <w:rPr>
            <w:rStyle w:val="Hyperlink"/>
          </w:rPr>
          <w:t xml:space="preserve">References</w:t>
        </w:r>
      </w:hyperlink>
    </w:p>
    <w:p>
      <w:pPr>
        <w:numPr>
          <w:ilvl w:val="0"/>
          <w:numId w:val="1001"/>
        </w:numPr>
        <w:pStyle w:val="Compact"/>
      </w:pPr>
      <w:hyperlink w:anchor="X3f9863923e1b43a065232fbb04e470f8d8aee1f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This year produced a working 45.5 kg omnidirectional robot, a validated control</w:t>
      </w:r>
      <w:r>
        <w:t xml:space="preserve"> </w:t>
      </w:r>
      <w:r>
        <w:t xml:space="preserve">stack beneath it, autonomous point-to-point navigation on top of it, and a</w:t>
      </w:r>
      <w:r>
        <w:t xml:space="preserve"> </w:t>
      </w:r>
      <w:r>
        <w:t xml:space="preserve">five-week measurement campaign that root-caused why the one remaining component</w:t>
      </w:r>
      <w:r>
        <w:t xml:space="preserve"> </w:t>
      </w:r>
      <w:r>
        <w:t xml:space="preserve">does not work. The last of those is the most substantial research content, and</w:t>
      </w:r>
      <w:r>
        <w:t xml:space="preserve"> </w:t>
      </w:r>
      <w:r>
        <w:t xml:space="preserve">it is the reason this report is organised the way it is.</w:t>
      </w:r>
    </w:p>
    <w:p>
      <w:pPr>
        <w:pStyle w:val="BodyText"/>
      </w:pPr>
      <w:r>
        <w:t xml:space="preserve">The platform is built around a non-collinear mecanum wheelbase: the two diagonal</w:t>
      </w:r>
      <w:r>
        <w:t xml:space="preserve"> </w:t>
      </w:r>
      <w:r>
        <w:t xml:space="preserve">wheel pairs sit at different longitudinal distances from the body centre, 403 mm</w:t>
      </w:r>
      <w:r>
        <w:t xml:space="preserve"> </w:t>
      </w:r>
      <w:r>
        <w:t xml:space="preserve">and 333 mm, and that 70 mm offset is the geometric premise the machine exists to</w:t>
      </w:r>
      <w:r>
        <w:t xml:space="preserve"> </w:t>
      </w:r>
      <w:r>
        <w:t xml:space="preserve">test.</w:t>
      </w:r>
    </w:p>
    <w:p>
      <w:pPr>
        <w:pStyle w:val="BodyText"/>
      </w:pPr>
      <w:r>
        <w:rPr>
          <w:bCs/>
          <w:b/>
        </w:rPr>
        <w:t xml:space="preserve">What works, measured and reproduced.</w:t>
      </w:r>
      <w:r>
        <w:t xml:space="preserve"> </w:t>
      </w:r>
      <w:r>
        <w:t xml:space="preserve">Closed-loop velocity control tracks</w:t>
      </w:r>
      <w:r>
        <w:t xml:space="preserve"> </w:t>
      </w:r>
      <w:r>
        <w:t xml:space="preserve">commanded wheel speeds to 1.2–1.4 % of peak with no saturation and roughly half</w:t>
      </w:r>
      <w:r>
        <w:t xml:space="preserve"> </w:t>
      </w:r>
      <w:r>
        <w:t xml:space="preserve">the actuator range unused. The controller has now been exercised on the floor as</w:t>
      </w:r>
      <w:r>
        <w:t xml:space="preserve"> </w:t>
      </w:r>
      <w:r>
        <w:t xml:space="preserve">well as in the air, and the ground-load increase in feedforward demand came out</w:t>
      </w:r>
      <w:r>
        <w:t xml:space="preserve"> </w:t>
      </w:r>
      <w:r>
        <w:t xml:space="preserve">at a mean of 24 %, inside the 10–30 % band predicted in advance. Wheel odometry</w:t>
      </w:r>
      <w:r>
        <w:t xml:space="preserve"> </w:t>
      </w:r>
      <w:r>
        <w:t xml:space="preserve">closed a 4.582 m route to 3.1 mm, which is 0.07 %, and 21.85 m to 0.229 m, which</w:t>
      </w:r>
      <w:r>
        <w:t xml:space="preserve"> </w:t>
      </w:r>
      <w:r>
        <w:t xml:space="preserve">is 1.27 % and exactly its own specification. The robot completed its first</w:t>
      </w:r>
      <w:r>
        <w:t xml:space="preserve"> </w:t>
      </w:r>
      <w:r>
        <w:t xml:space="preserve">autonomous forward-and-return round trip on 14 August, and by late August was</w:t>
      </w:r>
      <w:r>
        <w:t xml:space="preserve"> </w:t>
      </w:r>
      <w:r>
        <w:t xml:space="preserve">reaching operator-tapped goals inside a live mapping session in 21–26 seconds.</w:t>
      </w:r>
    </w:p>
    <w:p>
      <w:pPr>
        <w:pStyle w:val="BodyText"/>
      </w:pPr>
      <w:r>
        <w:rPr>
          <w:bCs/>
          <w:b/>
        </w:rPr>
        <w:t xml:space="preserve">What does not work, and why.</w:t>
      </w:r>
      <w:r>
        <w:t xml:space="preserve"> </w:t>
      </w:r>
      <w:r>
        <w:t xml:space="preserve">Every occupancy map this project has produced</w:t>
      </w:r>
      <w:r>
        <w:t xml:space="preserve"> </w:t>
      </w:r>
      <w:r>
        <w:t xml:space="preserve">grades as folded and unusable for localisation. Five sessions of scan-matcher</w:t>
      </w:r>
      <w:r>
        <w:t xml:space="preserve"> </w:t>
      </w:r>
      <w:r>
        <w:t xml:space="preserve">tuning did not fix it, and the reason they could not is the single sharpest</w:t>
      </w:r>
      <w:r>
        <w:t xml:space="preserve"> </w:t>
      </w:r>
      <w:r>
        <w:t xml:space="preserve">result of the year: the cumulative pose correction measured 2.80, 2.85 and</w:t>
      </w:r>
      <w:r>
        <w:t xml:space="preserve"> </w:t>
      </w:r>
      <w:r>
        <w:t xml:space="preserve">2.86 m across three different parameter sets, invariant to within 2 %. A</w:t>
      </w:r>
      <w:r>
        <w:t xml:space="preserve"> </w:t>
      </w:r>
      <w:r>
        <w:t xml:space="preserve">quantity that does not move when every available lever is pulled is not being</w:t>
      </w:r>
      <w:r>
        <w:t xml:space="preserve"> </w:t>
      </w:r>
      <w:r>
        <w:t xml:space="preserve">set by those levers. Measuring the sensor input instead, for the first time in</w:t>
      </w:r>
      <w:r>
        <w:t xml:space="preserve"> </w:t>
      </w:r>
      <w:r>
        <w:t xml:space="preserve">the project, found 74.8–78 % of LiDAR rays flipping between valid and invalid</w:t>
      </w:r>
      <w:r>
        <w:t xml:space="preserve"> </w:t>
      </w:r>
      <w:r>
        <w:t xml:space="preserve">between consecutive scans with the robot stationary. The scan matcher is handed</w:t>
      </w:r>
      <w:r>
        <w:t xml:space="preserve"> </w:t>
      </w:r>
      <w:r>
        <w:t xml:space="preserve">a different point cloud every sweep. The YDLIDAR X4 Pro is a triangulation</w:t>
      </w:r>
      <w:r>
        <w:t xml:space="preserve"> </w:t>
      </w:r>
      <w:r>
        <w:t xml:space="preserve">scanner rated at under 2 % of range and it is performing to that specification;</w:t>
      </w:r>
      <w:r>
        <w:t xml:space="preserve"> </w:t>
      </w:r>
      <w:r>
        <w:t xml:space="preserve">the specification is not sufficient for the task.</w:t>
      </w:r>
    </w:p>
    <w:p>
      <w:pPr>
        <w:pStyle w:val="BodyText"/>
      </w:pPr>
      <w:r>
        <w:t xml:space="preserve">The response was to select the better of two measured estimators rather than</w:t>
      </w:r>
      <w:r>
        <w:t xml:space="preserve"> </w:t>
      </w:r>
      <w:r>
        <w:t xml:space="preserve">keep tuning the worse one. Disabling the sequential scan matcher, so the pose</w:t>
      </w:r>
      <w:r>
        <w:t xml:space="preserve"> </w:t>
      </w:r>
      <w:r>
        <w:t xml:space="preserve">comes from the wheels and the scan is stamped down there, removed the fault</w:t>
      </w:r>
      <w:r>
        <w:t xml:space="preserve"> </w:t>
      </w:r>
      <w:r>
        <w:t xml:space="preserve">completely: zero corrections across 698 seconds and 18.5 m of driving on two</w:t>
      </w:r>
      <w:r>
        <w:t xml:space="preserve"> </w:t>
      </w:r>
      <w:r>
        <w:t xml:space="preserve">structurally different routes, against 48 correction events on the drive it</w:t>
      </w:r>
      <w:r>
        <w:t xml:space="preserve"> </w:t>
      </w:r>
      <w:r>
        <w:t xml:space="preserve">replaced.</w:t>
      </w:r>
    </w:p>
    <w:p>
      <w:pPr>
        <w:pStyle w:val="BodyText"/>
      </w:pPr>
      <w:r>
        <w:rPr>
          <w:bCs/>
          <w:b/>
        </w:rPr>
        <w:t xml:space="preserve">One finding that changes a load-bearing assumption.</w:t>
      </w:r>
      <w:r>
        <w:t xml:space="preserve"> </w:t>
      </w:r>
      <w:r>
        <w:t xml:space="preserve">Photogrammetry on the</w:t>
      </w:r>
      <w:r>
        <w:t xml:space="preserve"> </w:t>
      </w:r>
      <w:r>
        <w:t xml:space="preserve">run video, measured against the floor tile grout and validated each time against</w:t>
      </w:r>
      <w:r>
        <w:t xml:space="preserve"> </w:t>
      </w:r>
      <w:r>
        <w:t xml:space="preserve">a frame of known rotation, found that heading error the project had recorded as</w:t>
      </w:r>
      <w:r>
        <w:t xml:space="preserve"> </w:t>
      </w:r>
      <w:r>
        <w:t xml:space="preserve">physical wheel slip is substantially estimator error. Two runs, on different</w:t>
      </w:r>
      <w:r>
        <w:t xml:space="preserve"> </w:t>
      </w:r>
      <w:r>
        <w:t xml:space="preserve">routes: odometry reported 3.85° and 4.49° of heading drift where the floor says</w:t>
      </w:r>
      <w:r>
        <w:t xml:space="preserve"> </w:t>
      </w:r>
      <w:r>
        <w:t xml:space="preserve">0.03° and 0.00°. Physical slip cannot be corrected by better estimation.</w:t>
      </w:r>
      <w:r>
        <w:t xml:space="preserve"> </w:t>
      </w:r>
      <w:r>
        <w:t xml:space="preserve">Estimator error can. This converts the case for an inertial sensor from a</w:t>
      </w:r>
      <w:r>
        <w:t xml:space="preserve"> </w:t>
      </w:r>
      <w:r>
        <w:t xml:space="preserve">general recommendation into one with a measurement behind it.</w:t>
      </w:r>
    </w:p>
    <w:p>
      <w:pPr>
        <w:pStyle w:val="BodyText"/>
      </w:pPr>
      <w:r>
        <w:rPr>
          <w:bCs/>
          <w:b/>
        </w:rPr>
        <w:t xml:space="preserve">What has not been done.</w:t>
      </w:r>
      <w:r>
        <w:t xml:space="preserve"> </w:t>
      </w:r>
      <w:r>
        <w:t xml:space="preserve">No accepted commissioning map exists, and the</w:t>
      </w:r>
      <w:r>
        <w:t xml:space="preserve"> </w:t>
      </w:r>
      <w:r>
        <w:t xml:space="preserve">localisation mode that depends on one has never executed. The inertial sensor</w:t>
      </w:r>
      <w:r>
        <w:t xml:space="preserve"> </w:t>
      </w:r>
      <w:r>
        <w:t xml:space="preserve">has not been procured. Eighty-two distinct defects were root-caused and fixed</w:t>
      </w:r>
      <w:r>
        <w:t xml:space="preserve"> </w:t>
      </w:r>
      <w:r>
        <w:t xml:space="preserve">across the year, and §10.2 treats the pattern in them as a finding rather than</w:t>
      </w:r>
      <w:r>
        <w:t xml:space="preserve"> </w:t>
      </w:r>
      <w:r>
        <w:t xml:space="preserve">as housekeeping.</w:t>
      </w:r>
    </w:p>
    <w:p>
      <w:pPr>
        <w:pStyle w:val="BodyText"/>
      </w:pPr>
      <w:r>
        <w:t xml:space="preserve">Alongside this, a second and independent project was carried out: an</w:t>
      </w:r>
      <w:r>
        <w:t xml:space="preserve"> </w:t>
      </w:r>
      <w:r>
        <w:t xml:space="preserve">instrumentation and control system for a UV-C air-disinfection unit under a</w:t>
      </w:r>
      <w:r>
        <w:t xml:space="preserve"> </w:t>
      </w:r>
      <w:r>
        <w:t xml:space="preserve">departmental TIH-IoT activity, reported in §11 with its own objectives and its</w:t>
      </w:r>
      <w:r>
        <w:t xml:space="preserve"> </w:t>
      </w:r>
      <w:r>
        <w:t xml:space="preserve">own self-audit.</w:t>
      </w:r>
    </w:p>
    <w:p>
      <w:r>
        <w:pict>
          <v:rect style="width:0;height:1.5pt" o:hralign="center" o:hrstd="t" o:hr="t"/>
        </w:pict>
      </w:r>
    </w:p>
    <w:bookmarkEnd w:id="22"/>
    <w:bookmarkStart w:id="29" w:name="motivation-and-problem-statement"/>
    <w:p>
      <w:pPr>
        <w:pStyle w:val="Heading2"/>
      </w:pPr>
      <w:r>
        <w:t xml:space="preserve">2. Motivation and problem statement</w:t>
      </w:r>
    </w:p>
    <w:bookmarkStart w:id="26" w:name="X534cb3b8ab4632c68bdd2b1baaec7aca3a1191b"/>
    <w:p>
      <w:pPr>
        <w:pStyle w:val="Heading3"/>
      </w:pPr>
      <w:r>
        <w:t xml:space="preserve">2.1 The environments that motivate the geometry</w:t>
      </w:r>
    </w:p>
    <w:p>
      <w:pPr>
        <w:pStyle w:val="FirstParagraph"/>
      </w:pPr>
      <w:r>
        <w:t xml:space="preserve">A robot working in a warehouse aisle, an aircraft cabin corridor or a restaurant</w:t>
      </w:r>
      <w:r>
        <w:t xml:space="preserve"> </w:t>
      </w:r>
      <w:r>
        <w:t xml:space="preserve">service passage faces a constraint most mobile-robot research does not treat as</w:t>
      </w:r>
      <w:r>
        <w:t xml:space="preserve"> </w:t>
      </w:r>
      <w:r>
        <w:t xml:space="preserve">primary: the corridor is barely wider than the machine. Differential-drive and</w:t>
      </w:r>
      <w:r>
        <w:t xml:space="preserve"> </w:t>
      </w:r>
      <w:r>
        <w:t xml:space="preserve">steered platforms handle this badly, because correcting lateral position</w:t>
      </w:r>
      <w:r>
        <w:t xml:space="preserve"> </w:t>
      </w:r>
      <w:r>
        <w:t xml:space="preserve">requires a manoeuvre that consumes longitudinal space the corridor does not</w:t>
      </w:r>
      <w:r>
        <w:t xml:space="preserve"> </w:t>
      </w:r>
      <w:r>
        <w:t xml:space="preserve">have. Mecanum wheels remove that constraint by decoupling the three planar</w:t>
      </w:r>
      <w:r>
        <w:t xml:space="preserve"> </w:t>
      </w:r>
      <w:r>
        <w:t xml:space="preserve">degrees of freedom.</w:t>
      </w:r>
    </w:p>
    <w:p>
      <w:pPr>
        <w:pStyle w:val="BodyText"/>
      </w:pPr>
      <w:r>
        <w:t xml:space="preserve">Mecanum kinematics alone do not solve the problem, because a conventional</w:t>
      </w:r>
      <w:r>
        <w:t xml:space="preserve"> </w:t>
      </w:r>
      <w:r>
        <w:t xml:space="preserve">four-wheel platform places its wheels at the corners of a rectangle and the</w:t>
      </w:r>
      <w:r>
        <w:t xml:space="preserve"> </w:t>
      </w:r>
      <w:r>
        <w:t xml:space="preserve">chassis must then be at least as wide as the track plus clearance. This platform</w:t>
      </w:r>
      <w:r>
        <w:t xml:space="preserve"> </w:t>
      </w:r>
      <w:r>
        <w:t xml:space="preserve">breaks that symmetry, placing wheels non-collinearly in a point-symmetric rather</w:t>
      </w:r>
      <w:r>
        <w:t xml:space="preserve"> </w:t>
      </w:r>
      <w:r>
        <w:t xml:space="preserve">than mirror-symmetric layout, following the geometry established in the</w:t>
      </w:r>
      <w:r>
        <w:t xml:space="preserve"> </w:t>
      </w:r>
      <w:r>
        <w:t xml:space="preserve">foundational paper on asymmetric narrow-aisle platforms [1].</w:t>
      </w:r>
    </w:p>
    <w:p>
      <w:pPr>
        <w:pStyle w:val="CaptionedFigure"/>
      </w:pPr>
      <w:r>
        <w:drawing>
          <wp:inline>
            <wp:extent cx="5334000" cy="2241797"/>
            <wp:effectExtent b="0" l="0" r="0" t="0"/>
            <wp:docPr descr="Asymmetric wheelbase geometry" title="" id="24" name="Picture"/>
            <a:graphic>
              <a:graphicData uri="http://schemas.openxmlformats.org/drawingml/2006/picture">
                <pic:pic>
                  <pic:nvPicPr>
                    <pic:cNvPr descr="figures/fig01_asymmetric_geometr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Asymmetric wheelbase geometry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(a) Plan view to scale. The footprint was tape-measured at</w:t>
      </w:r>
      <w:r>
        <w:t xml:space="preserve"> </w:t>
      </w:r>
      <w:r>
        <w:t xml:space="preserve">1.00 × 0.36 m, wheel outer to wheel outer. (b) The consequence for control: each</w:t>
      </w:r>
      <w:r>
        <w:t xml:space="preserve"> </w:t>
      </w:r>
      <w:r>
        <w:t xml:space="preserve">wheel carries its own yaw coefficient. Substituting a single symmetric value for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anywhere in the software converts the machine, in that code path only, into</w:t>
      </w:r>
      <w:r>
        <w:t xml:space="preserve"> </w:t>
      </w:r>
      <w:r>
        <w:t xml:space="preserve">an ordinary mecanum platform. This happened once; see Appendix D.</w:t>
      </w:r>
    </w:p>
    <w:p>
      <w:pPr>
        <w:pStyle w:val="BodyText"/>
      </w:pPr>
      <w:r>
        <w:t xml:space="preserve">The inverse kinematics that follow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F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0.0762</m:t>
        </m:r>
      </m:oMath>
      <w:r>
        <w:t xml:space="preserve"> </w:t>
      </w:r>
      <w:r>
        <w:t xml:space="preserve">m,</w:t>
      </w:r>
      <w:r>
        <w:t xml:space="preserve"> </w:t>
      </w:r>
      <m:oMath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0.5607</m:t>
        </m:r>
      </m:oMath>
      <w:r>
        <w:t xml:space="preserve"> </w:t>
      </w:r>
      <w:r>
        <w:t xml:space="preserve">m and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0.4907</m:t>
        </m:r>
      </m:oMath>
      <w:r>
        <w:t xml:space="preserve"> </w:t>
      </w:r>
      <w:r>
        <w:t xml:space="preserve">m.</w:t>
      </w:r>
    </w:p>
    <w:p>
      <w:pPr>
        <w:pStyle w:val="BodyText"/>
      </w:pPr>
      <w:r>
        <w:t xml:space="preserve">An unexpected consequence of the asymmetry, found by auditing the kinematics in</w:t>
      </w:r>
      <w:r>
        <w:t xml:space="preserve"> </w:t>
      </w:r>
      <w:r>
        <w:t xml:space="preserve">August, is worth recording because it is the best piece of theory the platform</w:t>
      </w:r>
      <w:r>
        <w:t xml:space="preserve"> </w:t>
      </w:r>
      <w:r>
        <w:t xml:space="preserve">has produced. Rows 1 and 4 of the inverse-kinematics matrix share the</w:t>
      </w:r>
      <w:r>
        <w:t xml:space="preserve"> </w:t>
      </w:r>
      <w:r>
        <w:t xml:space="preserve">translational term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+</m:t>
            </m:r>
            <m:r>
              <m:t>v</m:t>
            </m:r>
          </m:e>
        </m:d>
      </m:oMath>
      <w:r>
        <w:t xml:space="preserve"> </w:t>
      </w:r>
      <w:r>
        <w:t xml:space="preserve">and rows 2 and 3 share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r>
              <m:t>v</m:t>
            </m:r>
          </m:e>
        </m:d>
      </m:oMath>
      <w:r>
        <w:t xml:space="preserve">, so each diagonal pair</w:t>
      </w:r>
      <w:r>
        <w:t xml:space="preserve"> </w:t>
      </w:r>
      <w:r>
        <w:t xml:space="preserve">measures yaw independently, on its own lever arm: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ω</m:t>
                  </m:r>
                </m:e>
              </m:acc>
            </m:e>
            <m:sub>
              <m:r>
                <m:rPr>
                  <m:nor/>
                  <m:sty m:val="p"/>
                </m:rPr>
                <m:t>outer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F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R</m:t>
                      </m:r>
                      <m:r>
                        <m:t>L</m:t>
                      </m:r>
                    </m:sub>
                  </m:sSub>
                </m:e>
              </m:d>
            </m:num>
            <m:den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ω</m:t>
                  </m:r>
                </m:e>
              </m:acc>
            </m:e>
            <m:sub>
              <m:r>
                <m:rPr>
                  <m:nor/>
                  <m:sty m:val="p"/>
                </m:rPr>
                <m:t>inner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F</m:t>
                      </m:r>
                      <m:r>
                        <m:t>L</m:t>
                      </m:r>
                    </m:sub>
                  </m:sSub>
                </m:e>
              </m:d>
            </m:num>
            <m:den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Their mean is the published yaw rate. Their</w:t>
      </w:r>
      <w:r>
        <w:t xml:space="preserve"> </w:t>
      </w:r>
      <w:r>
        <w:rPr>
          <w:iCs/>
          <w:i/>
        </w:rPr>
        <w:t xml:space="preserve">difference</w:t>
      </w:r>
      <w:r>
        <w:t xml:space="preserve">, scaled by</w:t>
      </w:r>
      <w:r>
        <w:t xml:space="preserve"> </w:t>
      </w:r>
      <m:oMath>
        <m:r>
          <m:t>2</m:t>
        </m:r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,</w:t>
      </w:r>
      <w:r>
        <w:t xml:space="preserve"> </w:t>
      </w:r>
      <w:r>
        <w:t xml:space="preserve">is exactly the slip residual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r>
            <m:t>1.142656</m:t>
          </m:r>
          <m:r>
            <m:t> </m:t>
          </m:r>
          <m:sSub>
            <m:e>
              <m:r>
                <m:t>ω</m:t>
              </m:r>
            </m:e>
            <m:sub>
              <m:r>
                <m:t>F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1.142656</m:t>
          </m:r>
          <m:r>
            <m:t> 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which the wheel-forensics tool uses to detect slip from encoders alone. The yaw</w:t>
      </w:r>
      <w:r>
        <w:t xml:space="preserve"> </w:t>
      </w:r>
      <w:r>
        <w:t xml:space="preserve">signal and its own error bar come out of the same measurement, and the pair is</w:t>
      </w:r>
      <w:r>
        <w:t xml:space="preserve"> </w:t>
      </w:r>
      <w:r>
        <w:t xml:space="preserve">non-degenerate only 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. The asymmetry that motivates the</w:t>
      </w:r>
      <w:r>
        <w:t xml:space="preserve"> </w:t>
      </w:r>
      <w:r>
        <w:t xml:space="preserve">chassis also, incidentally, makes the drivetrain self-diagnosing.</w:t>
      </w:r>
    </w:p>
    <w:bookmarkEnd w:id="26"/>
    <w:bookmarkStart w:id="27" w:name="Xb19326f162ab1b83932ea8c383a12fbded82fdc"/>
    <w:p>
      <w:pPr>
        <w:pStyle w:val="Heading3"/>
      </w:pPr>
      <w:r>
        <w:t xml:space="preserve">2.2 The application thread, and the connection to this department</w:t>
      </w:r>
    </w:p>
    <w:p>
      <w:pPr>
        <w:pStyle w:val="FirstParagraph"/>
      </w:pPr>
      <w:r>
        <w:t xml:space="preserve">Two application targets appear in the record and both are relevant to a</w:t>
      </w:r>
      <w:r>
        <w:t xml:space="preserve"> </w:t>
      </w:r>
      <w:r>
        <w:t xml:space="preserve">Department of Biosciences and Bioengineering. The platform carries a three-tube</w:t>
      </w:r>
      <w:r>
        <w:t xml:space="preserve"> </w:t>
      </w:r>
      <w:r>
        <w:t xml:space="preserve">staged UV-C germicidal lighting subsystem on its cargo arm, giving a mobile</w:t>
      </w:r>
      <w:r>
        <w:t xml:space="preserve"> </w:t>
      </w:r>
      <w:r>
        <w:t xml:space="preserve">aisle-scale disinfection capability; the parallel project in §11 instruments a</w:t>
      </w:r>
      <w:r>
        <w:t xml:space="preserve"> </w:t>
      </w:r>
      <w:r>
        <w:t xml:space="preserve">fixed UV-C air-disinfection chamber. The unifying question across both is dose</w:t>
      </w:r>
      <w:r>
        <w:t xml:space="preserve"> </w:t>
      </w:r>
      <w:r>
        <w:t xml:space="preserve">delivery: germicidal effect depends on the product of irradiance and exposure</w:t>
      </w:r>
      <w:r>
        <w:t xml:space="preserve"> </w:t>
      </w:r>
      <w:r>
        <w:t xml:space="preserve">time, and neither system yet measures the irradiance it delivers in a way that</w:t>
      </w:r>
      <w:r>
        <w:t xml:space="preserve"> </w:t>
      </w:r>
      <w:r>
        <w:t xml:space="preserve">could close a loop around that product.</w:t>
      </w:r>
    </w:p>
    <w:p>
      <w:pPr>
        <w:pStyle w:val="BodyText"/>
      </w:pPr>
      <w:r>
        <w:t xml:space="preserve">The record also describes an autonomous food-delivery cart as a long-term</w:t>
      </w:r>
      <w:r>
        <w:t xml:space="preserve"> </w:t>
      </w:r>
      <w:r>
        <w:t xml:space="preserve">target, which imposes a different constraint set (smooth motion so liquids are</w:t>
      </w:r>
      <w:r>
        <w:t xml:space="preserve"> </w:t>
      </w:r>
      <w:r>
        <w:t xml:space="preserve">not spilled, predictable behaviour around people, acoustic noise as a</w:t>
      </w:r>
      <w:r>
        <w:t xml:space="preserve"> </w:t>
      </w:r>
      <w:r>
        <w:t xml:space="preserve">first-order parameter).</w:t>
      </w:r>
    </w:p>
    <w:p>
      <w:pPr>
        <w:pStyle w:val="BlockText"/>
      </w:pPr>
      <w:r>
        <w:rPr>
          <w:bCs/>
          <w:b/>
        </w:rPr>
        <w:t xml:space="preserve">[CONFIRM]</w:t>
      </w:r>
      <w:r>
        <w:t xml:space="preserve"> </w:t>
      </w:r>
      <w:r>
        <w:t xml:space="preserve">Which of these is the thesis application, or whether the thesis</w:t>
      </w:r>
      <w:r>
        <w:t xml:space="preserve"> </w:t>
      </w:r>
      <w:r>
        <w:t xml:space="preserve">is framed at the platform level with both as demonstrators. This shapes §4 and</w:t>
      </w:r>
      <w:r>
        <w:t xml:space="preserve"> </w:t>
      </w:r>
      <w:r>
        <w:t xml:space="preserve">§12 and should be settled with the supervisor before the seminar. The draft</w:t>
      </w:r>
      <w:r>
        <w:t xml:space="preserve"> </w:t>
      </w:r>
      <w:r>
        <w:t xml:space="preserve">below is written at the platform level, with UV-C dose delivery as the primary</w:t>
      </w:r>
      <w:r>
        <w:t xml:space="preserve"> </w:t>
      </w:r>
      <w:r>
        <w:t xml:space="preserve">application thread, because that is the framing with the clearest connection</w:t>
      </w:r>
      <w:r>
        <w:t xml:space="preserve"> </w:t>
      </w:r>
      <w:r>
        <w:t xml:space="preserve">to the department.</w:t>
      </w:r>
    </w:p>
    <w:bookmarkEnd w:id="27"/>
    <w:bookmarkStart w:id="28" w:name="the-research-question"/>
    <w:p>
      <w:pPr>
        <w:pStyle w:val="Heading3"/>
      </w:pPr>
      <w:r>
        <w:t xml:space="preserve">2.3 The research question</w:t>
      </w:r>
    </w:p>
    <w:p>
      <w:pPr>
        <w:pStyle w:val="BlockText"/>
      </w:pPr>
      <w:r>
        <w:t xml:space="preserve">Does non-collinear mecanum wheel placement deliver a usable reduction in</w:t>
      </w:r>
      <w:r>
        <w:t xml:space="preserve"> </w:t>
      </w:r>
      <w:r>
        <w:t xml:space="preserve">chassis width without a corresponding loss of trajectory-tracking accuracy or</w:t>
      </w:r>
      <w:r>
        <w:t xml:space="preserve"> </w:t>
      </w:r>
      <w:r>
        <w:t xml:space="preserve">disturbance rejection, and can a platform built on that geometry localise and</w:t>
      </w:r>
      <w:r>
        <w:t xml:space="preserve"> </w:t>
      </w:r>
      <w:r>
        <w:t xml:space="preserve">navigate reliably in corridors whose clearance is comparable to its own</w:t>
      </w:r>
      <w:r>
        <w:t xml:space="preserve"> </w:t>
      </w:r>
      <w:r>
        <w:t xml:space="preserve">inscribed radius?</w:t>
      </w:r>
    </w:p>
    <w:p>
      <w:pPr>
        <w:pStyle w:val="FirstParagraph"/>
      </w:pPr>
      <w:r>
        <w:t xml:space="preserve">Three sub-questions follow, and the third emerged from this year’s measurements</w:t>
      </w:r>
      <w:r>
        <w:t xml:space="preserve"> </w:t>
      </w:r>
      <w:r>
        <w:t xml:space="preserve">rather than from the literature:</w:t>
      </w:r>
    </w:p>
    <w:p>
      <w:pPr>
        <w:numPr>
          <w:ilvl w:val="0"/>
          <w:numId w:val="1002"/>
        </w:numPr>
        <w:pStyle w:val="Compact"/>
      </w:pPr>
      <w:r>
        <w:t xml:space="preserve">What is the quantitative cost of the asymmetry? The foundational paper</w:t>
      </w:r>
      <w:r>
        <w:t xml:space="preserve"> </w:t>
      </w:r>
      <w:r>
        <w:t xml:space="preserve">validates the kinematics in simulation. No controlled comparison of an</w:t>
      </w:r>
      <w:r>
        <w:t xml:space="preserve"> </w:t>
      </w:r>
      <w:r>
        <w:t xml:space="preserve">asymmetric platform against a symmetric one of matched capability appears to</w:t>
      </w:r>
      <w:r>
        <w:t xml:space="preserve"> </w:t>
      </w:r>
      <w:r>
        <w:t xml:space="preserve">have been published.</w:t>
      </w:r>
    </w:p>
    <w:p>
      <w:pPr>
        <w:numPr>
          <w:ilvl w:val="0"/>
          <w:numId w:val="1002"/>
        </w:numPr>
        <w:pStyle w:val="Compact"/>
      </w:pPr>
      <w:r>
        <w:t xml:space="preserve">How does the eccentricity between geometric centre and centre of mass affect</w:t>
      </w:r>
      <w:r>
        <w:t xml:space="preserve"> </w:t>
      </w:r>
      <w:r>
        <w:t xml:space="preserve">tracking under a varying cargo load?</w:t>
      </w:r>
    </w:p>
    <w:p>
      <w:pPr>
        <w:numPr>
          <w:ilvl w:val="0"/>
          <w:numId w:val="1002"/>
        </w:numPr>
        <w:pStyle w:val="Compact"/>
      </w:pPr>
      <w:r>
        <w:t xml:space="preserve">What sensing is actually required for corridor-width localisation? This</w:t>
      </w:r>
      <w:r>
        <w:t xml:space="preserve"> </w:t>
      </w:r>
      <w:r>
        <w:t xml:space="preserve">year’s work establishes that a low-cost triangulation LiDAR, performing to</w:t>
      </w:r>
      <w:r>
        <w:t xml:space="preserve"> </w:t>
      </w:r>
      <w:r>
        <w:t xml:space="preserve">its own specification, is not sufficient, and that a substantial part of the</w:t>
      </w:r>
      <w:r>
        <w:t xml:space="preserve"> </w:t>
      </w:r>
      <w:r>
        <w:t xml:space="preserve">remaining error is estimator drift rather than physical slip. Both findings</w:t>
      </w:r>
      <w:r>
        <w:t xml:space="preserve"> </w:t>
      </w:r>
      <w:r>
        <w:t xml:space="preserve">narrow the question from</w:t>
      </w:r>
      <w:r>
        <w:t xml:space="preserve"> </w:t>
      </w:r>
      <w:r>
        <w:t xml:space="preserve">“</w:t>
      </w:r>
      <w:r>
        <w:t xml:space="preserve">add sensors</w:t>
      </w:r>
      <w:r>
        <w:t xml:space="preserve">”</w:t>
      </w:r>
      <w:r>
        <w:t xml:space="preserve"> </w:t>
      </w:r>
      <w:r>
        <w:t xml:space="preserve">to a specific, measured deficit.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d437d5107803db490972d7e9daded67b2ff7552"/>
    <w:p>
      <w:pPr>
        <w:pStyle w:val="Heading2"/>
      </w:pPr>
      <w:r>
        <w:t xml:space="preserve">3. Literature reviewed and where this work sits</w:t>
      </w:r>
    </w:p>
    <w:p>
      <w:pPr>
        <w:pStyle w:val="FirstParagraph"/>
      </w:pPr>
      <w:r>
        <w:t xml:space="preserve">Every paper cited was retrieved from the publication record and checked for</w:t>
      </w:r>
      <w:r>
        <w:t xml:space="preserve"> </w:t>
      </w:r>
      <w:r>
        <w:t xml:space="preserve">retractions before use; the full list with DOIs is maintained in</w:t>
      </w:r>
      <w:r>
        <w:t xml:space="preserve"> </w:t>
      </w:r>
      <w:r>
        <w:rPr>
          <w:rStyle w:val="VerbatimChar"/>
        </w:rPr>
        <w:t xml:space="preserve">research_articles/README.md</w:t>
      </w:r>
      <w:r>
        <w:t xml:space="preserve"> </w:t>
      </w:r>
      <w:r>
        <w:t xml:space="preserve">and reproduced in §13.</w:t>
      </w:r>
    </w:p>
    <w:bookmarkStart w:id="30" w:name="asymmetric-and-omnidirectional-platforms"/>
    <w:p>
      <w:pPr>
        <w:pStyle w:val="Heading3"/>
      </w:pPr>
      <w:r>
        <w:t xml:space="preserve">3.1 Asymmetric and omnidirectional platforms</w:t>
      </w:r>
    </w:p>
    <w:p>
      <w:pPr>
        <w:pStyle w:val="FirstParagraph"/>
      </w:pPr>
      <w:r>
        <w:t xml:space="preserve">The geometric basis comes from the foundational work on asymmetric narrow-aisle</w:t>
      </w:r>
      <w:r>
        <w:t xml:space="preserve"> </w:t>
      </w:r>
      <w:r>
        <w:t xml:space="preserve">platforms [1], which derives the wheel-velocity to body-velocity transformation</w:t>
      </w:r>
      <w:r>
        <w:t xml:space="preserve"> </w:t>
      </w:r>
      <w:r>
        <w:t xml:space="preserve">for non-collinear placement and validates it in simulation. The contribution</w:t>
      </w:r>
      <w:r>
        <w:t xml:space="preserve"> </w:t>
      </w:r>
      <w:r>
        <w:t xml:space="preserve">here is a physical implementation with a closed control loop and a perception</w:t>
      </w:r>
      <w:r>
        <w:t xml:space="preserve"> </w:t>
      </w:r>
      <w:r>
        <w:t xml:space="preserve">stack, not a new kinematic derivation.</w:t>
      </w:r>
    </w:p>
    <w:p>
      <w:pPr>
        <w:pStyle w:val="BodyText"/>
      </w:pPr>
      <w:r>
        <w:t xml:space="preserve">Galati and co-workers provide the empirical result that shaped the whole</w:t>
      </w:r>
      <w:r>
        <w:t xml:space="preserve"> </w:t>
      </w:r>
      <w:r>
        <w:t xml:space="preserve">autonomy roadmap [2]: open-loop heading on a mecanum platform drifts 4.56° over</w:t>
      </w:r>
      <w:r>
        <w:t xml:space="preserve"> </w:t>
      </w:r>
      <w:r>
        <w:t xml:space="preserve">10 m on industrial concrete. For a machine 0.36 m wide in a corridor with a few</w:t>
      </w:r>
      <w:r>
        <w:t xml:space="preserve"> </w:t>
      </w:r>
      <w:r>
        <w:t xml:space="preserve">centimetres of clearance per side, that is roughly 0.8 m of lateral error over</w:t>
      </w:r>
      <w:r>
        <w:t xml:space="preserve"> </w:t>
      </w:r>
      <w:r>
        <w:t xml:space="preserve">10 m, which is a collision rather than a tolerance problem. This number is why</w:t>
      </w:r>
      <w:r>
        <w:t xml:space="preserve"> </w:t>
      </w:r>
      <w:r>
        <w:t xml:space="preserve">fused localisation was scheduled as a separate phase. It is also, as §8.4</w:t>
      </w:r>
      <w:r>
        <w:t xml:space="preserve"> </w:t>
      </w:r>
      <w:r>
        <w:t xml:space="preserve">reports, a number this project can now partly attribute to the estimator rather</w:t>
      </w:r>
      <w:r>
        <w:t xml:space="preserve"> </w:t>
      </w:r>
      <w:r>
        <w:t xml:space="preserve">than to the floor.</w:t>
      </w:r>
    </w:p>
    <w:p>
      <w:pPr>
        <w:pStyle w:val="BodyText"/>
      </w:pPr>
      <w:r>
        <w:t xml:space="preserve">Adaptive and fuzzy tuning approaches [3, 4] were read and deliberately not</w:t>
      </w:r>
      <w:r>
        <w:t xml:space="preserve"> </w:t>
      </w:r>
      <w:r>
        <w:t xml:space="preserve">adopted. A fixed-gain controller whose plant has not been identified is not a</w:t>
      </w:r>
      <w:r>
        <w:t xml:space="preserve"> </w:t>
      </w:r>
      <w:r>
        <w:t xml:space="preserve">fair baseline against which to judge an adaptive scheme, so the comparison is</w:t>
      </w:r>
      <w:r>
        <w:t xml:space="preserve"> </w:t>
      </w:r>
      <w:r>
        <w:t xml:space="preserve">deferred to §12.</w:t>
      </w:r>
    </w:p>
    <w:bookmarkEnd w:id="30"/>
    <w:bookmarkStart w:id="31" w:name="slam"/>
    <w:p>
      <w:pPr>
        <w:pStyle w:val="Heading3"/>
      </w:pPr>
      <w:r>
        <w:t xml:space="preserve">3.2 SLAM</w:t>
      </w:r>
    </w:p>
    <w:p>
      <w:pPr>
        <w:pStyle w:val="FirstParagraph"/>
      </w:pPr>
      <w:r>
        <w:t xml:space="preserve">The algorithm choice was reviewed before any parameter was touched, and written</w:t>
      </w:r>
      <w:r>
        <w:t xml:space="preserve"> </w:t>
      </w:r>
      <w:r>
        <w:t xml:space="preserve">up in</w:t>
      </w:r>
      <w:r>
        <w:t xml:space="preserve"> </w:t>
      </w:r>
      <w:r>
        <w:rPr>
          <w:rStyle w:val="VerbatimChar"/>
        </w:rPr>
        <w:t xml:space="preserve">docs/SLAM_Theory.md</w:t>
      </w:r>
      <w:r>
        <w:t xml:space="preserve">. The conclusion was to retain</w:t>
      </w:r>
      <w:r>
        <w:t xml:space="preserve"> </w:t>
      </w:r>
      <w:r>
        <w:rPr>
          <w:rStyle w:val="VerbatimChar"/>
        </w:rPr>
        <w:t xml:space="preserve">slam_toolbox</w:t>
      </w:r>
      <w:r>
        <w:t xml:space="preserve"> </w:t>
      </w:r>
      <w:r>
        <w:t xml:space="preserve">[5] on</w:t>
      </w:r>
      <w:r>
        <w:t xml:space="preserve"> </w:t>
      </w:r>
      <w:r>
        <w:t xml:space="preserve">stated grounds.</w:t>
      </w:r>
    </w:p>
    <w:p>
      <w:pPr>
        <w:pStyle w:val="BodyText"/>
      </w:pPr>
      <w:r>
        <w:t xml:space="preserve">Rao-Blackwellised particle filtering [6] carries one map copy per particle, so</w:t>
      </w:r>
      <w:r>
        <w:t xml:space="preserve"> </w:t>
      </w:r>
      <w:r>
        <w:t xml:space="preserve">memory and computation scale with particle count times map size. That cost is</w:t>
      </w:r>
      <w:r>
        <w:t xml:space="preserve"> </w:t>
      </w:r>
      <w:r>
        <w:t xml:space="preserve">quantified by the two accelerator papers of Sugiura and Matsutani [7, 8], which</w:t>
      </w:r>
      <w:r>
        <w:t xml:space="preserve"> </w:t>
      </w:r>
      <w:r>
        <w:t xml:space="preserve">exist because the method is too slow on embedded hardware without dedicated</w:t>
      </w:r>
      <w:r>
        <w:t xml:space="preserve"> </w:t>
      </w:r>
      <w:r>
        <w:t xml:space="preserve">silicon; this platform runs on a Raspberry Pi 5 with no GPU. An empirical</w:t>
      </w:r>
      <w:r>
        <w:t xml:space="preserve"> </w:t>
      </w:r>
      <w:r>
        <w:t xml:space="preserve">comparison on an RPLidar-A1, the same class of low-cost rotating sensor as the</w:t>
      </w:r>
      <w:r>
        <w:t xml:space="preserve"> </w:t>
      </w:r>
      <w:r>
        <w:t xml:space="preserve">YDLIDAR used here, found GMapping noisier and less accurate than scan-matching</w:t>
      </w:r>
      <w:r>
        <w:t xml:space="preserve"> </w:t>
      </w:r>
      <w:r>
        <w:t xml:space="preserve">methods on that sensor tier [9].</w:t>
      </w:r>
    </w:p>
    <w:p>
      <w:pPr>
        <w:pStyle w:val="BodyText"/>
      </w:pPr>
      <w:r>
        <w:t xml:space="preserve">Hector SLAM [10] is a legitimate alternative whose no-odometry design suited</w:t>
      </w:r>
      <w:r>
        <w:t xml:space="preserve"> </w:t>
      </w:r>
      <w:r>
        <w:t xml:space="preserve">this project while its own odometry was unreliable. It has no pose-graph</w:t>
      </w:r>
      <w:r>
        <w:t xml:space="preserve"> </w:t>
      </w:r>
      <w:r>
        <w:t xml:space="preserve">back-end, so drift is minimised going forward and never corrected. Cartographer</w:t>
      </w:r>
      <w:r>
        <w:t xml:space="preserve"> </w:t>
      </w:r>
      <w:r>
        <w:t xml:space="preserve">[11] is more capable, using submaps with branch-and-bound global matching, and</w:t>
      </w:r>
      <w:r>
        <w:t xml:space="preserve"> </w:t>
      </w:r>
      <w:r>
        <w:t xml:space="preserve">remains a sensible upgrade if the mapped area grows beyond a single aisle</w:t>
      </w:r>
      <w:r>
        <w:t xml:space="preserve"> </w:t>
      </w:r>
      <w:r>
        <w:t xml:space="preserve">environment.</w:t>
      </w:r>
      <w:r>
        <w:t xml:space="preserve"> </w:t>
      </w:r>
      <w:r>
        <w:rPr>
          <w:rStyle w:val="VerbatimChar"/>
        </w:rPr>
        <w:t xml:space="preserve">slam_toolbox</w:t>
      </w:r>
      <w:r>
        <w:t xml:space="preserve"> </w:t>
      </w:r>
      <w:r>
        <w:t xml:space="preserve">was retained because it offers scan-matching-only</w:t>
      </w:r>
      <w:r>
        <w:t xml:space="preserve"> </w:t>
      </w:r>
      <w:r>
        <w:t xml:space="preserve">operation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Ceres-based pose-graph optimiser descended from Sparse Pose</w:t>
      </w:r>
      <w:r>
        <w:t xml:space="preserve"> </w:t>
      </w:r>
      <w:r>
        <w:t xml:space="preserve">Adjustment [12].</w:t>
      </w:r>
    </w:p>
    <w:p>
      <w:pPr>
        <w:pStyle w:val="BodyText"/>
      </w:pPr>
      <w:r>
        <w:t xml:space="preserve">The mathematics the pipeline runs was derived rather than cited in passing: the</w:t>
      </w:r>
      <w:r>
        <w:t xml:space="preserve"> </w:t>
      </w:r>
      <w:r>
        <w:t xml:space="preserve">point-to-line ICP metric [13] that correlative front ends approximate, the</w:t>
      </w:r>
      <w:r>
        <w:t xml:space="preserve"> </w:t>
      </w:r>
      <w:r>
        <w:t xml:space="preserve">nonlinear least-squares pose-graph formulation [14], and the Bayesian log-odds</w:t>
      </w:r>
      <w:r>
        <w:t xml:space="preserve"> </w:t>
      </w:r>
      <w:r>
        <w:t xml:space="preserve">occupancy update [15]. That last connection turned out to be practically useful.</w:t>
      </w:r>
      <w:r>
        <w:t xml:space="preserve"> </w:t>
      </w:r>
      <w:r>
        <w:t xml:space="preserve">The three-value PGM convention the map files use, 0 occupied, 205 unknown,</w:t>
      </w:r>
      <w:r>
        <w:t xml:space="preserve"> </w:t>
      </w:r>
      <w:r>
        <w:t xml:space="preserve">254 free, is the saturated log-odds value, so the recurring</w:t>
      </w:r>
      <w:r>
        <w:t xml:space="preserve"> </w:t>
      </w:r>
      <w:r>
        <w:t xml:space="preserve">“</w:t>
      </w:r>
      <w:r>
        <w:t xml:space="preserve">85 % unknown</w:t>
      </w:r>
      <w:r>
        <w:t xml:space="preserve">”</w:t>
      </w:r>
      <w:r>
        <w:t xml:space="preserve"> </w:t>
      </w:r>
      <w:r>
        <w:t xml:space="preserve">figure of §7.4 is not a separate diagnostic but a direct statement that those</w:t>
      </w:r>
      <w:r>
        <w:t xml:space="preserve"> </w:t>
      </w:r>
      <w:r>
        <w:t xml:space="preserve">cells never accumulated enough evidence to move off a prior of one half.</w:t>
      </w:r>
    </w:p>
    <w:p>
      <w:pPr>
        <w:pStyle w:val="BodyText"/>
      </w:pPr>
      <w:r>
        <w:t xml:space="preserve">One structural property of the chosen implementation had to be established by</w:t>
      </w:r>
      <w:r>
        <w:t xml:space="preserve"> </w:t>
      </w:r>
      <w:r>
        <w:t xml:space="preserve">reading its source rather than its documentation, and it materially shaped the</w:t>
      </w:r>
      <w:r>
        <w:t xml:space="preserve"> </w:t>
      </w:r>
      <w:r>
        <w:t xml:space="preserve">investigation in §8. This installed build of</w:t>
      </w:r>
      <w:r>
        <w:t xml:space="preserve"> </w:t>
      </w:r>
      <w:r>
        <w:rPr>
          <w:rStyle w:val="VerbatimChar"/>
        </w:rPr>
        <w:t xml:space="preserve">slam_toolbox</w:t>
      </w:r>
      <w:r>
        <w:t xml:space="preserve"> </w:t>
      </w:r>
      <w:r>
        <w:t xml:space="preserve">registers no</w:t>
      </w:r>
      <w:r>
        <w:t xml:space="preserve"> </w:t>
      </w:r>
      <w:r>
        <w:t xml:space="preserve">listener for the automatic loop-closure candidate events and publishes no topic</w:t>
      </w:r>
      <w:r>
        <w:t xml:space="preserve"> </w:t>
      </w:r>
      <w:r>
        <w:t xml:space="preserve">carrying them, confirmed against the running node’s own topic list. There is no</w:t>
      </w:r>
      <w:r>
        <w:t xml:space="preserve"> </w:t>
      </w:r>
      <w:r>
        <w:t xml:space="preserve">observable signal, console or topic, for whether an automatic closure was</w:t>
      </w:r>
      <w:r>
        <w:t xml:space="preserve"> </w:t>
      </w:r>
      <w:r>
        <w:t xml:space="preserve">accepted or rejected. A whole class of instrumentation is therefore unavailable</w:t>
      </w:r>
      <w:r>
        <w:t xml:space="preserve"> </w:t>
      </w:r>
      <w:r>
        <w:t xml:space="preserve">on this stack, and knowing that saved subsequent sessions from searching for it.</w:t>
      </w:r>
    </w:p>
    <w:bookmarkEnd w:id="31"/>
    <w:bookmarkStart w:id="32" w:name="navigation"/>
    <w:p>
      <w:pPr>
        <w:pStyle w:val="Heading3"/>
      </w:pPr>
      <w:r>
        <w:t xml:space="preserve">3.3 Navigation</w:t>
      </w:r>
    </w:p>
    <w:p>
      <w:pPr>
        <w:pStyle w:val="FirstParagraph"/>
      </w:pPr>
      <w:r>
        <w:t xml:space="preserve">The navigation stack, its layered costmap architecture and its local controllers</w:t>
      </w:r>
      <w:r>
        <w:t xml:space="preserve"> </w:t>
      </w:r>
      <w:r>
        <w:t xml:space="preserve">were reviewed in</w:t>
      </w:r>
      <w:r>
        <w:t xml:space="preserve"> </w:t>
      </w:r>
      <w:r>
        <w:rPr>
          <w:rStyle w:val="VerbatimChar"/>
        </w:rPr>
        <w:t xml:space="preserve">docs/Navigation_Theory.md</w:t>
      </w:r>
      <w:r>
        <w:t xml:space="preserve"> </w:t>
      </w:r>
      <w:r>
        <w:t xml:space="preserve">[16–20]. The stack itself [16]</w:t>
      </w:r>
      <w:r>
        <w:t xml:space="preserve"> </w:t>
      </w:r>
      <w:r>
        <w:t xml:space="preserve">contributes behaviour-tree task orchestration over lifecycle-managed nodes, with</w:t>
      </w:r>
      <w:r>
        <w:t xml:space="preserve"> </w:t>
      </w:r>
      <w:r>
        <w:t xml:space="preserve">collision checking in SE(2) that admits holonomic platforms rather than assuming</w:t>
      </w:r>
      <w:r>
        <w:t xml:space="preserve"> </w:t>
      </w:r>
      <w:r>
        <w:t xml:space="preserve">a differential-drive motion model; its motivating deployments are warehouse and</w:t>
      </w:r>
      <w:r>
        <w:t xml:space="preserve"> </w:t>
      </w:r>
      <w:r>
        <w:t xml:space="preserve">retail floors.</w:t>
      </w:r>
    </w:p>
    <w:p>
      <w:pPr>
        <w:pStyle w:val="BodyText"/>
      </w:pPr>
      <w:r>
        <w:t xml:space="preserve">Two results from that reading changed the configuration materially.</w:t>
      </w:r>
    </w:p>
    <w:p>
      <w:pPr>
        <w:pStyle w:val="BodyText"/>
      </w:pPr>
      <w:r>
        <w:t xml:space="preserve">The layered-costmap semantics [17] make explicit that the inflation band is a</w:t>
      </w:r>
      <w:r>
        <w:t xml:space="preserve"> </w:t>
      </w:r>
      <w:r>
        <w:rPr>
          <w:iCs/>
          <w:i/>
        </w:rPr>
        <w:t xml:space="preserve">path preference</w:t>
      </w:r>
      <w:r>
        <w:t xml:space="preserve">, not a collision statement, and that safety comes from the</w:t>
      </w:r>
      <w:r>
        <w:t xml:space="preserve"> </w:t>
      </w:r>
      <w:r>
        <w:t xml:space="preserve">exact footprint polygon check. That distinction matters disproportionately here,</w:t>
      </w:r>
      <w:r>
        <w:t xml:space="preserve"> </w:t>
      </w:r>
      <w:r>
        <w:t xml:space="preserve">because an inflation radius set generously</w:t>
      </w:r>
      <w:r>
        <w:t xml:space="preserve"> </w:t>
      </w:r>
      <w:r>
        <w:t xml:space="preserve">“</w:t>
      </w:r>
      <w:r>
        <w:t xml:space="preserve">for safety</w:t>
      </w:r>
      <w:r>
        <w:t xml:space="preserve">”</w:t>
      </w:r>
      <w:r>
        <w:t xml:space="preserve"> </w:t>
      </w:r>
      <w:r>
        <w:t xml:space="preserve">makes an aisle the</w:t>
      </w:r>
      <w:r>
        <w:t xml:space="preserve"> </w:t>
      </w:r>
      <w:r>
        <w:t xml:space="preserve">machine physically fits appear impassable.</w:t>
      </w:r>
    </w:p>
    <w:p>
      <w:pPr>
        <w:pStyle w:val="BodyText"/>
      </w:pPr>
      <w:r>
        <w:t xml:space="preserve">The choice between the Dynamic Window Approach [18] and Model Predictive Path</w:t>
      </w:r>
      <w:r>
        <w:t xml:space="preserve"> </w:t>
      </w:r>
      <w:r>
        <w:t xml:space="preserve">Integral control [20] was settled on source rather than preference, and then</w:t>
      </w:r>
      <w:r>
        <w:t xml:space="preserve"> </w:t>
      </w:r>
      <w:r>
        <w:t xml:space="preserve">revisited on evidence. DWB was adopted first on the reasoning that it is lighter</w:t>
      </w:r>
      <w:r>
        <w:t xml:space="preserve"> </w:t>
      </w:r>
      <w:r>
        <w:t xml:space="preserve">and the original MPPI experiments run on a GPU this robot does not have. That</w:t>
      </w:r>
      <w:r>
        <w:t xml:space="preserve"> </w:t>
      </w:r>
      <w:r>
        <w:t xml:space="preserve">choice was then reversed in August for a reason the earlier reading had not</w:t>
      </w:r>
      <w:r>
        <w:t xml:space="preserve"> </w:t>
      </w:r>
      <w:r>
        <w:t xml:space="preserve">anticipated: DWB’s rotate-to-goal critic enforces a bit-exact zero-translation</w:t>
      </w:r>
      <w:r>
        <w:t xml:space="preserve"> </w:t>
      </w:r>
      <w:r>
        <w:t xml:space="preserve">test, and because the sampler builds a full cross-product grid, only one</w:t>
      </w:r>
      <w:r>
        <w:t xml:space="preserve"> </w:t>
      </w:r>
      <w:r>
        <w:t xml:space="preserve">candidate in fifty survives it. Rotation-only goals failed structurally, not</w:t>
      </w:r>
      <w:r>
        <w:t xml:space="preserve"> </w:t>
      </w:r>
      <w:r>
        <w:t xml:space="preserve">intermittently. MPPI’s critics are uniformly additive with no</w:t>
      </w:r>
      <w:r>
        <w:t xml:space="preserve"> </w:t>
      </w:r>
      <w:r>
        <w:t xml:space="preserve">throw-and-eliminate path anywhere in the optimiser, so that failure class cannot</w:t>
      </w:r>
      <w:r>
        <w:t xml:space="preserve"> </w:t>
      </w:r>
      <w:r>
        <w:t xml:space="preserve">occur by construction, and its omnidirectional motion model samples the lateral</w:t>
      </w:r>
      <w:r>
        <w:t xml:space="preserve"> </w:t>
      </w:r>
      <w:r>
        <w:t xml:space="preserve">axis genuinely rather than as a coarse discretisation. Li and co-workers’</w:t>
      </w:r>
      <w:r>
        <w:t xml:space="preserve"> </w:t>
      </w:r>
      <w:r>
        <w:t xml:space="preserve">diagnosis of DWA’s local-minimum behaviour in dead ends [19] is why the global</w:t>
      </w:r>
      <w:r>
        <w:t xml:space="preserve"> </w:t>
      </w:r>
      <w:r>
        <w:t xml:space="preserve">planner and the recovery behaviours remain load-bearing.</w:t>
      </w:r>
    </w:p>
    <w:bookmarkEnd w:id="32"/>
    <w:bookmarkStart w:id="33" w:name="the-gap-this-work-addresses"/>
    <w:p>
      <w:pPr>
        <w:pStyle w:val="Heading3"/>
      </w:pPr>
      <w:r>
        <w:t xml:space="preserve">3.4 The gap this work addresses</w:t>
      </w:r>
    </w:p>
    <w:p>
      <w:pPr>
        <w:pStyle w:val="FirstParagraph"/>
      </w:pPr>
      <w:r>
        <w:t xml:space="preserve">The asymmetric narrow-aisle geometry has been derived and simulated [1] but not,</w:t>
      </w:r>
      <w:r>
        <w:t xml:space="preserve"> </w:t>
      </w:r>
      <w:r>
        <w:t xml:space="preserve">as far as the reviewed literature shows, built and characterised on hardware</w:t>
      </w:r>
      <w:r>
        <w:t xml:space="preserve"> </w:t>
      </w:r>
      <w:r>
        <w:t xml:space="preserve">with a closed control loop. Mecanum drift has been measured empirically on</w:t>
      </w:r>
      <w:r>
        <w:t xml:space="preserve"> </w:t>
      </w:r>
      <w:r>
        <w:t xml:space="preserve">symmetric platforms [2], and the standard slip formulation assumes symmetry;</w:t>
      </w:r>
      <w:r>
        <w:t xml:space="preserve"> </w:t>
      </w:r>
      <w:r>
        <w:t xml:space="preserve">whether per-wheel slip differs between the inner and outer pairs of a</w:t>
      </w:r>
      <w:r>
        <w:t xml:space="preserve"> </w:t>
      </w:r>
      <w:r>
        <w:t xml:space="preserve">non-collinear layout has not been reported. Navigation stacks and their costmap</w:t>
      </w:r>
      <w:r>
        <w:t xml:space="preserve"> </w:t>
      </w:r>
      <w:r>
        <w:t xml:space="preserve">machinery are mature [16, 17], but the parameter regime they are documented for</w:t>
      </w:r>
      <w:r>
        <w:t xml:space="preserve"> </w:t>
      </w:r>
      <w:r>
        <w:t xml:space="preserve">assumes clearance comfortably exceeding the robot’s inscribed radius, which is</w:t>
      </w:r>
      <w:r>
        <w:t xml:space="preserve"> </w:t>
      </w:r>
      <w:r>
        <w:t xml:space="preserve">exactly what a narrow-aisle deployment violates. To those three this year adds a</w:t>
      </w:r>
      <w:r>
        <w:t xml:space="preserve"> </w:t>
      </w:r>
      <w:r>
        <w:t xml:space="preserve">fourth, which is empirical rather than theoretical: the sensor tier that the</w:t>
      </w:r>
      <w:r>
        <w:t xml:space="preserve"> </w:t>
      </w:r>
      <w:r>
        <w:t xml:space="preserve">low-cost 2D SLAM literature is built on has a specified accuracy that, quantified</w:t>
      </w:r>
      <w:r>
        <w:t xml:space="preserve"> </w:t>
      </w:r>
      <w:r>
        <w:t xml:space="preserve">against a corridor-width error budget, does not close.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objectives"/>
    <w:p>
      <w:pPr>
        <w:pStyle w:val="Heading2"/>
      </w:pPr>
      <w:r>
        <w:t xml:space="preserve">4. Objectives</w:t>
      </w:r>
    </w:p>
    <w:bookmarkStart w:id="35" w:name="thesis-objectives"/>
    <w:p>
      <w:pPr>
        <w:pStyle w:val="Heading3"/>
      </w:pPr>
      <w:r>
        <w:t xml:space="preserve">4.1 Thesis objectives</w:t>
      </w:r>
    </w:p>
    <w:p>
      <w:pPr>
        <w:pStyle w:val="FirstParagraph"/>
      </w:pPr>
      <w:r>
        <w:rPr>
          <w:bCs/>
          <w:b/>
        </w:rPr>
        <w:t xml:space="preserve">Objective 1: Build and characterise a physical asymmetric mecanum platform</w:t>
      </w:r>
      <w:r>
        <w:rPr>
          <w:bCs/>
          <w:b/>
        </w:rPr>
        <w:t xml:space="preserve"> </w:t>
      </w:r>
      <w:r>
        <w:rPr>
          <w:bCs/>
          <w:b/>
        </w:rPr>
        <w:t xml:space="preserve">with closed-loop velocity control.</w:t>
      </w:r>
      <w:r>
        <w:t xml:space="preserve"> </w:t>
      </w:r>
      <w:r>
        <w:t xml:space="preserve">Deliverable: a machine whose wheels track</w:t>
      </w:r>
      <w:r>
        <w:t xml:space="preserve"> </w:t>
      </w:r>
      <w:r>
        <w:t xml:space="preserve">commanded velocities to a stated accuracy, loaded and unloaded, with the</w:t>
      </w:r>
      <w:r>
        <w:t xml:space="preserve"> </w:t>
      </w:r>
      <w:r>
        <w:t xml:space="preserve">calibration methodology and its uncertainties documented reproducibly.</w:t>
      </w:r>
    </w:p>
    <w:p>
      <w:pPr>
        <w:pStyle w:val="BodyText"/>
      </w:pPr>
      <w:r>
        <w:rPr>
          <w:bCs/>
          <w:b/>
        </w:rPr>
        <w:t xml:space="preserve">Objective 2: Establish localisation adequate for corridor-width clearances.</w:t>
      </w:r>
      <w:r>
        <w:t xml:space="preserve"> </w:t>
      </w:r>
      <w:r>
        <w:t xml:space="preserve">Deliverable: a pose estimate characterised against ground truth, with a stated</w:t>
      </w:r>
      <w:r>
        <w:t xml:space="preserve"> </w:t>
      </w:r>
      <w:r>
        <w:t xml:space="preserve">drift figure over a stated distance, and an explicit account of which sensors</w:t>
      </w:r>
      <w:r>
        <w:t xml:space="preserve"> </w:t>
      </w:r>
      <w:r>
        <w:t xml:space="preserve">are required to reach it.</w:t>
      </w:r>
    </w:p>
    <w:p>
      <w:pPr>
        <w:pStyle w:val="BodyText"/>
      </w:pPr>
      <w:r>
        <w:rPr>
          <w:bCs/>
          <w:b/>
        </w:rPr>
        <w:t xml:space="preserve">Objective 3: Demonstrate autonomous point-to-point navigation in a corridor</w:t>
      </w:r>
      <w:r>
        <w:rPr>
          <w:bCs/>
          <w:b/>
        </w:rPr>
        <w:t xml:space="preserve"> </w:t>
      </w:r>
      <w:r>
        <w:rPr>
          <w:bCs/>
          <w:b/>
        </w:rPr>
        <w:t xml:space="preserve">whose clearance is comparable to the platform’s inscribed radius.</w:t>
      </w:r>
      <w:r>
        <w:t xml:space="preserve"> </w:t>
      </w:r>
      <w:r>
        <w:t xml:space="preserve">Deliverable: repeated goal-directed runs with success rate, clearance statistics</w:t>
      </w:r>
      <w:r>
        <w:t xml:space="preserve"> </w:t>
      </w:r>
      <w:r>
        <w:t xml:space="preserve">and failure modes reported.</w:t>
      </w:r>
    </w:p>
    <w:p>
      <w:pPr>
        <w:pStyle w:val="BodyText"/>
      </w:pPr>
      <w:r>
        <w:rPr>
          <w:bCs/>
          <w:b/>
        </w:rPr>
        <w:t xml:space="preserve">Objective 4: Quantify the cost and benefit of the asymmetry.</w:t>
      </w:r>
      <w:r>
        <w:t xml:space="preserve"> </w:t>
      </w:r>
      <w:r>
        <w:t xml:space="preserve">Deliverable: a</w:t>
      </w:r>
      <w:r>
        <w:t xml:space="preserve"> </w:t>
      </w:r>
      <w:r>
        <w:t xml:space="preserve">controlled comparison against a symmetric baseline of matched capability.</w:t>
      </w:r>
    </w:p>
    <w:p>
      <w:pPr>
        <w:pStyle w:val="BodyText"/>
      </w:pPr>
      <w:r>
        <w:rPr>
          <w:bCs/>
          <w:b/>
        </w:rPr>
        <w:t xml:space="preserve">Objective 5: Close a dose-based control loop for the UV-C payload.</w:t>
      </w:r>
      <w:r>
        <w:t xml:space="preserve"> </w:t>
      </w:r>
      <w:r>
        <w:t xml:space="preserve">Deliverable: measured germicidal irradiance driving exposure time or traverse</w:t>
      </w:r>
      <w:r>
        <w:t xml:space="preserve"> </w:t>
      </w:r>
      <w:r>
        <w:t xml:space="preserve">speed, so a stated log-reduction is delivered rather than assumed.</w:t>
      </w:r>
    </w:p>
    <w:p>
      <w:pPr>
        <w:pStyle w:val="BodyText"/>
      </w:pPr>
      <w:r>
        <w:rPr>
          <w:bCs/>
          <w:b/>
        </w:rPr>
        <w:t xml:space="preserve">Objective 6: Carry a cargo-handling manipulator on this chassis, and</w:t>
      </w:r>
      <w:r>
        <w:rPr>
          <w:bCs/>
          <w:b/>
        </w:rPr>
        <w:t xml:space="preserve"> </w:t>
      </w:r>
      <w:r>
        <w:rPr>
          <w:bCs/>
          <w:b/>
        </w:rPr>
        <w:t xml:space="preserve">establish what the chassis has to supply for it to work.</w:t>
      </w:r>
      <w:r>
        <w:t xml:space="preserve"> </w:t>
      </w:r>
      <w:r>
        <w:t xml:space="preserve">This is the next</w:t>
      </w:r>
      <w:r>
        <w:t xml:space="preserve"> </w:t>
      </w:r>
      <w:r>
        <w:t xml:space="preserve">goal, and it is stated here as design work rather than as a result, because no</w:t>
      </w:r>
      <w:r>
        <w:t xml:space="preserve"> </w:t>
      </w:r>
      <w:r>
        <w:t xml:space="preserve">hardware for it exists. A companion study (HeXBuddy, documented in</w:t>
      </w:r>
      <w:r>
        <w:t xml:space="preserve"> </w:t>
      </w:r>
      <w:r>
        <w:rPr>
          <w:rStyle w:val="VerbatimChar"/>
        </w:rPr>
        <w:t xml:space="preserve">docs/HeXBuddy_Arm_Integration.md</w:t>
      </w:r>
      <w:r>
        <w:t xml:space="preserve">) has produced a fully specified arm sized to</w:t>
      </w:r>
      <w:r>
        <w:t xml:space="preserve"> </w:t>
      </w:r>
      <w:r>
        <w:t xml:space="preserve">this chassis and this aisle geometry — a self-locking lift, a turntable, a</w:t>
      </w:r>
      <w:r>
        <w:t xml:space="preserve"> </w:t>
      </w:r>
      <w:r>
        <w:t xml:space="preserve">telescopic boom, a wrist and a gripper, holding position against gravity at</w:t>
      </w:r>
      <w:r>
        <w:t xml:space="preserve"> </w:t>
      </w:r>
      <w:r>
        <w:t xml:space="preserve">approximately zero motor power. Nothing has been built, bench-tested or</w:t>
      </w:r>
      <w:r>
        <w:t xml:space="preserve"> </w:t>
      </w:r>
      <w:r>
        <w:t xml:space="preserve">simulated on this platform; the design rests on a first-order model that its own</w:t>
      </w:r>
      <w:r>
        <w:t xml:space="preserve"> </w:t>
      </w:r>
      <w:r>
        <w:t xml:space="preserve">documentation flags as needing re-validation before any part is bought.</w:t>
      </w:r>
      <w:r>
        <w:t xml:space="preserve"> </w:t>
      </w:r>
      <w:r>
        <w:t xml:space="preserve">Deliverable, in order: re-run the design optimisation against this platform’s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45.54 kg mass rather than the 25 kg the model assumed, since a</w:t>
      </w:r>
      <w:r>
        <w:t xml:space="preserve"> </w:t>
      </w:r>
      <w:r>
        <w:t xml:space="preserve">heavier base changes the tipping margin that the design found binding; validate</w:t>
      </w:r>
      <w:r>
        <w:t xml:space="preserve"> </w:t>
      </w:r>
      <w:r>
        <w:t xml:space="preserve">the result in simulation with mass properties taken from CAD; and only then</w:t>
      </w:r>
      <w:r>
        <w:t xml:space="preserve"> </w:t>
      </w:r>
      <w:r>
        <w:t xml:space="preserve">bench a single joint. The reach-and-payload envelope, and how much of it the</w:t>
      </w:r>
      <w:r>
        <w:t xml:space="preserve"> </w:t>
      </w:r>
      <w:r>
        <w:t xml:space="preserve">base’s own travel is expected to supply, are open design questions rather than</w:t>
      </w:r>
      <w:r>
        <w:t xml:space="preserve"> </w:t>
      </w:r>
      <w:r>
        <w:t xml:space="preserve">settled ones, and §12.1 states them as such.</w:t>
      </w:r>
    </w:p>
    <w:bookmarkEnd w:id="35"/>
    <w:bookmarkStart w:id="36" w:name="Xeba46ad753950987885118ddd1275810c5714ab"/>
    <w:p>
      <w:pPr>
        <w:pStyle w:val="Heading3"/>
      </w:pPr>
      <w:r>
        <w:t xml:space="preserve">4.2 Objectives set for year 1, and their outcome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velocity control on real-time 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Achieved</w:t>
            </w:r>
            <w:r>
              <w:t xml:space="preserve">, validated in air and on the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Per-motor feedforward calibration from measured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Achieved</w:t>
            </w:r>
            <w:r>
              <w:t xml:space="preserve">; the ground-load increase was predicted at 10–30 % and measured at 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identification for the velocity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achieved.</w:t>
            </w:r>
            <w:r>
              <w:t xml:space="preserve"> </w:t>
            </w:r>
            <w:r>
              <w:t xml:space="preserve">The proportional gain remains an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LiDAR perception and a savable occupancy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Achieved</w:t>
            </w:r>
            <w:r>
              <w:t xml:space="preserve"> </w:t>
            </w:r>
            <w:r>
              <w:t xml:space="preserve">and repeatable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post-run analysis of every recorded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Achieved</w:t>
            </w:r>
            <w:r>
              <w:t xml:space="preserve">; grew into twelve analysis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Inertial measurement and fused state estimation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started.</w:t>
            </w:r>
            <w:r>
              <w:t xml:space="preserve"> </w:t>
            </w:r>
            <w:r>
              <w:t xml:space="preserve">Sensor not procured. §8.4 now gives a measured case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Achieved on a live map</w:t>
            </w:r>
            <w:r>
              <w:t xml:space="preserve">, 14 August. Not achieved on a saved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accepted commissioning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achieved.</w:t>
            </w:r>
            <w:r>
              <w:t xml:space="preserve"> </w:t>
            </w:r>
            <w:r>
              <w:t xml:space="preserve">One of four acceptance sub-criteria met, once</w:t>
            </w:r>
          </w:p>
        </w:tc>
      </w:tr>
    </w:tbl>
    <w:p>
      <w:pPr>
        <w:pStyle w:val="BodyText"/>
      </w:pPr>
      <w:r>
        <w:t xml:space="preserve">Objective 1.7 was reached before 1.6, which the roadmap had listed as its</w:t>
      </w:r>
      <w:r>
        <w:t xml:space="preserve"> </w:t>
      </w:r>
      <w:r>
        <w:t xml:space="preserve">prerequisite. That is recorded as an out-of-order result rather than tidied</w:t>
      </w:r>
      <w:r>
        <w:t xml:space="preserve"> </w:t>
      </w:r>
      <w:r>
        <w:t xml:space="preserve">away: navigation inside a live mapping session does not need fused localisation,</w:t>
      </w:r>
      <w:r>
        <w:t xml:space="preserve"> </w:t>
      </w:r>
      <w:r>
        <w:t xml:space="preserve">and it was worth having a working demonstration in hand while the harder problem</w:t>
      </w:r>
      <w:r>
        <w:t xml:space="preserve"> </w:t>
      </w:r>
      <w:r>
        <w:t xml:space="preserve">was worked. Navigation on a</w:t>
      </w:r>
      <w:r>
        <w:t xml:space="preserve"> </w:t>
      </w:r>
      <w:r>
        <w:rPr>
          <w:iCs/>
          <w:i/>
        </w:rPr>
        <w:t xml:space="preserve">saved</w:t>
      </w:r>
      <w:r>
        <w:t xml:space="preserve"> </w:t>
      </w:r>
      <w:r>
        <w:t xml:space="preserve">map still needs 1.8, which needs the</w:t>
      </w:r>
      <w:r>
        <w:t xml:space="preserve"> </w:t>
      </w:r>
      <w:r>
        <w:t xml:space="preserve">sensing question of 1.6 resolved.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he-platform-as-built"/>
    <w:p>
      <w:pPr>
        <w:pStyle w:val="Heading2"/>
      </w:pPr>
      <w:r>
        <w:t xml:space="preserve">5. The platform as built</w:t>
      </w:r>
    </w:p>
    <w:p>
      <w:pPr>
        <w:pStyle w:val="CaptionedFigure"/>
      </w:pPr>
      <w:r>
        <w:drawing>
          <wp:inline>
            <wp:extent cx="5334000" cy="3787437"/>
            <wp:effectExtent b="0" l="0" r="0" t="0"/>
            <wp:docPr descr="System architecture" title="" id="39" name="Picture"/>
            <a:graphic>
              <a:graphicData uri="http://schemas.openxmlformats.org/drawingml/2006/picture">
                <pic:pic>
                  <pic:nvPicPr>
                    <pic:cNvPr descr="figures/fig02_system_architectur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The three-layer architecture, each link annotated with its rate and</w:t>
      </w:r>
      <w:r>
        <w:t xml:space="preserve"> </w:t>
      </w:r>
      <w:r>
        <w:t xml:space="preserve">payload. Orange is the command path, blue is telemetry and perception. The</w:t>
      </w:r>
      <w:r>
        <w:t xml:space="preserve"> </w:t>
      </w:r>
      <w:r>
        <w:t xml:space="preserve">command loop was closed on 14 August: the planner’s velocity now runs through an</w:t>
      </w:r>
      <w:r>
        <w:t xml:space="preserve"> </w:t>
      </w:r>
      <w:r>
        <w:t xml:space="preserve">axis adapter and a priority multiplexer into the same asymmetric inverse</w:t>
      </w:r>
      <w:r>
        <w:t xml:space="preserve"> </w:t>
      </w:r>
      <w:r>
        <w:t xml:space="preserve">kinematics the operator drives through, so manual override outranks the planner</w:t>
      </w:r>
      <w:r>
        <w:t xml:space="preserve"> </w:t>
      </w:r>
      <w:r>
        <w:t xml:space="preserve">at the one point they meet.</w:t>
      </w:r>
    </w:p>
    <w:p>
      <w:pPr>
        <w:pStyle w:val="BodyText"/>
      </w:pPr>
      <w:r>
        <w:t xml:space="preserve">The responsibility split follows from a hardware constraint rather than a</w:t>
      </w:r>
      <w:r>
        <w:t xml:space="preserve"> </w:t>
      </w:r>
      <w:r>
        <w:t xml:space="preserve">software preference. With the encoders originally fitted, each motor at rated</w:t>
      </w:r>
      <w:r>
        <w:t xml:space="preserve"> </w:t>
      </w:r>
      <w:r>
        <w:t xml:space="preserve">speed produces about 93,000 counts per second, and the two replacement units</w:t>
      </w:r>
      <w:r>
        <w:t xml:space="preserve"> </w:t>
      </w:r>
      <w:r>
        <w:t xml:space="preserve">fitted since produce twice that. Interrupt-driven quadrature counting at those</w:t>
      </w:r>
      <w:r>
        <w:t xml:space="preserve"> </w:t>
      </w:r>
      <w:r>
        <w:t xml:space="preserve">rates consumes the entire instruction budget of an ATmega2560. The ESP32’s</w:t>
      </w:r>
      <w:r>
        <w:t xml:space="preserve"> </w:t>
      </w:r>
      <w:r>
        <w:t xml:space="preserve">pulse-counter peripheral decodes quadrature in silicon at no processor cost,</w:t>
      </w:r>
      <w:r>
        <w:t xml:space="preserve"> </w:t>
      </w:r>
      <w:r>
        <w:t xml:space="preserve">which is why motor control moved onto it.</w:t>
      </w:r>
    </w:p>
    <w:bookmarkStart w:id="41" w:name="principal-specifications"/>
    <w:p>
      <w:pPr>
        <w:pStyle w:val="Heading3"/>
      </w:pPr>
      <w:r>
        <w:t xml:space="preserve">5.1 Principal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Footprint,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× 0.36 m (wheel outer to wheel outer)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45.54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 / inner wheel distance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0.403</m:t>
              </m:r>
            </m:oMath>
            <w:r>
              <w:t xml:space="preserve"> </w:t>
            </w:r>
            <w:r>
              <w:t xml:space="preserve">m,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0.333</m:t>
              </m:r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 track width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0.15769</m:t>
              </m:r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radius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0.0762</m:t>
              </m:r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motors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Rhino RMCS-2086, 24 V, 1:47, 60 RPM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FR/FL GTK08 at 186 264 CPR; RR/RL optical at 93 132 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ESP32-WROOM-32, FreeRTOS, 100 Hz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5, Ubuntu 24.04, ROS 2 Jazzy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YDLIDAR X4 Pro, triangulation, rated under 2 % of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MPPI, omnidirectional motion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LiFePO₄ 12.8 V / 30 Ah; boost 24 V drive, buck 5 V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NEMA 23 lateral, 1 × NEMA 34 vertical, 3-tube staged UV-C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velocity clamp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m/s linear, 0.30 rad/s yaw</w:t>
            </w:r>
          </w:p>
        </w:tc>
      </w:tr>
    </w:tbl>
    <w:bookmarkEnd w:id="41"/>
    <w:bookmarkStart w:id="42" w:name="X7c0aa2a1e6aa0934f35c9f974d734e88e9906a0"/>
    <w:p>
      <w:pPr>
        <w:pStyle w:val="Heading3"/>
      </w:pPr>
      <w:r>
        <w:t xml:space="preserve">5.2 A deliberate departure from the standard frame convention</w:t>
      </w:r>
    </w:p>
    <w:p>
      <w:pPr>
        <w:pStyle w:val="FirstParagraph"/>
      </w:pPr>
      <w:r>
        <w:t xml:space="preserve">This robot’s base frame puts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to the right and</w:t>
      </w:r>
      <w:r>
        <w:t xml:space="preserve"> </w:t>
      </w:r>
      <m:oMath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forward, which is not</w:t>
      </w:r>
      <w:r>
        <w:t xml:space="preserve"> </w:t>
      </w:r>
      <w:r>
        <w:t xml:space="preserve">the ROS convention. The choice was made in August after two independently</w:t>
      </w:r>
      <w:r>
        <w:t xml:space="preserve"> </w:t>
      </w:r>
      <w:r>
        <w:t xml:space="preserve">validated subsystems were found to disagree about which way the robot faces, and</w:t>
      </w:r>
      <w:r>
        <w:t xml:space="preserve"> </w:t>
      </w:r>
      <w:r>
        <w:t xml:space="preserve">it was resolved by changing the side with weaker evidence rather than the side</w:t>
      </w:r>
      <w:r>
        <w:t xml:space="preserve"> </w:t>
      </w:r>
      <w:r>
        <w:t xml:space="preserve">that was more convenient. That reasoning is recorded in §7.3.</w:t>
      </w:r>
    </w:p>
    <w:p>
      <w:pPr>
        <w:pStyle w:val="BodyText"/>
      </w:pPr>
      <w:r>
        <w:t xml:space="preserve">The decision has cost more than it saved, and the report says so. Five separate</w:t>
      </w:r>
      <w:r>
        <w:t xml:space="preserve"> </w:t>
      </w:r>
      <w:r>
        <w:t xml:space="preserve">stale compensations for it have been found and removed since, in the dashboard</w:t>
      </w:r>
      <w:r>
        <w:t xml:space="preserve"> </w:t>
      </w:r>
      <w:r>
        <w:t xml:space="preserve">canvas, in a print-site relabel, in a goal-pose adapter, in a zero-point yaw</w:t>
      </w:r>
      <w:r>
        <w:t xml:space="preserve"> </w:t>
      </w:r>
      <w:r>
        <w:t xml:space="preserve">constant, and in the localisation node’s initial pose. Four of them together hid</w:t>
      </w:r>
      <w:r>
        <w:t xml:space="preserve"> </w:t>
      </w:r>
      <w:r>
        <w:t xml:space="preserve">a real frame fault for two weeks. The convention is now unified across all three</w:t>
      </w:r>
      <w:r>
        <w:t xml:space="preserve"> </w:t>
      </w:r>
      <w:r>
        <w:t xml:space="preserve">frames, stated once in</w:t>
      </w:r>
      <w:r>
        <w:t xml:space="preserve"> </w:t>
      </w:r>
      <w:r>
        <w:rPr>
          <w:rStyle w:val="VerbatimChar"/>
        </w:rPr>
        <w:t xml:space="preserve">docs/Axis_Convention.md</w:t>
      </w:r>
      <w:r>
        <w:t xml:space="preserve">, and enforced by a verification</w:t>
      </w:r>
      <w:r>
        <w:t xml:space="preserve"> </w:t>
      </w:r>
      <w:r>
        <w:t xml:space="preserve">script that fails if it is edited back out. A project starting over would adopt</w:t>
      </w:r>
      <w:r>
        <w:t xml:space="preserve"> </w:t>
      </w:r>
      <w:r>
        <w:t xml:space="preserve">the standard convention and place the compensation at the sensor.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72" w:name="closed-loop-velocity-control"/>
    <w:p>
      <w:pPr>
        <w:pStyle w:val="Heading2"/>
      </w:pPr>
      <w:r>
        <w:t xml:space="preserve">6. Closed-loop velocity control</w:t>
      </w:r>
    </w:p>
    <w:bookmarkStart w:id="47" w:name="Xf01f9ec7223dcf65f1af045f625baf647c5216b"/>
    <w:p>
      <w:pPr>
        <w:pStyle w:val="Heading3"/>
      </w:pPr>
      <w:r>
        <w:t xml:space="preserve">6.1 Why open loop was insufficient, established by measurement</w:t>
      </w:r>
    </w:p>
    <w:p>
      <w:pPr>
        <w:pStyle w:val="FirstParagraph"/>
      </w:pPr>
      <w:r>
        <w:t xml:space="preserve">The first complete platform was open loop. Forward and backward motion was</w:t>
      </w:r>
      <w:r>
        <w:t xml:space="preserve"> </w:t>
      </w:r>
      <w:r>
        <w:t xml:space="preserve">adequate; lateral translation stuttered audibly. Characterising all four motors</w:t>
      </w:r>
      <w:r>
        <w:t xml:space="preserve"> </w:t>
      </w:r>
      <w:r>
        <w:t xml:space="preserve">at a fixed PWM explained it.</w:t>
      </w:r>
    </w:p>
    <w:p>
      <w:pPr>
        <w:pStyle w:val="CaptionedFigure"/>
      </w:pPr>
      <w:r>
        <w:drawing>
          <wp:inline>
            <wp:extent cx="5334000" cy="2063431"/>
            <wp:effectExtent b="0" l="0" r="0" t="0"/>
            <wp:docPr descr="Open-loop characterisation" title="" id="45" name="Picture"/>
            <a:graphic>
              <a:graphicData uri="http://schemas.openxmlformats.org/drawingml/2006/picture">
                <pic:pic>
                  <pic:nvPicPr>
                    <pic:cNvPr descr="figures/fig03_openloop_characteris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Open-loop characterisation</w:t>
      </w:r>
    </w:p>
    <w:p>
      <w:pPr>
        <w:pStyle w:val="BodyText"/>
      </w:pPr>
      <w:r>
        <w:rPr>
          <w:bCs/>
          <w:b/>
        </w:rPr>
        <w:t xml:space="preserve">Figure 3.</w:t>
      </w:r>
      <w:r>
        <w:t xml:space="preserve"> </w:t>
      </w:r>
      <w:r>
        <w:t xml:space="preserve">Open-loop motor characterisation at PWM 120, 20 Hz sampling, March</w:t>
      </w:r>
      <w:r>
        <w:t xml:space="preserve"> </w:t>
      </w:r>
      <w:r>
        <w:t xml:space="preserve">2026. The rear-left unit was slowest and most variable, 16 % below the fastest</w:t>
      </w:r>
      <w:r>
        <w:t xml:space="preserve"> </w:t>
      </w:r>
      <w:r>
        <w:t xml:space="preserve">wheel with a coefficient of variation of 4.57 %.</w:t>
      </w:r>
    </w:p>
    <w:p>
      <w:pPr>
        <w:pStyle w:val="BodyText"/>
      </w:pPr>
      <w:r>
        <w:t xml:space="preserve">The relevant number is not the 16 % spread across four motors but the 11–13 %</w:t>
      </w:r>
      <w:r>
        <w:t xml:space="preserve"> </w:t>
      </w:r>
      <w:r>
        <w:t xml:space="preserve">mismatch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 front-right/rear-left diagonal pair. Under mecanum</w:t>
      </w:r>
      <w:r>
        <w:t xml:space="preserve"> </w:t>
      </w:r>
      <w:r>
        <w:t xml:space="preserve">kinematics, lateral translation is produced by the two diagonal pairs acting in</w:t>
      </w:r>
      <w:r>
        <w:t xml:space="preserve"> </w:t>
      </w:r>
      <w:r>
        <w:t xml:space="preserve">concert; when one member does 12 % more work than the other, the difference</w:t>
      </w:r>
      <w:r>
        <w:t xml:space="preserve"> </w:t>
      </w:r>
      <w:r>
        <w:t xml:space="preserve">appears as a net yaw torque fighting the intended motion. That is the stutter.</w:t>
      </w:r>
      <w:r>
        <w:t xml:space="preserve"> </w:t>
      </w:r>
      <w:r>
        <w:t xml:space="preserve">The conclusion is stronger than</w:t>
      </w:r>
      <w:r>
        <w:t xml:space="preserve"> </w:t>
      </w:r>
      <w:r>
        <w:t xml:space="preserve">“</w:t>
      </w:r>
      <w:r>
        <w:t xml:space="preserve">closed loop is better</w:t>
      </w:r>
      <w:r>
        <w:t xml:space="preserve">”</w:t>
      </w:r>
      <w:r>
        <w:t xml:space="preserve">: open-loop control is</w:t>
      </w:r>
      <w:r>
        <w:t xml:space="preserve"> </w:t>
      </w:r>
      <w:r>
        <w:t xml:space="preserve">acceptable when motors are well matched or when only one axis is used, and</w:t>
      </w:r>
      <w:r>
        <w:t xml:space="preserve"> </w:t>
      </w:r>
      <w:r>
        <w:t xml:space="preserve">becomes untenable the moment two actuators must act together. Mecanum geometry</w:t>
      </w:r>
      <w:r>
        <w:t xml:space="preserve"> </w:t>
      </w:r>
      <w:r>
        <w:t xml:space="preserve">makes that unavoidable.</w:t>
      </w:r>
    </w:p>
    <w:bookmarkEnd w:id="47"/>
    <w:bookmarkStart w:id="54" w:name="the-controller"/>
    <w:p>
      <w:pPr>
        <w:pStyle w:val="Heading3"/>
      </w:pPr>
      <w:r>
        <w:t xml:space="preserve">6.2 The controller</w:t>
      </w:r>
    </w:p>
    <w:p>
      <w:pPr>
        <w:pStyle w:val="CaptionedFigure"/>
      </w:pPr>
      <w:r>
        <w:drawing>
          <wp:inline>
            <wp:extent cx="5334000" cy="2648399"/>
            <wp:effectExtent b="0" l="0" r="0" t="0"/>
            <wp:docPr descr="Control loop" title="" id="49" name="Picture"/>
            <a:graphic>
              <a:graphicData uri="http://schemas.openxmlformats.org/drawingml/2006/picture">
                <pic:pic>
                  <pic:nvPicPr>
                    <pic:cNvPr descr="figures/fig04_control_loop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Control loop</w:t>
      </w:r>
    </w:p>
    <w:p>
      <w:pPr>
        <w:pStyle w:val="BodyText"/>
      </w:pPr>
      <w:r>
        <w:rPr>
          <w:bCs/>
          <w:b/>
        </w:rPr>
        <w:t xml:space="preserve">Figure 4.</w:t>
      </w:r>
      <w:r>
        <w:t xml:space="preserve"> </w:t>
      </w:r>
      <w:r>
        <w:t xml:space="preserve">The per-wheel velocity loop as compiled. The two-term feedforward</w:t>
      </w:r>
      <w:r>
        <w:t xml:space="preserve"> </w:t>
      </w:r>
      <w:r>
        <w:t xml:space="preserve">supplies most of the drive signal; the PID terms correct the residual.</w:t>
      </w:r>
    </w:p>
    <w:p>
      <w:pPr>
        <w:pStyle w:val="BodyText"/>
      </w:pPr>
      <w:r>
        <w:t xml:space="preserve">Three design choices are worth defending individually.</w:t>
      </w:r>
    </w:p>
    <w:p>
      <w:pPr>
        <w:pStyle w:val="BodyText"/>
      </w:pPr>
      <w:r>
        <w:rPr>
          <w:bCs/>
          <w:b/>
        </w:rPr>
        <w:t xml:space="preserve">A two-term feedforward, not one slope.</w:t>
      </w:r>
      <w:r>
        <w:t xml:space="preserve"> </w:t>
      </w:r>
      <w:r>
        <w:t xml:space="preserve">A single-slope model cannot fit the</w:t>
      </w:r>
      <w:r>
        <w:t xml:space="preserve"> </w:t>
      </w:r>
      <w:r>
        <w:t xml:space="preserve">data, because the measured PWM-per-rad/s ratio rises at low speed. That is the</w:t>
      </w:r>
      <w:r>
        <w:t xml:space="preserve"> </w:t>
      </w:r>
      <w:r>
        <w:t xml:space="preserve">signature of static friction and it requires a constant breakaway term alongside</w:t>
      </w:r>
      <w:r>
        <w:t xml:space="preserve"> </w:t>
      </w:r>
      <w:r>
        <w:t xml:space="preserve">the viscous slope.</w:t>
      </w:r>
    </w:p>
    <w:p>
      <w:pPr>
        <w:pStyle w:val="CaptionedFigure"/>
      </w:pPr>
      <w:r>
        <w:drawing>
          <wp:inline>
            <wp:extent cx="5334000" cy="2150214"/>
            <wp:effectExtent b="0" l="0" r="0" t="0"/>
            <wp:docPr descr="Feedforward model" title="" id="52" name="Picture"/>
            <a:graphic>
              <a:graphicData uri="http://schemas.openxmlformats.org/drawingml/2006/picture">
                <pic:pic>
                  <pic:nvPicPr>
                    <pic:cNvPr descr="figures/fig05_feedforward_mode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Feedforward model</w:t>
      </w:r>
    </w:p>
    <w:p>
      <w:pPr>
        <w:pStyle w:val="BodyText"/>
      </w:pPr>
      <w:r>
        <w:rPr>
          <w:bCs/>
          <w:b/>
        </w:rPr>
        <w:t xml:space="preserve">Figure 5.</w:t>
      </w:r>
      <w:r>
        <w:t xml:space="preserve"> </w:t>
      </w:r>
      <w:r>
        <w:t xml:space="preserve">The two-term fit against three independent in-air campaigns. Every</w:t>
      </w:r>
      <w:r>
        <w:t xml:space="preserve"> </w:t>
      </w:r>
      <w:r>
        <w:t xml:space="preserve">point falls within about 8 % and the two highest-confidence points within 2.3 %.</w:t>
      </w:r>
      <w:r>
        <w:t xml:space="preserve"> </w:t>
      </w:r>
      <w:r>
        <w:t xml:space="preserve">The shaded region above 3 rad/s is extrapolation, where the model will</w:t>
      </w:r>
      <w:r>
        <w:t xml:space="preserve"> </w:t>
      </w:r>
      <w:r>
        <w:t xml:space="preserve">over-predict as the motor approaches rated speed. Over-prediction is the safe</w:t>
      </w:r>
      <w:r>
        <w:t xml:space="preserve"> </w:t>
      </w:r>
      <w:r>
        <w:t xml:space="preserve">direction: the output saturates and the integral unwinds it, rather than the</w:t>
      </w:r>
      <w:r>
        <w:t xml:space="preserve"> </w:t>
      </w:r>
      <w:r>
        <w:t xml:space="preserve">wheel falling short.</w:t>
      </w:r>
    </w:p>
    <w:p>
      <w:pPr>
        <w:pStyle w:val="BodyText"/>
      </w:pPr>
      <w:r>
        <w:t xml:space="preserve">An honest limitation belongs with that figure. The split between the viscous and</w:t>
      </w:r>
      <w:r>
        <w:t xml:space="preserve"> </w:t>
      </w:r>
      <w:r>
        <w:t xml:space="preserve">breakaway terms is poorly determined, because every measurement lies between 1.8</w:t>
      </w:r>
      <w:r>
        <w:t xml:space="preserve"> </w:t>
      </w:r>
      <w:r>
        <w:t xml:space="preserve">and 2.8 rad/s and over that span many parameter pairs fit almost equally well.</w:t>
      </w:r>
      <w:r>
        <w:t xml:space="preserve"> </w:t>
      </w:r>
      <w:r>
        <w:t xml:space="preserve">What is well determined is the value of the whole expression across the measured</w:t>
      </w:r>
      <w:r>
        <w:t xml:space="preserve"> </w:t>
      </w:r>
      <w:r>
        <w:t xml:space="preserve">range, which is what the controller consumes.</w:t>
      </w:r>
    </w:p>
    <w:p>
      <w:pPr>
        <w:pStyle w:val="BodyText"/>
      </w:pPr>
      <w:r>
        <w:rPr>
          <w:bCs/>
          <w:b/>
        </w:rPr>
        <w:t xml:space="preserve">The integral gain follows from the plant gain, not from tuning by hand.</w:t>
      </w:r>
      <w:r>
        <w:t xml:space="preserve"> </w:t>
      </w:r>
      <w:r>
        <w:t xml:space="preserve">The</w:t>
      </w:r>
      <w:r>
        <w:t xml:space="preserve"> </w:t>
      </w:r>
      <w:r>
        <w:t xml:space="preserve">feedforward fit hands over the plant DC gain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38</m:t>
        </m:r>
        <m:r>
          <m:rPr>
            <m:sty m:val="p"/>
          </m:rPr>
          <m:t>=</m:t>
        </m:r>
        <m:r>
          <m:t>0.0263</m:t>
        </m:r>
      </m:oMath>
      <w:r>
        <w:t xml:space="preserve"> </w:t>
      </w:r>
      <w:r>
        <w:t xml:space="preserve">rad/s per</w:t>
      </w:r>
      <w:r>
        <w:t xml:space="preserve"> </w:t>
      </w:r>
      <w:r>
        <w:t xml:space="preserve">PWM count. Direct-synthesis tuning gives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λ</m:t>
            </m:r>
          </m:e>
        </m:d>
      </m:oMath>
      <w:r>
        <w:t xml:space="preserve">, and with a</w:t>
      </w:r>
      <w:r>
        <w:t xml:space="preserve"> </w:t>
      </w:r>
      <w:r>
        <w:t xml:space="preserve">conservative closed-loop time constant of 0.15 s that is 253, rounded to 250.</w:t>
      </w:r>
      <w:r>
        <w:t xml:space="preserve"> </w:t>
      </w:r>
      <w:r>
        <w:t xml:space="preserve">The useful property is that this expression does not contain the plant time</w:t>
      </w:r>
      <w:r>
        <w:t xml:space="preserve"> </w:t>
      </w:r>
      <w:r>
        <w:t xml:space="preserve">constant, which had not been measured. The previous value of 30 moved the output</w:t>
      </w:r>
      <w:r>
        <w:t xml:space="preserve"> </w:t>
      </w:r>
      <w:r>
        <w:t xml:space="preserve">3 PWM per second for a 0.1 rad/s error, so closing a realistic 10-PWM</w:t>
      </w:r>
      <w:r>
        <w:t xml:space="preserve"> </w:t>
      </w:r>
      <w:r>
        <w:t xml:space="preserve">feedforward gap took over three seconds. That is exactly the 3.79 s worst-case</w:t>
      </w:r>
      <w:r>
        <w:t xml:space="preserve"> </w:t>
      </w:r>
      <w:r>
        <w:t xml:space="preserve">settling time logged in May. At 250 the same gap closes in 0.4 s.</w:t>
      </w:r>
    </w:p>
    <w:p>
      <w:pPr>
        <w:pStyle w:val="BodyText"/>
      </w:pPr>
      <w:r>
        <w:rPr>
          <w:bCs/>
          <w:b/>
        </w:rPr>
        <w:t xml:space="preserve">Anti-windup that actually binds.</w:t>
      </w:r>
      <w:r>
        <w:t xml:space="preserve"> </w:t>
      </w:r>
      <w:r>
        <w:t xml:space="preserve">The previous fixed clamp, at the old</w:t>
      </w:r>
      <w:r>
        <w:t xml:space="preserve"> </w:t>
      </w:r>
      <w:r>
        <w:t xml:space="preserve">integral gain, permitted an integral contribution of about 6000 PWM, some</w:t>
      </w:r>
      <w:r>
        <w:t xml:space="preserve"> </w:t>
      </w:r>
      <w:r>
        <w:t xml:space="preserve">23 times the output range. The clamp existed but could never engage. The current</w:t>
      </w:r>
      <w:r>
        <w:t xml:space="preserve"> </w:t>
      </w:r>
      <w:r>
        <w:t xml:space="preserve">implementation clamps against the PWM headroom genuinely remaining after the</w:t>
      </w:r>
      <w:r>
        <w:t xml:space="preserve"> </w:t>
      </w:r>
      <w:r>
        <w:t xml:space="preserve">other three terms, recomputed every tick.</w:t>
      </w:r>
    </w:p>
    <w:bookmarkEnd w:id="54"/>
    <w:bookmarkStart w:id="61" w:name="the-dual-encoder-fault"/>
    <w:p>
      <w:pPr>
        <w:pStyle w:val="Heading3"/>
      </w:pPr>
      <w:r>
        <w:t xml:space="preserve">6.3 The dual-encoder fault</w:t>
      </w:r>
    </w:p>
    <w:p>
      <w:pPr>
        <w:pStyle w:val="FirstParagraph"/>
      </w:pPr>
      <w:r>
        <w:t xml:space="preserve">Two motors carry a different encoder from the other two, following replacement</w:t>
      </w:r>
      <w:r>
        <w:t xml:space="preserve"> </w:t>
      </w:r>
      <w:r>
        <w:t xml:space="preserve">of two failed units, and the replacements have exactly twice the resolution.</w:t>
      </w:r>
      <w:r>
        <w:t xml:space="preserve"> </w:t>
      </w:r>
      <w:r>
        <w:t xml:space="preserve">Firmware through v2.0 applied one shared constant to all four.</w:t>
      </w:r>
    </w:p>
    <w:p>
      <w:pPr>
        <w:pStyle w:val="CaptionedFigure"/>
      </w:pPr>
      <w:r>
        <w:drawing>
          <wp:inline>
            <wp:extent cx="5334000" cy="2191184"/>
            <wp:effectExtent b="0" l="0" r="0" t="0"/>
            <wp:docPr descr="Encoder CPR fault" title="" id="56" name="Picture"/>
            <a:graphic>
              <a:graphicData uri="http://schemas.openxmlformats.org/drawingml/2006/picture">
                <pic:pic>
                  <pic:nvPicPr>
                    <pic:cNvPr descr="figures/fig06_encoder_cpr_faul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Encoder CPR fault</w:t>
      </w:r>
    </w:p>
    <w:p>
      <w:pPr>
        <w:pStyle w:val="BodyText"/>
      </w:pPr>
      <w:r>
        <w:rPr>
          <w:bCs/>
          <w:b/>
        </w:rPr>
        <w:t xml:space="preserve">Figure 6.</w:t>
      </w:r>
      <w:r>
        <w:t xml:space="preserve"> </w:t>
      </w:r>
      <w:r>
        <w:t xml:space="preserve">(a) The failure mechanism. (b) The bench cross-check that detected</w:t>
      </w:r>
      <w:r>
        <w:t xml:space="preserve"> </w:t>
      </w:r>
      <w:r>
        <w:t xml:space="preserve">it: front and rear raw counts at matched PWM and matched window, on physically</w:t>
      </w:r>
      <w:r>
        <w:t xml:space="preserve"> </w:t>
      </w:r>
      <w:r>
        <w:t xml:space="preserve">identical gearmotors, differing by exactly the ratio of the two resolutions.</w:t>
      </w:r>
    </w:p>
    <w:p>
      <w:pPr>
        <w:pStyle w:val="BodyText"/>
      </w:pPr>
      <w:r>
        <w:t xml:space="preserve">The mechanism earns its emphasis because of how it fails, not how it is fixed. A</w:t>
      </w:r>
      <w:r>
        <w:t xml:space="preserve"> </w:t>
      </w:r>
      <w:r>
        <w:t xml:space="preserve">front wheel completing one revolution emits 186 264 counts; divided by the</w:t>
      </w:r>
      <w:r>
        <w:t xml:space="preserve"> </w:t>
      </w:r>
      <w:r>
        <w:t xml:space="preserve">shared constant of 93 132 that reports as 2.00 revolutions. The controller</w:t>
      </w:r>
      <w:r>
        <w:t xml:space="preserve"> </w:t>
      </w:r>
      <w:r>
        <w:t xml:space="preserve">believes the sensor, sees itself overshooting, and reduces PWM until the</w:t>
      </w:r>
      <w:r>
        <w:t xml:space="preserve"> </w:t>
      </w:r>
      <w:r>
        <w:rPr>
          <w:iCs/>
          <w:i/>
        </w:rPr>
        <w:t xml:space="preserve">reported</w:t>
      </w:r>
      <w:r>
        <w:t xml:space="preserve"> </w:t>
      </w:r>
      <w:r>
        <w:t xml:space="preserve">speed matches the target, meaning until the wheel physically turns at</w:t>
      </w:r>
      <w:r>
        <w:t xml:space="preserve"> </w:t>
      </w:r>
      <w:r>
        <w:t xml:space="preserve">half the commanded velocity. The rear wheels track properly. The result is a</w:t>
      </w:r>
      <w:r>
        <w:t xml:space="preserve"> </w:t>
      </w:r>
      <w:r>
        <w:t xml:space="preserve">permanent front-to-rear speed split that scales with commanded velocity: the</w:t>
      </w:r>
      <w:r>
        <w:t xml:space="preserve"> </w:t>
      </w:r>
      <w:r>
        <w:t xml:space="preserve">robot yaws under pure translation, with no error raised and clean tracking in</w:t>
      </w:r>
      <w:r>
        <w:t xml:space="preserve"> </w:t>
      </w:r>
      <w:r>
        <w:t xml:space="preserve">every telemetry plot, because the loop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tracking. It is tracking a lie.</w:t>
      </w:r>
    </w:p>
    <w:p>
      <w:pPr>
        <w:pStyle w:val="BodyText"/>
      </w:pPr>
      <w:r>
        <w:t xml:space="preserve">No test that examines one wheel at a time can find this. It was found by</w:t>
      </w:r>
      <w:r>
        <w:t xml:space="preserve"> </w:t>
      </w:r>
      <w:r>
        <w:t xml:space="preserve">comparing front against rear on the same command, and it is the strongest early</w:t>
      </w:r>
      <w:r>
        <w:t xml:space="preserve"> </w:t>
      </w:r>
      <w:r>
        <w:t xml:space="preserve">argument in this year’s work for cross-subsystem verification as routine</w:t>
      </w:r>
      <w:r>
        <w:t xml:space="preserve"> </w:t>
      </w:r>
      <w:r>
        <w:t xml:space="preserve">practice rather than as a debugging measure.</w:t>
      </w:r>
    </w:p>
    <w:p>
      <w:pPr>
        <w:pStyle w:val="BodyText"/>
      </w:pPr>
      <w:r>
        <w:t xml:space="preserve">A second finding fell out of the same correction.</w:t>
      </w:r>
    </w:p>
    <w:p>
      <w:pPr>
        <w:pStyle w:val="CaptionedFigure"/>
      </w:pPr>
      <w:r>
        <w:drawing>
          <wp:inline>
            <wp:extent cx="5334000" cy="2738175"/>
            <wp:effectExtent b="0" l="0" r="0" t="0"/>
            <wp:docPr descr="Feedforward spread" title="" id="59" name="Picture"/>
            <a:graphic>
              <a:graphicData uri="http://schemas.openxmlformats.org/drawingml/2006/picture">
                <pic:pic>
                  <pic:nvPicPr>
                    <pic:cNvPr descr="figures/fig07_kff_artefac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Feedforward spread</w:t>
      </w:r>
    </w:p>
    <w:p>
      <w:pPr>
        <w:pStyle w:val="BodyText"/>
      </w:pPr>
      <w:r>
        <w:rPr>
          <w:bCs/>
          <w:b/>
        </w:rPr>
        <w:t xml:space="preserve">Figure 7.</w:t>
      </w:r>
      <w:r>
        <w:t xml:space="preserve"> </w:t>
      </w:r>
      <w:r>
        <w:t xml:space="preserve">Re-measured on the confirmed-good signal path, all four motors fall</w:t>
      </w:r>
      <w:r>
        <w:t xml:space="preserve"> </w:t>
      </w:r>
      <w:r>
        <w:t xml:space="preserve">within a 2.9 % band. The earlier 19 % spread had been treated for months as a</w:t>
      </w:r>
      <w:r>
        <w:t xml:space="preserve"> </w:t>
      </w:r>
      <w:r>
        <w:t xml:space="preserve">physical property of the motors and used to justify per-motor compensation.</w:t>
      </w:r>
    </w:p>
    <w:bookmarkEnd w:id="61"/>
    <w:bookmarkStart w:id="71" w:name="results-in-the-air-and-on-the-floor"/>
    <w:p>
      <w:pPr>
        <w:pStyle w:val="Heading3"/>
      </w:pPr>
      <w:r>
        <w:t xml:space="preserve">6.4 Results, in the air and on the floor</w:t>
      </w:r>
    </w:p>
    <w:p>
      <w:pPr>
        <w:pStyle w:val="CaptionedFigure"/>
      </w:pPr>
      <w:r>
        <w:drawing>
          <wp:inline>
            <wp:extent cx="5334000" cy="3402547"/>
            <wp:effectExtent b="0" l="0" r="0" t="0"/>
            <wp:docPr descr="Closed-loop tracking" title="" id="63" name="Picture"/>
            <a:graphic>
              <a:graphicData uri="http://schemas.openxmlformats.org/drawingml/2006/picture">
                <pic:pic>
                  <pic:nvPicPr>
                    <pic:cNvPr descr="figures/fig08_v30_tracki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Closed-loop tracking</w:t>
      </w:r>
    </w:p>
    <w:p>
      <w:pPr>
        <w:pStyle w:val="BodyText"/>
      </w:pPr>
      <w:r>
        <w:rPr>
          <w:bCs/>
          <w:b/>
        </w:rPr>
        <w:t xml:space="preserve">Figure 8.</w:t>
      </w:r>
      <w:r>
        <w:t xml:space="preserve"> </w:t>
      </w:r>
      <w:r>
        <w:t xml:space="preserve">Closed-loop velocity tracking, wheels free, 1816 samples over</w:t>
      </w:r>
      <w:r>
        <w:t xml:space="preserve"> </w:t>
      </w:r>
      <w:r>
        <w:t xml:space="preserve">90.8 s. (a) The front-right wheel across the full run, with an inset over one</w:t>
      </w:r>
      <w:r>
        <w:t xml:space="preserve"> </w:t>
      </w:r>
      <w:r>
        <w:t xml:space="preserve">commanded step. (b) Tracking error for all four wheels. Excursions coincide with</w:t>
      </w:r>
      <w:r>
        <w:t xml:space="preserve"> </w:t>
      </w:r>
      <w:r>
        <w:t xml:space="preserve">commanded step edges and not with steady-state operation, which is the expected</w:t>
      </w:r>
      <w:r>
        <w:t xml:space="preserve"> </w:t>
      </w:r>
      <w:r>
        <w:t xml:space="preserve">behaviour of a well-conditioned loop.</w:t>
      </w:r>
    </w:p>
    <w:p>
      <w:pPr>
        <w:pStyle w:val="CaptionedFigure"/>
      </w:pPr>
      <w:r>
        <w:drawing>
          <wp:inline>
            <wp:extent cx="5334000" cy="2220314"/>
            <wp:effectExtent b="0" l="0" r="0" t="0"/>
            <wp:docPr descr="Tracking comparison" title="" id="66" name="Picture"/>
            <a:graphic>
              <a:graphicData uri="http://schemas.openxmlformats.org/drawingml/2006/picture">
                <pic:pic>
                  <pic:nvPicPr>
                    <pic:cNvPr descr="figures/fig09_tracking_comparis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0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Tracking comparison</w:t>
      </w:r>
    </w:p>
    <w:p>
      <w:pPr>
        <w:pStyle w:val="BodyText"/>
      </w:pPr>
      <w:r>
        <w:rPr>
          <w:bCs/>
          <w:b/>
        </w:rPr>
        <w:t xml:space="preserve">Figure 9.</w:t>
      </w:r>
      <w:r>
        <w:t xml:space="preserve"> </w:t>
      </w:r>
      <w:r>
        <w:t xml:space="preserve">The same metrics against a run on the previous firmware</w:t>
      </w:r>
      <w:r>
        <w:t xml:space="preserve"> </w:t>
      </w:r>
      <w:r>
        <w:t xml:space="preserve">generation. The current controller holds a lower relative error over a three</w:t>
      </w:r>
      <w:r>
        <w:t xml:space="preserve"> </w:t>
      </w:r>
      <w:r>
        <w:t xml:space="preserve">times wider speed range with roughly half the actuator range unused.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commanded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error, % of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PWM of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Bench, 2 Jul, previous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rad/s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3.5–4.5 %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Bench, 4 Aug,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 rad/s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2.0–2.4 %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Bench, 5 Aug,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 rad/s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Ground, 6 Aug, v3.0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1.39 rad/s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3.4–4.0 %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The ground run is the one that closes an objective. The feedforward calibration</w:t>
      </w:r>
      <w:r>
        <w:t xml:space="preserve"> </w:t>
      </w:r>
      <w:r>
        <w:t xml:space="preserve">carried a prediction, written down in</w:t>
      </w:r>
      <w:r>
        <w:t xml:space="preserve"> </w:t>
      </w:r>
      <w:r>
        <w:rPr>
          <w:rStyle w:val="VerbatimChar"/>
        </w:rPr>
        <w:t xml:space="preserve">docs/PID_Calibration.md</w:t>
      </w:r>
      <w:r>
        <w:t xml:space="preserve"> </w:t>
      </w:r>
      <w:r>
        <w:t xml:space="preserve">§7 before any</w:t>
      </w:r>
      <w:r>
        <w:t xml:space="preserve"> </w:t>
      </w:r>
      <w:r>
        <w:t xml:space="preserve">floor test existed: ground load would raise the feedforward demand by 10–30 %.</w:t>
      </w:r>
    </w:p>
    <w:p>
      <w:pPr>
        <w:pStyle w:val="CaptionedFigure"/>
      </w:pPr>
      <w:r>
        <w:drawing>
          <wp:inline>
            <wp:extent cx="5334000" cy="2184343"/>
            <wp:effectExtent b="0" l="0" r="0" t="0"/>
            <wp:docPr descr="Ground load" title="" id="69" name="Picture"/>
            <a:graphic>
              <a:graphicData uri="http://schemas.openxmlformats.org/drawingml/2006/picture">
                <pic:pic>
                  <pic:nvPicPr>
                    <pic:cNvPr descr="figures/fig10_ground_loa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Ground load</w:t>
      </w:r>
    </w:p>
    <w:p>
      <w:pPr>
        <w:pStyle w:val="BodyText"/>
      </w:pPr>
      <w:r>
        <w:rPr>
          <w:bCs/>
          <w:b/>
        </w:rPr>
        <w:t xml:space="preserve">Figure 10.</w:t>
      </w:r>
      <w:r>
        <w:t xml:space="preserve"> </w:t>
      </w:r>
      <w:r>
        <w:t xml:space="preserve">Steady-state PWM per rad/s, unloaded against loaded, computed from</w:t>
      </w:r>
      <w:r>
        <w:t xml:space="preserve"> </w:t>
      </w:r>
      <w:r>
        <w:t xml:space="preserve">the two logs for this report. All four motors land inside the predicted band, at</w:t>
      </w:r>
      <w:r>
        <w:t xml:space="preserve"> </w:t>
      </w:r>
      <w:r>
        <w:t xml:space="preserve">a mean of 24 %. A prediction registered in advance and then met is worth more</w:t>
      </w:r>
      <w:r>
        <w:t xml:space="preserve"> </w:t>
      </w:r>
      <w:r>
        <w:t xml:space="preserve">than an explanation offered afterwards, and this is one of two such results in</w:t>
      </w:r>
      <w:r>
        <w:t xml:space="preserve"> </w:t>
      </w:r>
      <w:r>
        <w:t xml:space="preserve">the year; §8.3 is the other.</w:t>
      </w:r>
    </w:p>
    <w:p>
      <w:pPr>
        <w:pStyle w:val="BodyText"/>
      </w:pPr>
      <w:r>
        <w:rPr>
          <w:bCs/>
          <w:b/>
        </w:rPr>
        <w:t xml:space="preserve">What these numbers establish and do not.</w:t>
      </w:r>
      <w:r>
        <w:t xml:space="preserve"> </w:t>
      </w:r>
      <w:r>
        <w:t xml:space="preserve">They establish a loop that is</w:t>
      </w:r>
      <w:r>
        <w:t xml:space="preserve"> </w:t>
      </w:r>
      <w:r>
        <w:t xml:space="preserve">healthy, consistent across all four wheels, free of saturation and of</w:t>
      </w:r>
      <w:r>
        <w:t xml:space="preserve"> </w:t>
      </w:r>
      <w:r>
        <w:t xml:space="preserve">direction-sign faults, and now exercised under real chassis weight. They do not</w:t>
      </w:r>
      <w:r>
        <w:t xml:space="preserve"> </w:t>
      </w:r>
      <w:r>
        <w:t xml:space="preserve">establish a step response, because these are live driving logs rather than</w:t>
      </w:r>
      <w:r>
        <w:t xml:space="preserve"> </w:t>
      </w:r>
      <w:r>
        <w:t xml:space="preserve">isolated-step tests, so rise time and settling time cannot be fitted from them.</w:t>
      </w:r>
      <w:r>
        <w:t xml:space="preserve"> </w:t>
      </w:r>
      <w:r>
        <w:t xml:space="preserve">The plant time constant remains unmeasured and the proportional gain remains an</w:t>
      </w:r>
      <w:r>
        <w:t xml:space="preserve"> </w:t>
      </w:r>
      <w:r>
        <w:t xml:space="preserve">estimate; the bench run that closes it is implemented and takes about 40 seconds.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2" w:name="Xe035dc18a3a6f8f85df90c2d5d489f1519cf7c4"/>
    <w:p>
      <w:pPr>
        <w:pStyle w:val="Heading2"/>
      </w:pPr>
      <w:r>
        <w:t xml:space="preserve">7. Perception, mapping and the frame-convention faults</w:t>
      </w:r>
    </w:p>
    <w:bookmarkStart w:id="76" w:name="X9e0780c43aa6f77a082ca3fa32e27b5ebd4d2ba"/>
    <w:p>
      <w:pPr>
        <w:pStyle w:val="Heading3"/>
      </w:pPr>
      <w:r>
        <w:t xml:space="preserve">7.1 Bringup, and three faults that produced no error message</w:t>
      </w:r>
    </w:p>
    <w:p>
      <w:pPr>
        <w:pStyle w:val="FirstParagraph"/>
      </w:pPr>
      <w:r>
        <w:t xml:space="preserve">A YDLIDAR X4 Pro was integrated and its parameters read off the hardware rather</w:t>
      </w:r>
      <w:r>
        <w:t xml:space="preserve"> </w:t>
      </w:r>
      <w:r>
        <w:t xml:space="preserve">than copied from a forum. Getting from</w:t>
      </w:r>
      <w:r>
        <w:t xml:space="preserve"> </w:t>
      </w:r>
      <w:r>
        <w:t xml:space="preserve">“</w:t>
      </w:r>
      <w:r>
        <w:t xml:space="preserve">the sensor spins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 map builds</w:t>
      </w:r>
      <w:r>
        <w:t xml:space="preserve">”</w:t>
      </w:r>
      <w:r>
        <w:t xml:space="preserve"> </w:t>
      </w:r>
      <w:r>
        <w:t xml:space="preserve">took considerably longer than expected, for reasons worth reporting because all</w:t>
      </w:r>
      <w:r>
        <w:t xml:space="preserve"> </w:t>
      </w:r>
      <w:r>
        <w:t xml:space="preserve">three obstacles shared a diagnostic character.</w:t>
      </w:r>
    </w:p>
    <w:p>
      <w:pPr>
        <w:pStyle w:val="CaptionedFigure"/>
      </w:pPr>
      <w:r>
        <w:drawing>
          <wp:inline>
            <wp:extent cx="5334000" cy="2911748"/>
            <wp:effectExtent b="0" l="0" r="0" t="0"/>
            <wp:docPr descr="Mapping pipeline" title="" id="74" name="Picture"/>
            <a:graphic>
              <a:graphicData uri="http://schemas.openxmlformats.org/drawingml/2006/picture">
                <pic:pic>
                  <pic:nvPicPr>
                    <pic:cNvPr descr="figures/fig11_mapping_pipelin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Mapping pipeline</w:t>
      </w:r>
    </w:p>
    <w:p>
      <w:pPr>
        <w:pStyle w:val="BodyText"/>
      </w:pPr>
      <w:r>
        <w:rPr>
          <w:bCs/>
          <w:b/>
        </w:rPr>
        <w:t xml:space="preserve">Figure 11.</w:t>
      </w:r>
      <w:r>
        <w:t xml:space="preserve"> </w:t>
      </w:r>
      <w:r>
        <w:t xml:space="preserve">The mapping pipeline and the three faults that blocked it. None</w:t>
      </w:r>
      <w:r>
        <w:t xml:space="preserve"> </w:t>
      </w:r>
      <w:r>
        <w:t xml:space="preserve">produced an error message. Each was found by comparing one subsystem against</w:t>
      </w:r>
      <w:r>
        <w:t xml:space="preserve"> </w:t>
      </w:r>
      <w:r>
        <w:t xml:space="preserve">another rather than by inspecting the component that appeared to be failing.</w:t>
      </w:r>
    </w:p>
    <w:p>
      <w:pPr>
        <w:pStyle w:val="BodyText"/>
      </w:pPr>
      <w:r>
        <w:t xml:space="preserve">The quality-of-service incompatibility is the most transferable. The driver</w:t>
      </w:r>
      <w:r>
        <w:t xml:space="preserve"> </w:t>
      </w:r>
      <w:r>
        <w:t xml:space="preserve">publishes scans as best-effort; the SLAM node subscribes as reliable; in DDS</w:t>
      </w:r>
      <w:r>
        <w:t xml:space="preserve"> </w:t>
      </w:r>
      <w:r>
        <w:t xml:space="preserve">those endpoints never connect. Both</w:t>
      </w:r>
      <w:r>
        <w:t xml:space="preserve"> </w:t>
      </w:r>
      <w:r>
        <w:rPr>
          <w:rStyle w:val="VerbatimChar"/>
        </w:rPr>
        <w:t xml:space="preserve">ros2 topic echo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ros2 topic hz</w:t>
      </w:r>
      <w:r>
        <w:t xml:space="preserve"> </w:t>
      </w:r>
      <w:r>
        <w:t xml:space="preserve">work</w:t>
      </w:r>
      <w:r>
        <w:t xml:space="preserve"> </w:t>
      </w:r>
      <w:r>
        <w:t xml:space="preserve">perfectly on that topic, because the command-line tools negotiate a compatible</w:t>
      </w:r>
      <w:r>
        <w:t xml:space="preserve"> </w:t>
      </w:r>
      <w:r>
        <w:t xml:space="preserve">profile at runtime and the SLAM node does not. A topic being demonstrably alive</w:t>
      </w:r>
      <w:r>
        <w:t xml:space="preserve"> </w:t>
      </w:r>
      <w:r>
        <w:t xml:space="preserve">is not evidence that a given node will receive it. The same fault recurred later</w:t>
      </w:r>
      <w:r>
        <w:t xml:space="preserve"> </w:t>
      </w:r>
      <w:r>
        <w:t xml:space="preserve">in a different consumer, the navigation costmaps, and was caught in the audit</w:t>
      </w:r>
      <w:r>
        <w:t xml:space="preserve"> </w:t>
      </w:r>
      <w:r>
        <w:t xml:space="preserve">described in §9.1. A documented workaround is not a fix; only a check that fails</w:t>
      </w:r>
      <w:r>
        <w:t xml:space="preserve"> </w:t>
      </w:r>
      <w:r>
        <w:t xml:space="preserve">when the workaround is bypassed is.</w:t>
      </w:r>
    </w:p>
    <w:bookmarkEnd w:id="76"/>
    <w:bookmarkStart w:id="80" w:name="self-occlusion-measured-and-then-masked"/>
    <w:p>
      <w:pPr>
        <w:pStyle w:val="Heading3"/>
      </w:pPr>
      <w:r>
        <w:t xml:space="preserve">7.2 Self-occlusion, measured and then masked</w:t>
      </w:r>
    </w:p>
    <w:p>
      <w:pPr>
        <w:pStyle w:val="CaptionedFigure"/>
      </w:pPr>
      <w:r>
        <w:drawing>
          <wp:inline>
            <wp:extent cx="5334000" cy="2802406"/>
            <wp:effectExtent b="0" l="0" r="0" t="0"/>
            <wp:docPr descr="Self-occlusion" title="" id="78" name="Picture"/>
            <a:graphic>
              <a:graphicData uri="http://schemas.openxmlformats.org/drawingml/2006/picture">
                <pic:pic>
                  <pic:nvPicPr>
                    <pic:cNvPr descr="figures/fig12_self_occlusio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Self-occlusion</w:t>
      </w:r>
    </w:p>
    <w:p>
      <w:pPr>
        <w:pStyle w:val="BodyText"/>
      </w:pPr>
      <w:r>
        <w:rPr>
          <w:bCs/>
          <w:b/>
        </w:rPr>
        <w:t xml:space="preserve">Figure 12.</w:t>
      </w:r>
      <w:r>
        <w:t xml:space="preserve"> </w:t>
      </w:r>
      <w:r>
        <w:t xml:space="preserve">The rear cone, re-measured in the corrected frame at five headings</w:t>
      </w:r>
      <w:r>
        <w:t xml:space="preserve"> </w:t>
      </w:r>
      <w:r>
        <w:t xml:space="preserve">roughly 90° apart. Cross-checking the five sector tables against each other</w:t>
      </w:r>
      <w:r>
        <w:t xml:space="preserve"> </w:t>
      </w:r>
      <w:r>
        <w:t xml:space="preserve">found exactly one bearing block returning a close reading in all five</w:t>
      </w:r>
      <w:r>
        <w:t xml:space="preserve"> </w:t>
      </w:r>
      <w:r>
        <w:t xml:space="preserve">independent headings: a 90° wedge centred directly behind the robot. Every other</w:t>
      </w:r>
      <w:r>
        <w:t xml:space="preserve"> </w:t>
      </w:r>
      <w:r>
        <w:t xml:space="preserve">“</w:t>
      </w:r>
      <w:r>
        <w:t xml:space="preserve">always close</w:t>
      </w:r>
      <w:r>
        <w:t xml:space="preserve">”</w:t>
      </w:r>
      <w:r>
        <w:t xml:space="preserve"> </w:t>
      </w:r>
      <w:r>
        <w:t xml:space="preserve">flag appeared in exactly one run, which is a real wall the robot</w:t>
      </w:r>
      <w:r>
        <w:t xml:space="preserve"> </w:t>
      </w:r>
      <w:r>
        <w:t xml:space="preserve">happened to face, correctly not persisting.</w:t>
      </w:r>
    </w:p>
    <w:p>
      <w:pPr>
        <w:pStyle w:val="BodyText"/>
      </w:pPr>
      <w:r>
        <w:t xml:space="preserve">The second failure mode is the damaging one. If the rear mast sits beyond the</w:t>
      </w:r>
      <w:r>
        <w:t xml:space="preserve"> </w:t>
      </w:r>
      <w:r>
        <w:t xml:space="preserve">sensor’s 0.12 m minimum range it returns a</w:t>
      </w:r>
      <w:r>
        <w:t xml:space="preserve"> </w:t>
      </w:r>
      <w:r>
        <w:rPr>
          <w:iCs/>
          <w:i/>
        </w:rPr>
        <w:t xml:space="preserve">valid</w:t>
      </w:r>
      <w:r>
        <w:t xml:space="preserve"> </w:t>
      </w:r>
      <w:r>
        <w:t xml:space="preserve">hit on every scan, and the</w:t>
      </w:r>
      <w:r>
        <w:t xml:space="preserve"> </w:t>
      </w:r>
      <w:r>
        <w:t xml:space="preserve">obstacle layer marks those cells occupied. Because they are fixed in the robot’s</w:t>
      </w:r>
      <w:r>
        <w:t xml:space="preserve"> </w:t>
      </w:r>
      <w:r>
        <w:t xml:space="preserve">own frame they translate and rotate with it: a permanent obstacle welded to the</w:t>
      </w:r>
      <w:r>
        <w:t xml:space="preserve"> </w:t>
      </w:r>
      <w:r>
        <w:t xml:space="preserve">chassis, which the inflation layer expands and the planner reads as a direction</w:t>
      </w:r>
      <w:r>
        <w:t xml:space="preserve"> </w:t>
      </w:r>
      <w:r>
        <w:t xml:space="preserve">blocked everywhere and always.</w:t>
      </w:r>
    </w:p>
    <w:p>
      <w:pPr>
        <w:pStyle w:val="BodyText"/>
      </w:pPr>
      <w:r>
        <w:t xml:space="preserve">The mask is implemented. The arc is blanked to not-a-number in the relay node</w:t>
      </w:r>
      <w:r>
        <w:t xml:space="preserve"> </w:t>
      </w:r>
      <w:r>
        <w:t xml:space="preserve">before the scan reaches SLAM or the costmap, so those beams neither mark nor</w:t>
      </w:r>
      <w:r>
        <w:t xml:space="preserve"> </w:t>
      </w:r>
      <w:r>
        <w:t xml:space="preserve">clear. A finite value would mark a phantom obstacle; infinity would clear</w:t>
      </w:r>
      <w:r>
        <w:t xml:space="preserve"> </w:t>
      </w:r>
      <w:r>
        <w:t xml:space="preserve">straight through whatever really sits behind it. 107 of 430 beams, one quarter</w:t>
      </w:r>
      <w:r>
        <w:t xml:space="preserve"> </w:t>
      </w:r>
      <w:r>
        <w:t xml:space="preserve">of every scan, are now masked, and that fact is carried explicitly into the</w:t>
      </w:r>
      <w:r>
        <w:t xml:space="preserve"> </w:t>
      </w:r>
      <w:r>
        <w:t xml:space="preserve">loop-closure threshold reasoning of §8.</w:t>
      </w:r>
    </w:p>
    <w:p>
      <w:pPr>
        <w:pStyle w:val="BodyText"/>
      </w:pPr>
      <w:r>
        <w:t xml:space="preserve">The discriminator needed no apparatus: rotate in place in a static environment</w:t>
      </w:r>
      <w:r>
        <w:t xml:space="preserve"> </w:t>
      </w:r>
      <w:r>
        <w:t xml:space="preserve">and compare scans, because real features move in the sensor frame under rotation</w:t>
      </w:r>
      <w:r>
        <w:t xml:space="preserve"> </w:t>
      </w:r>
      <w:r>
        <w:t xml:space="preserve">and self-occlusion does not. An earlier proposal to establish the same thing by</w:t>
      </w:r>
      <w:r>
        <w:t xml:space="preserve"> </w:t>
      </w:r>
      <w:r>
        <w:t xml:space="preserve">standing opaque sheets around the chassis would not have worked, because sheets</w:t>
      </w:r>
      <w:r>
        <w:t xml:space="preserve"> </w:t>
      </w:r>
      <w:r>
        <w:t xml:space="preserve">on all sides block everything and cannot separate self-occlusion from the sheet.</w:t>
      </w:r>
    </w:p>
    <w:bookmarkEnd w:id="80"/>
    <w:bookmarkStart w:id="84" w:name="X3bba258faec0b1aed0c3b0e06aaecd3a6fd9221"/>
    <w:p>
      <w:pPr>
        <w:pStyle w:val="Heading3"/>
      </w:pPr>
      <w:r>
        <w:t xml:space="preserve">7.3 Two frame-convention faults, and the rule that came out of them</w:t>
      </w:r>
    </w:p>
    <w:p>
      <w:pPr>
        <w:pStyle w:val="CaptionedFigure"/>
      </w:pPr>
      <w:r>
        <w:drawing>
          <wp:inline>
            <wp:extent cx="5334000" cy="2461702"/>
            <wp:effectExtent b="0" l="0" r="0" t="0"/>
            <wp:docPr descr="LiDAR mirror fault" title="" id="82" name="Picture"/>
            <a:graphic>
              <a:graphicData uri="http://schemas.openxmlformats.org/drawingml/2006/picture">
                <pic:pic>
                  <pic:nvPicPr>
                    <pic:cNvPr descr="figures/fig13_lidar_mirro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LiDAR mirror fault</w:t>
      </w:r>
    </w:p>
    <w:p>
      <w:pPr>
        <w:pStyle w:val="BodyText"/>
      </w:pPr>
      <w:r>
        <w:rPr>
          <w:bCs/>
          <w:b/>
        </w:rPr>
        <w:t xml:space="preserve">Figure 13.</w:t>
      </w:r>
      <w:r>
        <w:t xml:space="preserve"> </w:t>
      </w:r>
      <w:r>
        <w:t xml:space="preserve">The mirrored-scan fault. Bearings were defined empirically from</w:t>
      </w:r>
      <w:r>
        <w:t xml:space="preserve"> </w:t>
      </w:r>
      <w:r>
        <w:t xml:space="preserve">how the robot actually drives rather than assumed from the standard convention;</w:t>
      </w:r>
      <w:r>
        <w:t xml:space="preserve"> </w:t>
      </w:r>
      <w:r>
        <w:t xml:space="preserve">an earlier derivation that did assume it was 90° wrong and was caught before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A block placed in front of the robot appeared behind it. Three placements at</w:t>
      </w:r>
      <w:r>
        <w:t xml:space="preserve"> </w:t>
      </w:r>
      <w:r>
        <w:t xml:space="preserve">known bearings all satisfied one relation. The distinction that mattered is that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difference</w:t>
      </w:r>
      <w:r>
        <w:t xml:space="preserve"> </w:t>
      </w:r>
      <w:r>
        <w:t xml:space="preserve">between reported and true bearing is not constant across the</w:t>
      </w:r>
      <w:r>
        <w:t xml:space="preserve"> </w:t>
      </w:r>
      <w:r>
        <w:t xml:space="preserve">three while their</w:t>
      </w:r>
      <w:r>
        <w:t xml:space="preserve"> </w:t>
      </w:r>
      <w:r>
        <w:rPr>
          <w:iCs/>
          <w:i/>
        </w:rPr>
        <w:t xml:space="preserve">sum</w:t>
      </w:r>
      <w:r>
        <w:t xml:space="preserve"> </w:t>
      </w:r>
      <w:r>
        <w:t xml:space="preserve">is, which is the signature of a reflection about a fixed</w:t>
      </w:r>
      <w:r>
        <w:t xml:space="preserve"> </w:t>
      </w:r>
      <w:r>
        <w:t xml:space="preserve">line rather than a rotation. That decided where the fix could live: transform</w:t>
      </w:r>
      <w:r>
        <w:t xml:space="preserve"> </w:t>
      </w:r>
      <w:r>
        <w:t xml:space="preserve">libraries compose rigid motions only, and a reflection inverts handedness, so no</w:t>
      </w:r>
      <w:r>
        <w:t xml:space="preserve"> </w:t>
      </w:r>
      <w:r>
        <w:t xml:space="preserve">static transform at any angle is equivalent to one.</w:t>
      </w:r>
    </w:p>
    <w:p>
      <w:pPr>
        <w:pStyle w:val="BodyText"/>
      </w:pPr>
      <w:r>
        <w:t xml:space="preserve">Immediately afterwards, driving forward made the accumulated map slide sideways.</w:t>
      </w:r>
      <w:r>
        <w:t xml:space="preserve"> </w:t>
      </w:r>
      <w:r>
        <w:t xml:space="preserve">Raw transform measurements across two controlled single-axis moves showed 94 %</w:t>
      </w:r>
      <w:r>
        <w:t xml:space="preserve"> </w:t>
      </w:r>
      <w:r>
        <w:t xml:space="preserve">of a forward move on one axis and 96 % of a lateral move on the other, which is</w:t>
      </w:r>
      <w:r>
        <w:t xml:space="preserve"> </w:t>
      </w:r>
      <w:r>
        <w:t xml:space="preserve">the standard convention and the opposite of the one the scan fix had been built</w:t>
      </w:r>
      <w:r>
        <w:t xml:space="preserve"> </w:t>
      </w:r>
      <w:r>
        <w:t xml:space="preserve">on. Two internally consistent conventions existed and nothing in the physics</w:t>
      </w:r>
      <w:r>
        <w:t xml:space="preserve"> </w:t>
      </w:r>
      <w:r>
        <w:t xml:space="preserve">selects one. The question was therefore not which had been measured most</w:t>
      </w:r>
      <w:r>
        <w:t xml:space="preserve"> </w:t>
      </w:r>
      <w:r>
        <w:t xml:space="preserve">recently but which rested on weaker evidence. The scan side had been confirmed</w:t>
      </w:r>
      <w:r>
        <w:t xml:space="preserve"> </w:t>
      </w:r>
      <w:r>
        <w:t xml:space="preserve">by a recording of the robot driving toward a placed block while the block’s</w:t>
      </w:r>
      <w:r>
        <w:t xml:space="preserve"> </w:t>
      </w:r>
      <w:r>
        <w:t xml:space="preserve">position closed in the map, made before the drift symptom was ever observed; the</w:t>
      </w:r>
      <w:r>
        <w:t xml:space="preserve"> </w:t>
      </w:r>
      <w:r>
        <w:t xml:space="preserve">odometry side rested on a single transform reading. The correction went to the</w:t>
      </w:r>
      <w:r>
        <w:t xml:space="preserve"> </w:t>
      </w:r>
      <w:r>
        <w:t xml:space="preserve">odometry node.</w:t>
      </w:r>
    </w:p>
    <w:p>
      <w:pPr>
        <w:pStyle w:val="BodyText"/>
      </w:pPr>
      <w:r>
        <w:t xml:space="preserve">That decision was revisited a fortnight later and found to have been half</w:t>
      </w:r>
      <w:r>
        <w:t xml:space="preserve"> </w:t>
      </w:r>
      <w:r>
        <w:t xml:space="preserve">applied. The published orientation and twist had been rotated; the published</w:t>
      </w:r>
      <w:r>
        <w:t xml:space="preserve"> </w:t>
      </w:r>
      <w:r>
        <w:rPr>
          <w:iCs/>
          <w:i/>
        </w:rPr>
        <w:t xml:space="preserve">translation</w:t>
      </w:r>
      <w:r>
        <w:t xml:space="preserve"> </w:t>
      </w:r>
      <w:r>
        <w:t xml:space="preserve">had not. Driving forward really did increase map</w:t>
      </w:r>
      <w:r>
        <w:t xml:space="preserve"> </w:t>
      </w:r>
      <w:r>
        <w:rPr>
          <w:iCs/>
          <w:i/>
        </w:rPr>
        <w:t xml:space="preserve">X</w:t>
      </w:r>
      <w:r>
        <w:t xml:space="preserve">, and four</w:t>
      </w:r>
      <w:r>
        <w:t xml:space="preserve"> </w:t>
      </w:r>
      <w:r>
        <w:t xml:space="preserve">separate downstream compensations had grown over the seam, each undoing it for</w:t>
      </w:r>
      <w:r>
        <w:t xml:space="preserve"> </w:t>
      </w:r>
      <w:r>
        <w:t xml:space="preserve">one consumer, which is why it read as correct wherever anyone looked closely. It</w:t>
      </w:r>
      <w:r>
        <w:t xml:space="preserve"> </w:t>
      </w:r>
      <w:r>
        <w:t xml:space="preserve">was reopened by a video, which was decisive in a way that argument had not been.</w:t>
      </w:r>
      <w:r>
        <w:t xml:space="preserve"> </w:t>
      </w:r>
      <w:r>
        <w:t xml:space="preserve">The remaining half was applied, all four compensations were deleted in the same</w:t>
      </w:r>
      <w:r>
        <w:t xml:space="preserve"> </w:t>
      </w:r>
      <w:r>
        <w:t xml:space="preserve">commit, and a verification script now proves the chain and fails if it is edited</w:t>
      </w:r>
      <w:r>
        <w:t xml:space="preserve"> </w:t>
      </w:r>
      <w:r>
        <w:t xml:space="preserve">back out.</w:t>
      </w:r>
    </w:p>
    <w:p>
      <w:pPr>
        <w:pStyle w:val="BodyText"/>
      </w:pPr>
      <w:r>
        <w:t xml:space="preserve">The standing rule that came out of this is stated in the project’s own</w:t>
      </w:r>
      <w:r>
        <w:t xml:space="preserve"> </w:t>
      </w:r>
      <w:r>
        <w:t xml:space="preserve">documentation and is the most useful thing this episode produced:</w:t>
      </w:r>
      <w:r>
        <w:t xml:space="preserve"> </w:t>
      </w:r>
      <w:r>
        <w:rPr>
          <w:bCs/>
          <w:b/>
        </w:rPr>
        <w:t xml:space="preserve">never fix an</w:t>
      </w:r>
      <w:r>
        <w:rPr>
          <w:bCs/>
          <w:b/>
        </w:rPr>
        <w:t xml:space="preserve"> </w:t>
      </w:r>
      <w:r>
        <w:rPr>
          <w:bCs/>
          <w:b/>
        </w:rPr>
        <w:t xml:space="preserve">axis or placement complaint in the display.</w:t>
      </w:r>
      <w:r>
        <w:t xml:space="preserve"> </w:t>
      </w:r>
      <w:r>
        <w:t xml:space="preserve">A display-side correction makes one</w:t>
      </w:r>
      <w:r>
        <w:t xml:space="preserve"> </w:t>
      </w:r>
      <w:r>
        <w:t xml:space="preserve">consumer right and hides the fault from every other.</w:t>
      </w:r>
    </w:p>
    <w:bookmarkEnd w:id="84"/>
    <w:bookmarkStart w:id="91" w:name="why-the-maps-were-sparse"/>
    <w:p>
      <w:pPr>
        <w:pStyle w:val="Heading3"/>
      </w:pPr>
      <w:r>
        <w:t xml:space="preserve">7.4 Why the maps were sparse</w:t>
      </w:r>
    </w:p>
    <w:p>
      <w:pPr>
        <w:pStyle w:val="CaptionedFigure"/>
      </w:pPr>
      <w:r>
        <w:drawing>
          <wp:inline>
            <wp:extent cx="5334000" cy="2229863"/>
            <wp:effectExtent b="0" l="0" r="0" t="0"/>
            <wp:docPr descr="LiDAR placement trial" title="" id="86" name="Picture"/>
            <a:graphic>
              <a:graphicData uri="http://schemas.openxmlformats.org/drawingml/2006/picture">
                <pic:pic>
                  <pic:nvPicPr>
                    <pic:cNvPr descr="figures/fig14_lidar_placement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LiDAR placement trial</w:t>
      </w:r>
    </w:p>
    <w:p>
      <w:pPr>
        <w:pStyle w:val="BodyText"/>
      </w:pPr>
      <w:r>
        <w:rPr>
          <w:bCs/>
          <w:b/>
        </w:rPr>
        <w:t xml:space="preserve">Figure 14.</w:t>
      </w:r>
      <w:r>
        <w:t xml:space="preserve"> </w:t>
      </w:r>
      <w:r>
        <w:t xml:space="preserve">Placement-trial results, three mount positions on one standardised</w:t>
      </w:r>
      <w:r>
        <w:t xml:space="preserve"> </w:t>
      </w:r>
      <w:r>
        <w:t xml:space="preserve">drive. Position 2 was selected on two grounds together rather than on the</w:t>
      </w:r>
      <w:r>
        <w:t xml:space="preserve"> </w:t>
      </w:r>
      <w:r>
        <w:t xml:space="preserve">coverage figure alone: it posted the best number on a shorter, faster, smaller</w:t>
      </w:r>
      <w:r>
        <w:t xml:space="preserve"> </w:t>
      </w:r>
      <w:r>
        <w:t xml:space="preserve">run, all of which should have hurt it, and it is the only position that removes</w:t>
      </w:r>
      <w:r>
        <w:t xml:space="preserve"> </w:t>
      </w:r>
      <w:r>
        <w:t xml:space="preserve">the battery from the sensor’s line of sight by mechanism rather than by degree.</w:t>
      </w:r>
    </w:p>
    <w:p>
      <w:pPr>
        <w:pStyle w:val="BodyText"/>
      </w:pPr>
      <w:r>
        <w:t xml:space="preserve">The controlled comparison in that trial is a negative result and is reported as</w:t>
      </w:r>
      <w:r>
        <w:t xml:space="preserve"> </w:t>
      </w:r>
      <w:r>
        <w:t xml:space="preserve">one. Position 3 was the only run whose motion profile matched the baseline</w:t>
      </w:r>
      <w:r>
        <w:t xml:space="preserve"> </w:t>
      </w:r>
      <w:r>
        <w:t xml:space="preserve">closely and it showed no improvement at all. Photographs of the mount explain</w:t>
      </w:r>
      <w:r>
        <w:t xml:space="preserve"> </w:t>
      </w:r>
      <w:r>
        <w:t xml:space="preserve">why: on its temporary support the unit sat roughly level with the battery’s top</w:t>
      </w:r>
      <w:r>
        <w:t xml:space="preserve"> </w:t>
      </w:r>
      <w:r>
        <w:t xml:space="preserve">edge rather than clearly above it. Elevation as a strategy was not refuted;</w:t>
      </w:r>
      <w:r>
        <w:t xml:space="preserve"> </w:t>
      </w:r>
      <w:r>
        <w:rPr>
          <w:iCs/>
          <w:i/>
        </w:rPr>
        <w:t xml:space="preserve">that amount</w:t>
      </w:r>
      <w:r>
        <w:t xml:space="preserve"> </w:t>
      </w:r>
      <w:r>
        <w:t xml:space="preserve">of elevation was insufficient.</w:t>
      </w:r>
    </w:p>
    <w:p>
      <w:pPr>
        <w:pStyle w:val="CaptionedFigure"/>
      </w:pPr>
      <w:r>
        <w:drawing>
          <wp:inline>
            <wp:extent cx="5334000" cy="2433052"/>
            <wp:effectExtent b="0" l="0" r="0" t="0"/>
            <wp:docPr descr="Map coverage" title="" id="89" name="Picture"/>
            <a:graphic>
              <a:graphicData uri="http://schemas.openxmlformats.org/drawingml/2006/picture">
                <pic:pic>
                  <pic:nvPicPr>
                    <pic:cNvPr descr="figures/fig15_map_coverag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3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 coverage</w:t>
      </w:r>
    </w:p>
    <w:p>
      <w:pPr>
        <w:pStyle w:val="BodyText"/>
      </w:pPr>
      <w:r>
        <w:rPr>
          <w:bCs/>
          <w:b/>
        </w:rPr>
        <w:t xml:space="preserve">Figure 15.</w:t>
      </w:r>
      <w:r>
        <w:t xml:space="preserve"> </w:t>
      </w:r>
      <w:r>
        <w:t xml:space="preserve">Unknown-cell fraction across the maps produced this year. All sit</w:t>
      </w:r>
      <w:r>
        <w:t xml:space="preserve"> </w:t>
      </w:r>
      <w:r>
        <w:t xml:space="preserve">in the band the automated report flags as sparse.</w:t>
      </w:r>
    </w:p>
    <w:p>
      <w:pPr>
        <w:pStyle w:val="BodyText"/>
      </w:pPr>
      <w:r>
        <w:t xml:space="preserve">The explanation was assumed for weeks to be short drive paths and turned out to</w:t>
      </w:r>
      <w:r>
        <w:t xml:space="preserve"> </w:t>
      </w:r>
      <w:r>
        <w:t xml:space="preserve">be something else entirely, which §8.2 reports.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9" w:name="the-slam-front-end-investigation"/>
    <w:p>
      <w:pPr>
        <w:pStyle w:val="Heading2"/>
      </w:pPr>
      <w:r>
        <w:t xml:space="preserve">8. The SLAM front-end investigation</w:t>
      </w:r>
    </w:p>
    <w:p>
      <w:pPr>
        <w:pStyle w:val="FirstParagraph"/>
      </w:pPr>
      <w:r>
        <w:t xml:space="preserve">This section covers 19 August to 3 September and is the most substantial</w:t>
      </w:r>
      <w:r>
        <w:t xml:space="preserve"> </w:t>
      </w:r>
      <w:r>
        <w:t xml:space="preserve">research content of the year. It is reported as a campaign rather than a list of</w:t>
      </w:r>
      <w:r>
        <w:t xml:space="preserve"> </w:t>
      </w:r>
      <w:r>
        <w:t xml:space="preserve">fixes, because the method is the point: each stage carried a prediction written</w:t>
      </w:r>
      <w:r>
        <w:t xml:space="preserve"> </w:t>
      </w:r>
      <w:r>
        <w:t xml:space="preserve">before the test, several predictions failed, and two conclusions were retracted</w:t>
      </w:r>
      <w:r>
        <w:t xml:space="preserve"> </w:t>
      </w:r>
      <w:r>
        <w:t xml:space="preserve">in writing when the evidence went against them.</w:t>
      </w:r>
    </w:p>
    <w:bookmarkStart w:id="96" w:name="the-symptom-and-what-it-was-not"/>
    <w:p>
      <w:pPr>
        <w:pStyle w:val="Heading3"/>
      </w:pPr>
      <w:r>
        <w:t xml:space="preserve">8.1 The symptom, and what it was not</w:t>
      </w:r>
    </w:p>
    <w:p>
      <w:pPr>
        <w:pStyle w:val="FirstParagraph"/>
      </w:pPr>
      <w:r>
        <w:t xml:space="preserve">Occupancy maps came back folded and unusable. The robot’s estimated pose jumped</w:t>
      </w:r>
      <w:r>
        <w:t xml:space="preserve"> </w:t>
      </w:r>
      <w:r>
        <w:t xml:space="preserve">repeatedly during drives, sometimes by a quarter of a metre in a single 0.1 s</w:t>
      </w:r>
      <w:r>
        <w:t xml:space="preserve"> </w:t>
      </w:r>
      <w:r>
        <w:t xml:space="preserve">sample, which is six to twenty times anything the chassis can physically do.</w:t>
      </w:r>
    </w:p>
    <w:p>
      <w:pPr>
        <w:pStyle w:val="CaptionedFigure"/>
      </w:pPr>
      <w:r>
        <w:drawing>
          <wp:inline>
            <wp:extent cx="5334000" cy="3144082"/>
            <wp:effectExtent b="0" l="0" r="0" t="0"/>
            <wp:docPr descr="Correction traces" title="" id="94" name="Picture"/>
            <a:graphic>
              <a:graphicData uri="http://schemas.openxmlformats.org/drawingml/2006/picture">
                <pic:pic>
                  <pic:nvPicPr>
                    <pic:cNvPr descr="figures/fig16_correction_trace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4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Correction traces</w:t>
      </w:r>
    </w:p>
    <w:p>
      <w:pPr>
        <w:pStyle w:val="BodyText"/>
      </w:pPr>
      <w:r>
        <w:rPr>
          <w:bCs/>
          <w:b/>
        </w:rPr>
        <w:t xml:space="preserve">Figure 16.</w:t>
      </w:r>
      <w:r>
        <w:t xml:space="preserve"> </w:t>
      </w:r>
      <w:r>
        <w:t xml:space="preserve">Three drives, same robot, same deployed configuration, same</w:t>
      </w:r>
      <w:r>
        <w:t xml:space="preserve"> </w:t>
      </w:r>
      <w:r>
        <w:t xml:space="preserve">operator, same week, replotted for this report from the raw pose logs in</w:t>
      </w:r>
      <w:r>
        <w:t xml:space="preserve"> </w:t>
      </w:r>
      <w:r>
        <w:rPr>
          <w:rStyle w:val="VerbatimChar"/>
        </w:rPr>
        <w:t xml:space="preserve">data/field_runs/</w:t>
      </w:r>
      <w:r>
        <w:t xml:space="preserve">. (a) The 6.8× spread in return-to-mark across drives that</w:t>
      </w:r>
      <w:r>
        <w:t xml:space="preserve"> </w:t>
      </w:r>
      <w:r>
        <w:t xml:space="preserve">should have been equivalent. (b) Two of the three are worse than the pre-fix</w:t>
      </w:r>
      <w:r>
        <w:t xml:space="preserve"> </w:t>
      </w:r>
      <w:r>
        <w:t xml:space="preserve">baseline the tuning was built to cure. (c) The wheel odometry, on the same three</w:t>
      </w:r>
      <w:r>
        <w:t xml:space="preserve"> </w:t>
      </w:r>
      <w:r>
        <w:t xml:space="preserve">drives, closes under 3 cm every time. The maps these three drives produced, with</w:t>
      </w:r>
      <w:r>
        <w:t xml:space="preserve"> </w:t>
      </w:r>
      <w:r>
        <w:t xml:space="preserve">the ground each one actually covered marked on them, are in Appendix G.</w:t>
      </w:r>
    </w:p>
    <w:p>
      <w:pPr>
        <w:pStyle w:val="BodyText"/>
      </w:pPr>
      <w:r>
        <w:t xml:space="preserve">Three candidate explanations were live and the data separated them. A repeat</w:t>
      </w:r>
      <w:r>
        <w:t xml:space="preserve"> </w:t>
      </w:r>
      <w:r>
        <w:t xml:space="preserve">test on the identical route was registered in advance with two possible</w:t>
      </w:r>
      <w:r>
        <w:t xml:space="preserve"> </w:t>
      </w:r>
      <w:r>
        <w:t xml:space="preserve">outcomes: reproduce near 0.577 m, meaning route geometry, or move toward</w:t>
      </w:r>
      <w:r>
        <w:t xml:space="preserve"> </w:t>
      </w:r>
      <w:r>
        <w:t xml:space="preserve">0.085 m, meaning intermittency. Neither happened. The repeat returned 0.209 m</w:t>
      </w:r>
      <w:r>
        <w:t xml:space="preserve"> </w:t>
      </w:r>
      <w:r>
        <w:t xml:space="preserve">with a peak correction of 0.857 m, the largest on record. A third distinct</w:t>
      </w:r>
      <w:r>
        <w:t xml:space="preserve"> </w:t>
      </w:r>
      <w:r>
        <w:t xml:space="preserve">number on one route rules out geometry.</w:t>
      </w:r>
    </w:p>
    <w:p>
      <w:pPr>
        <w:pStyle w:val="BodyText"/>
      </w:pPr>
      <w:r>
        <w:t xml:space="preserve">Two things were ruled out by measurement rather than by argument. The back end</w:t>
      </w:r>
      <w:r>
        <w:t xml:space="preserve"> </w:t>
      </w:r>
      <w:r>
        <w:t xml:space="preserve">is healthy: the pose-graph watcher reported no node moved and no shift across</w:t>
      </w:r>
      <w:r>
        <w:t xml:space="preserve"> </w:t>
      </w:r>
      <w:r>
        <w:t xml:space="preserve">645 seconds through all 19 loop closures on one drive, and again through 9</w:t>
      </w:r>
      <w:r>
        <w:t xml:space="preserve"> </w:t>
      </w:r>
      <w:r>
        <w:t xml:space="preserve">closures on another. And wheel odometry registered nothing unusual at the exact</w:t>
      </w:r>
      <w:r>
        <w:t xml:space="preserve"> </w:t>
      </w:r>
      <w:r>
        <w:t xml:space="preserve">moment the map-frame estimate moved 40 cm, with per-tick deltas of 2.0–2.4 mm.</w:t>
      </w:r>
      <w:r>
        <w:t xml:space="preserve"> </w:t>
      </w:r>
      <w:r>
        <w:t xml:space="preserve">The fault is in the front end, between the scan and the pose, and it is neither</w:t>
      </w:r>
      <w:r>
        <w:t xml:space="preserve"> </w:t>
      </w:r>
      <w:r>
        <w:t xml:space="preserve">the optimiser nor the encoders.</w:t>
      </w:r>
    </w:p>
    <w:bookmarkEnd w:id="96"/>
    <w:bookmarkStart w:id="100" w:name="a-drive-procedure-that-recorded-nothing"/>
    <w:p>
      <w:pPr>
        <w:pStyle w:val="Heading3"/>
      </w:pPr>
      <w:r>
        <w:t xml:space="preserve">8.2 A drive procedure that recorded nothing</w:t>
      </w:r>
    </w:p>
    <w:p>
      <w:pPr>
        <w:pStyle w:val="CaptionedFigure"/>
      </w:pPr>
      <w:r>
        <w:drawing>
          <wp:inline>
            <wp:extent cx="5334000" cy="2488456"/>
            <wp:effectExtent b="0" l="0" r="0" t="0"/>
            <wp:docPr descr="Rotation dead zone" title="" id="98" name="Picture"/>
            <a:graphic>
              <a:graphicData uri="http://schemas.openxmlformats.org/drawingml/2006/picture">
                <pic:pic>
                  <pic:nvPicPr>
                    <pic:cNvPr descr="figures/fig17_rotation_deadzon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Rotation dead zone</w:t>
      </w:r>
    </w:p>
    <w:p>
      <w:pPr>
        <w:pStyle w:val="BodyText"/>
      </w:pPr>
      <w:r>
        <w:rPr>
          <w:bCs/>
          <w:b/>
        </w:rPr>
        <w:t xml:space="preserve">Figure 17.</w:t>
      </w:r>
      <w:r>
        <w:t xml:space="preserve"> </w:t>
      </w:r>
      <w:r>
        <w:t xml:space="preserve">Rotation in place adds no pose-graph node and no map cell. Two</w:t>
      </w:r>
      <w:r>
        <w:t xml:space="preserve"> </w:t>
      </w:r>
      <w:r>
        <w:t xml:space="preserve">full turns, 714° over 642 seconds, produced 43 occupied cells: ten and a half</w:t>
      </w:r>
      <w:r>
        <w:t xml:space="preserve"> </w:t>
      </w:r>
      <w:r>
        <w:t xml:space="preserve">minutes of sweeping a room for two metres of wall.</w:t>
      </w:r>
    </w:p>
    <w:p>
      <w:pPr>
        <w:pStyle w:val="BodyText"/>
      </w:pPr>
      <w:r>
        <w:t xml:space="preserve">The commissioning procedure in use since late August was</w:t>
      </w:r>
      <w:r>
        <w:t xml:space="preserve"> </w:t>
      </w:r>
      <w:r>
        <w:t xml:space="preserve">“</w:t>
      </w:r>
      <w:r>
        <w:t xml:space="preserve">perimeter, nose</w:t>
      </w:r>
      <w:r>
        <w:t xml:space="preserve"> </w:t>
      </w:r>
      <w:r>
        <w:t xml:space="preserve">leading, rotating at every corner so the LiDAR sweeps every wall</w:t>
      </w:r>
      <w:r>
        <w:t xml:space="preserve">”</w:t>
      </w:r>
      <w:r>
        <w:t xml:space="preserve">, adopted</w:t>
      </w:r>
      <w:r>
        <w:t xml:space="preserve"> </w:t>
      </w:r>
      <w:r>
        <w:t xml:space="preserve">specifically to work around the rear blind cone of §7.2. Those corner rotations</w:t>
      </w:r>
      <w:r>
        <w:t xml:space="preserve"> </w:t>
      </w:r>
      <w:r>
        <w:t xml:space="preserve">contribute nothing. Setting the heading threshold to a quarter of its value and</w:t>
      </w:r>
      <w:r>
        <w:t xml:space="preserve"> </w:t>
      </w:r>
      <w:r>
        <w:t xml:space="preserve">driving a full 360° in place still produced one pose-graph node in 166 seconds,</w:t>
      </w:r>
      <w:r>
        <w:t xml:space="preserve"> </w:t>
      </w:r>
      <w:r>
        <w:t xml:space="preserve">the session’s first scan and not one more, which falsifies the threshold as the</w:t>
      </w:r>
      <w:r>
        <w:t xml:space="preserve"> </w:t>
      </w:r>
      <w:r>
        <w:t xml:space="preserve">gate. A mechanism is proposed in the record and explicitly marked as unverified</w:t>
      </w:r>
      <w:r>
        <w:t xml:space="preserve"> </w:t>
      </w:r>
      <w:r>
        <w:t xml:space="preserve">against source.</w:t>
      </w:r>
    </w:p>
    <w:p>
      <w:pPr>
        <w:pStyle w:val="BodyText"/>
      </w:pPr>
      <w:r>
        <w:t xml:space="preserve">Turning while translating instead reached 88 % of the perimeter drive’s wall</w:t>
      </w:r>
      <w:r>
        <w:t xml:space="preserve"> </w:t>
      </w:r>
      <w:r>
        <w:t xml:space="preserve">coverage in 18 % of its time and 18 % of its distance. This is a better</w:t>
      </w:r>
      <w:r>
        <w:t xml:space="preserve"> </w:t>
      </w:r>
      <w:r>
        <w:t xml:space="preserve">explanation for maps returning 63–87 % unknown than anything previously</w:t>
      </w:r>
      <w:r>
        <w:t xml:space="preserve"> </w:t>
      </w:r>
      <w:r>
        <w:t xml:space="preserve">considered, and it means the map-quality acceptance criterion was never</w:t>
      </w:r>
      <w:r>
        <w:t xml:space="preserve"> </w:t>
      </w:r>
      <w:r>
        <w:t xml:space="preserve">reachable by that method.</w:t>
      </w:r>
    </w:p>
    <w:p>
      <w:pPr>
        <w:pStyle w:val="BodyText"/>
      </w:pPr>
      <w:r>
        <w:t xml:space="preserve">The methodological error is recorded alongside the result: three sessions of</w:t>
      </w:r>
      <w:r>
        <w:t xml:space="preserve"> </w:t>
      </w:r>
      <w:r>
        <w:t xml:space="preserve">parameter tuning had been spent against a tight-circle test geometry that</w:t>
      </w:r>
      <w:r>
        <w:t xml:space="preserve"> </w:t>
      </w:r>
      <w:r>
        <w:t xml:space="preserve">records almost nothing, and which is separately degenerate for scan matching. At</w:t>
      </w:r>
      <w:r>
        <w:t xml:space="preserve"> </w:t>
      </w:r>
      <w:r>
        <w:t xml:space="preserve">5 m range, 1° of heading error is indistinguishable from 8.7 cm of translation,</w:t>
      </w:r>
      <w:r>
        <w:t xml:space="preserve"> </w:t>
      </w:r>
      <w:r>
        <w:t xml:space="preserve">so rotation and translation stop being separable and the matcher resolves the</w:t>
      </w:r>
      <w:r>
        <w:t xml:space="preserve"> </w:t>
      </w:r>
      <w:r>
        <w:t xml:space="preserve">ambiguity in favour of heading. That predicts the measured signature exactly:</w:t>
      </w:r>
      <w:r>
        <w:t xml:space="preserve"> </w:t>
      </w:r>
      <w:r>
        <w:t xml:space="preserve">heading right to about 4°, position 27.6 cm out, wheels closing to 8 mm.</w:t>
      </w:r>
      <w:r>
        <w:t xml:space="preserve"> </w:t>
      </w:r>
      <w:r>
        <w:t xml:space="preserve">Choosing the benchmark badly cost more than any single wrong parameter.</w:t>
      </w:r>
    </w:p>
    <w:bookmarkEnd w:id="100"/>
    <w:bookmarkStart w:id="107" w:name="the-result-that-decided-it"/>
    <w:p>
      <w:pPr>
        <w:pStyle w:val="Heading3"/>
      </w:pPr>
      <w:r>
        <w:t xml:space="preserve">8.3 The result that decided it</w:t>
      </w:r>
    </w:p>
    <w:p>
      <w:pPr>
        <w:pStyle w:val="CaptionedFigure"/>
      </w:pPr>
      <w:r>
        <w:drawing>
          <wp:inline>
            <wp:extent cx="5334000" cy="2404217"/>
            <wp:effectExtent b="0" l="0" r="0" t="0"/>
            <wp:docPr descr="Invariance" title="" id="102" name="Picture"/>
            <a:graphic>
              <a:graphicData uri="http://schemas.openxmlformats.org/drawingml/2006/picture">
                <pic:pic>
                  <pic:nvPicPr>
                    <pic:cNvPr descr="figures/fig18_invarianc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4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Invariance</w:t>
      </w:r>
    </w:p>
    <w:p>
      <w:pPr>
        <w:pStyle w:val="BodyText"/>
      </w:pPr>
      <w:r>
        <w:rPr>
          <w:bCs/>
          <w:b/>
        </w:rPr>
        <w:t xml:space="preserve">Figure 18.</w:t>
      </w:r>
      <w:r>
        <w:t xml:space="preserve"> </w:t>
      </w:r>
      <w:r>
        <w:t xml:space="preserve">The same tight arc driven three times on three parameter sets.</w:t>
      </w:r>
      <w:r>
        <w:t xml:space="preserve"> </w:t>
      </w:r>
      <w:r>
        <w:t xml:space="preserve">Halving the heading threshold halved the largest heading step and pulled the</w:t>
      </w:r>
      <w:r>
        <w:t xml:space="preserve"> </w:t>
      </w:r>
      <w:r>
        <w:t xml:space="preserve">peak correction under the acceptance gate, exactly as predicted. It changed the</w:t>
      </w:r>
      <w:r>
        <w:t xml:space="preserve"> </w:t>
      </w:r>
      <w:r>
        <w:t xml:space="preserve">cumulative correction by 2 %.</w:t>
      </w:r>
    </w:p>
    <w:p>
      <w:pPr>
        <w:pStyle w:val="BodyText"/>
      </w:pPr>
      <w:r>
        <w:t xml:space="preserve">This is the sharpest result of the year. Cumulative correction came out at 2.80,</w:t>
      </w:r>
      <w:r>
        <w:t xml:space="preserve"> </w:t>
      </w:r>
      <w:r>
        <w:t xml:space="preserve">2.85 and 2.86 m across every parameter set available. The tuning moves the</w:t>
      </w:r>
      <w:r>
        <w:t xml:space="preserve"> </w:t>
      </w:r>
      <w:r>
        <w:rPr>
          <w:iCs/>
          <w:i/>
        </w:rPr>
        <w:t xml:space="preserve">distribution</w:t>
      </w:r>
      <w:r>
        <w:t xml:space="preserve"> </w:t>
      </w:r>
      <w:r>
        <w:t xml:space="preserve">of the error and never its amount, which is the signature of</w:t>
      </w:r>
      <w:r>
        <w:t xml:space="preserve"> </w:t>
      </w:r>
      <w:r>
        <w:t xml:space="preserve">something the search parameters do not reach.</w:t>
      </w:r>
    </w:p>
    <w:p>
      <w:pPr>
        <w:pStyle w:val="BodyText"/>
      </w:pPr>
      <w:r>
        <w:t xml:space="preserve">Read against a second measurement, it becomes a diagnosis. Instrumenting the</w:t>
      </w:r>
      <w:r>
        <w:t xml:space="preserve"> </w:t>
      </w:r>
      <w:r>
        <w:t xml:space="preserve">sensor input for the first time in the project found 74.8–78 % of rays flipping</w:t>
      </w:r>
      <w:r>
        <w:t xml:space="preserve"> </w:t>
      </w:r>
      <w:r>
        <w:t xml:space="preserve">between valid and invalid between consecutive scans with the robot stationary,</w:t>
      </w:r>
      <w:r>
        <w:t xml:space="preserve"> </w:t>
      </w:r>
      <w:r>
        <w:t xml:space="preserve">and only 47.4 % valid at any instant. The matcher is not searching badly. It is</w:t>
      </w:r>
      <w:r>
        <w:t xml:space="preserve"> </w:t>
      </w:r>
      <w:r>
        <w:t xml:space="preserve">handed a different point cloud every sweep, and no search parameter can fix a</w:t>
      </w:r>
      <w:r>
        <w:t xml:space="preserve"> </w:t>
      </w:r>
      <w:r>
        <w:t xml:space="preserve">moving objective function.</w:t>
      </w:r>
    </w:p>
    <w:p>
      <w:pPr>
        <w:pStyle w:val="BodyText"/>
      </w:pPr>
      <w:r>
        <w:t xml:space="preserve">The sensor is behaving correctly. The YDLIDAR X4 Pro is a triangulation scanner</w:t>
      </w:r>
      <w:r>
        <w:t xml:space="preserve"> </w:t>
      </w:r>
      <w:r>
        <w:t xml:space="preserve">rated at under 2 % of range, which is 32 mm at the 1.6 m median range measured</w:t>
      </w:r>
      <w:r>
        <w:t xml:space="preserve"> </w:t>
      </w:r>
      <w:r>
        <w:t xml:space="preserve">in this lab and 200 mm at 10 m. The measured 90th-percentile scatter of 22.8 mm</w:t>
      </w:r>
      <w:r>
        <w:t xml:space="preserve"> </w:t>
      </w:r>
      <w:r>
        <w:t xml:space="preserve">is inside specification.</w:t>
      </w:r>
      <w:r>
        <w:t xml:space="preserve"> </w:t>
      </w:r>
      <w:r>
        <w:rPr>
          <w:bCs/>
          <w:b/>
        </w:rPr>
        <w:t xml:space="preserve">The sensor is performing to specification and the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specification is not adequate for what is being asked of it.</w:t>
      </w:r>
      <w:r>
        <w:t xml:space="preserve"> </w:t>
      </w:r>
      <w:r>
        <w:t xml:space="preserve">That is a</w:t>
      </w:r>
      <w:r>
        <w:t xml:space="preserve"> </w:t>
      </w:r>
      <w:r>
        <w:t xml:space="preserve">conclusion pointing at hardware, and the reason to exhaust the software levers</w:t>
      </w:r>
      <w:r>
        <w:t xml:space="preserve"> </w:t>
      </w:r>
      <w:r>
        <w:t xml:space="preserve">first was to justify it rather than guess at it.</w:t>
      </w:r>
    </w:p>
    <w:p>
      <w:pPr>
        <w:pStyle w:val="CaptionedFigure"/>
      </w:pPr>
      <w:r>
        <w:drawing>
          <wp:inline>
            <wp:extent cx="5334000" cy="2786417"/>
            <wp:effectExtent b="0" l="0" r="0" t="0"/>
            <wp:docPr descr="Stage G" title="" id="105" name="Picture"/>
            <a:graphic>
              <a:graphicData uri="http://schemas.openxmlformats.org/drawingml/2006/picture">
                <pic:pic>
                  <pic:nvPicPr>
                    <pic:cNvPr descr="figures/fig19_stage_g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Stage G</w:t>
      </w:r>
    </w:p>
    <w:p>
      <w:pPr>
        <w:pStyle w:val="BodyText"/>
      </w:pPr>
      <w:r>
        <w:rPr>
          <w:bCs/>
          <w:b/>
        </w:rPr>
        <w:t xml:space="preserve">Figure 19.</w:t>
      </w:r>
      <w:r>
        <w:t xml:space="preserve"> </w:t>
      </w:r>
      <w:r>
        <w:t xml:space="preserve">(a) The mechanism removed. (b) Why disabling it is a selection</w:t>
      </w:r>
      <w:r>
        <w:t xml:space="preserve"> </w:t>
      </w:r>
      <w:r>
        <w:t xml:space="preserve">between two measured estimators rather than a retreat. (c) The phantom-yaw</w:t>
      </w:r>
      <w:r>
        <w:t xml:space="preserve"> </w:t>
      </w:r>
      <w:r>
        <w:t xml:space="preserve">result of §8.4.</w:t>
      </w:r>
    </w:p>
    <w:p>
      <w:pPr>
        <w:pStyle w:val="BodyText"/>
      </w:pPr>
      <w:r>
        <w:t xml:space="preserve">Over one 21.85 m drive, wheel odometry alone closed 0.229 m and odometry plus</w:t>
      </w:r>
      <w:r>
        <w:t xml:space="preserve"> </w:t>
      </w:r>
      <w:r>
        <w:t xml:space="preserve">the SLAM front end closed 0.706 m: the expensive estimator was three times worse</w:t>
      </w:r>
      <w:r>
        <w:t xml:space="preserve"> </w:t>
      </w:r>
      <w:r>
        <w:t xml:space="preserve">than the cheap one. Disabling the sequential matcher, so the pose comes from the</w:t>
      </w:r>
      <w:r>
        <w:t xml:space="preserve"> </w:t>
      </w:r>
      <w:r>
        <w:t xml:space="preserve">wheels and the scan is stamped down there, produced zero corrections across two</w:t>
      </w:r>
      <w:r>
        <w:t xml:space="preserve"> </w:t>
      </w:r>
      <w:r>
        <w:t xml:space="preserve">structurally different routes, 698 seconds and 18.5 m of combined driving. Not</w:t>
      </w:r>
      <w:r>
        <w:t xml:space="preserve"> </w:t>
      </w:r>
      <w:r>
        <w:t xml:space="preserve">one millimetre, across 6994 pose samples. The registered prediction was</w:t>
      </w:r>
      <w:r>
        <w:t xml:space="preserve"> </w:t>
      </w:r>
      <w:r>
        <w:t xml:space="preserve">“</w:t>
      </w:r>
      <w:r>
        <w:t xml:space="preserve">corrections approximately zero</w:t>
      </w:r>
      <w:r>
        <w:t xml:space="preserve">”</w:t>
      </w:r>
      <w:r>
        <w:t xml:space="preserve">; the measured answer is zero to six decimal</w:t>
      </w:r>
      <w:r>
        <w:t xml:space="preserve"> </w:t>
      </w:r>
      <w:r>
        <w:t xml:space="preserve">places.</w:t>
      </w:r>
    </w:p>
    <w:p>
      <w:pPr>
        <w:pStyle w:val="BodyText"/>
      </w:pPr>
      <w:r>
        <w:t xml:space="preserve">The claim this supports is deliberately narrow. The correction mechanism is</w:t>
      </w:r>
      <w:r>
        <w:t xml:space="preserve"> </w:t>
      </w:r>
      <w:r>
        <w:t xml:space="preserve">gone. Whether the resulting map is geometrically true over a real route is the</w:t>
      </w:r>
      <w:r>
        <w:t xml:space="preserve"> </w:t>
      </w:r>
      <w:r>
        <w:t xml:space="preserve">next run’s question, and loop closure running on a separate matcher is expected</w:t>
      </w:r>
      <w:r>
        <w:t xml:space="preserve"> </w:t>
      </w:r>
      <w:r>
        <w:t xml:space="preserve">to survive but is recorded as a hypothesis, not a result.</w:t>
      </w:r>
    </w:p>
    <w:bookmarkEnd w:id="107"/>
    <w:bookmarkStart w:id="108" w:name="phantom-yaw"/>
    <w:p>
      <w:pPr>
        <w:pStyle w:val="Heading3"/>
      </w:pPr>
      <w:r>
        <w:t xml:space="preserve">8.4 Phantom yaw</w:t>
      </w:r>
    </w:p>
    <w:p>
      <w:pPr>
        <w:pStyle w:val="FirstParagraph"/>
      </w:pPr>
      <w:r>
        <w:t xml:space="preserve">Photogrammetry on the run video, using the floor tile grout as a world-static</w:t>
      </w:r>
      <w:r>
        <w:t xml:space="preserve"> </w:t>
      </w:r>
      <w:r>
        <w:t xml:space="preserve">reference, gives a ground truth independent of every instrument in the</w:t>
      </w:r>
      <w:r>
        <w:t xml:space="preserve"> </w:t>
      </w:r>
      <w:r>
        <w:t xml:space="preserve">repository. Two runs, on different routes: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commanded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Odometry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floor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723.8°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−3.85°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−28.0° read as −27.07°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m out-and-back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−4.49°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−19.4° read as −18.50°</w:t>
            </w:r>
          </w:p>
        </w:tc>
      </w:tr>
    </w:tbl>
    <w:p>
      <w:pPr>
        <w:pStyle w:val="BodyText"/>
      </w:pPr>
      <w:r>
        <w:t xml:space="preserve">The robot physically returned to its starting heading both times. The estimator</w:t>
      </w:r>
      <w:r>
        <w:t xml:space="preserve"> </w:t>
      </w:r>
      <w:r>
        <w:t xml:space="preserve">did not. Phantom yaw rates of 0.60°/m and 0.37°/m bracket the 0.58°/m this</w:t>
      </w:r>
      <w:r>
        <w:t xml:space="preserve"> </w:t>
      </w:r>
      <w:r>
        <w:t xml:space="preserve">project measured over 18 m in August and attributed to physical slip.</w:t>
      </w:r>
    </w:p>
    <w:p>
      <w:pPr>
        <w:pStyle w:val="BodyText"/>
      </w:pPr>
      <w:r>
        <w:t xml:space="preserve">The consequence is not small. Physical slip cannot be fixed by better</w:t>
      </w:r>
      <w:r>
        <w:t xml:space="preserve"> </w:t>
      </w:r>
      <w:r>
        <w:t xml:space="preserve">estimation; estimator error can. A substantial fraction of what has been treated</w:t>
      </w:r>
      <w:r>
        <w:t xml:space="preserve"> </w:t>
      </w:r>
      <w:r>
        <w:t xml:space="preserve">as a hardware limit is recoverable in software with a gyroscope, and this</w:t>
      </w:r>
      <w:r>
        <w:t xml:space="preserve"> </w:t>
      </w:r>
      <w:r>
        <w:t xml:space="preserve">converts the inertial sensor from a general roadmap item into a measured</w:t>
      </w:r>
      <w:r>
        <w:t xml:space="preserve"> </w:t>
      </w:r>
      <w:r>
        <w:t xml:space="preserve">priority.</w:t>
      </w:r>
    </w:p>
    <w:p>
      <w:pPr>
        <w:pStyle w:val="BodyText"/>
      </w:pPr>
      <w:r>
        <w:t xml:space="preserve">The method failed twice before it worked, and both failures are more instructive</w:t>
      </w:r>
      <w:r>
        <w:t xml:space="preserve"> </w:t>
      </w:r>
      <w:r>
        <w:t xml:space="preserve">than the result. The first attempt measured the robot’s own wheels against the</w:t>
      </w:r>
      <w:r>
        <w:t xml:space="preserve"> </w:t>
      </w:r>
      <w:r>
        <w:t xml:space="preserve">video frame and returned</w:t>
      </w:r>
      <w:r>
        <w:t xml:space="preserve"> </w:t>
      </w:r>
      <w:r>
        <w:t xml:space="preserve">“</w:t>
      </w:r>
      <w:r>
        <w:t xml:space="preserve">no rotation</w:t>
      </w:r>
      <w:r>
        <w:t xml:space="preserve">”</w:t>
      </w:r>
      <w:r>
        <w:t xml:space="preserve">; a validation frame of known −28.3°</w:t>
      </w:r>
      <w:r>
        <w:t xml:space="preserve"> </w:t>
      </w:r>
      <w:r>
        <w:t xml:space="preserve">rotation also returned zero, which is impossible. The camera is mounted on the</w:t>
      </w:r>
      <w:r>
        <w:t xml:space="preserve"> </w:t>
      </w:r>
      <w:r>
        <w:t xml:space="preserve">robot’s own mast, so the robot sits still in frame while the world moves around</w:t>
      </w:r>
      <w:r>
        <w:t xml:space="preserve"> </w:t>
      </w:r>
      <w:r>
        <w:t xml:space="preserve">it. The second attempt measured a window that extended into the dashboard’s own</w:t>
      </w:r>
      <w:r>
        <w:t xml:space="preserve"> </w:t>
      </w:r>
      <w:r>
        <w:t xml:space="preserve">border, a fixed screen edge that never rotates. Both were caught only because a</w:t>
      </w:r>
      <w:r>
        <w:t xml:space="preserve"> </w:t>
      </w:r>
      <w:r>
        <w:t xml:space="preserve">frame with a known answer was checked before the result was believed.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measurement that cannot fail its own check is not a measurement.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9" w:name="autonomous-navigation"/>
    <w:p>
      <w:pPr>
        <w:pStyle w:val="Heading2"/>
      </w:pPr>
      <w:r>
        <w:t xml:space="preserve">9. Autonomous navigation</w:t>
      </w:r>
    </w:p>
    <w:bookmarkStart w:id="113" w:name="X7d13d1509ea0b57ac5a84f379adb0748478e321"/>
    <w:p>
      <w:pPr>
        <w:pStyle w:val="Heading3"/>
      </w:pPr>
      <w:r>
        <w:t xml:space="preserve">9.1 Bringup, and five configuration faults found by reading</w:t>
      </w:r>
    </w:p>
    <w:p>
      <w:pPr>
        <w:pStyle w:val="FirstParagraph"/>
      </w:pPr>
      <w:r>
        <w:t xml:space="preserve">The navigation stack was reviewed before it was run, and the review found five</w:t>
      </w:r>
      <w:r>
        <w:t xml:space="preserve"> </w:t>
      </w:r>
      <w:r>
        <w:t xml:space="preserve">defects in configuration that had never been exercised.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had it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Footprint declared 0.90 × 0.40 m against a real 1.00 × 0.36 m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 collisions along the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costmaps subscribed to the best-effort scan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§7.1 fault recurring in a new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space forbidden to the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path findable, since live maps run about 85 %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Odometry topic pointed at a filter that has never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odometry reaching the behaviour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Raytrace and obstacle ranges exceeding the sensor’s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Phantom clearing beyond the sensor’s reach</w:t>
            </w:r>
          </w:p>
        </w:tc>
      </w:tr>
    </w:tbl>
    <w:p>
      <w:pPr>
        <w:pStyle w:val="BodyText"/>
      </w:pPr>
      <w:r>
        <w:t xml:space="preserve">A further seven surfaced across the first bringups, and the class is consistent</w:t>
      </w:r>
      <w:r>
        <w:t xml:space="preserve"> </w:t>
      </w:r>
      <w:r>
        <w:t xml:space="preserve">enough to be worth naming: a stack default that is silently wrong here purely</w:t>
      </w:r>
      <w:r>
        <w:t xml:space="preserve"> </w:t>
      </w:r>
      <w:r>
        <w:t xml:space="preserve">because this robot’s base frame is non-standard, or because a node the</w:t>
      </w:r>
      <w:r>
        <w:t xml:space="preserve"> </w:t>
      </w:r>
      <w:r>
        <w:t xml:space="preserve">configuration predates is now started automatically. Among them, a second</w:t>
      </w:r>
      <w:r>
        <w:t xml:space="preserve"> </w:t>
      </w:r>
      <w:r>
        <w:t xml:space="preserve">publisher of the same transform the odometry node already owns; a missing</w:t>
      </w:r>
      <w:r>
        <w:t xml:space="preserve"> </w:t>
      </w:r>
      <w:r>
        <w:t xml:space="preserve">velocity-smoother block whose stock defaults zero the lateral axis, which on</w:t>
      </w:r>
      <w:r>
        <w:t xml:space="preserve"> </w:t>
      </w:r>
      <w:r>
        <w:t xml:space="preserve">this robot is forward; a behaviour-tree parameter that replaces rather than</w:t>
      </w:r>
      <w:r>
        <w:t xml:space="preserve"> </w:t>
      </w:r>
      <w:r>
        <w:t xml:space="preserve">extends the default node list; a service timeout whose unit is milliseconds, set</w:t>
      </w:r>
      <w:r>
        <w:t xml:space="preserve"> </w:t>
      </w:r>
      <w:r>
        <w:t xml:space="preserve">to five; and two controller critics that assume the nose points along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would reward travelling sideways.</w:t>
      </w:r>
    </w:p>
    <w:p>
      <w:pPr>
        <w:pStyle w:val="CaptionedFigure"/>
      </w:pPr>
      <w:r>
        <w:drawing>
          <wp:inline>
            <wp:extent cx="5334000" cy="2521693"/>
            <wp:effectExtent b="0" l="0" r="0" t="0"/>
            <wp:docPr descr="Costmap inflation" title="" id="111" name="Picture"/>
            <a:graphic>
              <a:graphicData uri="http://schemas.openxmlformats.org/drawingml/2006/picture">
                <pic:pic>
                  <pic:nvPicPr>
                    <pic:cNvPr descr="figures/fig20_costmap_inflatio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Costmap inflation</w:t>
      </w:r>
    </w:p>
    <w:p>
      <w:pPr>
        <w:pStyle w:val="BodyText"/>
      </w:pPr>
      <w:r>
        <w:rPr>
          <w:bCs/>
          <w:b/>
        </w:rPr>
        <w:t xml:space="preserve">Figure 20.</w:t>
      </w:r>
      <w:r>
        <w:t xml:space="preserve"> </w:t>
      </w:r>
      <w:r>
        <w:t xml:space="preserve">Costmap inflation for the tape-measured 1.12 × 0.48 m footprint.</w:t>
      </w:r>
      <w:r>
        <w:t xml:space="preserve"> </w:t>
      </w:r>
      <w:r>
        <w:t xml:space="preserve">Below the inscribed radius the robot is in collision at every heading; between</w:t>
      </w:r>
      <w:r>
        <w:t xml:space="preserve"> </w:t>
      </w:r>
      <w:r>
        <w:t xml:space="preserve">the inscribed and circumscribed radii collision depends on heading and is</w:t>
      </w:r>
      <w:r>
        <w:t xml:space="preserve"> </w:t>
      </w:r>
      <w:r>
        <w:t xml:space="preserve">resolved by the exact polygon check; beyond, the decaying cost expresses a</w:t>
      </w:r>
      <w:r>
        <w:t xml:space="preserve"> </w:t>
      </w:r>
      <w:r>
        <w:t xml:space="preserve">preference. Both inflation radii were later raised past the circumscribed radius,</w:t>
      </w:r>
      <w:r>
        <w:t xml:space="preserve"> </w:t>
      </w:r>
      <w:r>
        <w:t xml:space="preserve">because an inflation radius below it forces a full polygon check on every query</w:t>
      </w:r>
      <w:r>
        <w:t xml:space="preserve"> </w:t>
      </w:r>
      <w:r>
        <w:t xml:space="preserve">and the controller runs on the order of ten thousand of those per cycle.</w:t>
      </w:r>
    </w:p>
    <w:bookmarkEnd w:id="113"/>
    <w:bookmarkStart w:id="114" w:name="X620954c6692e01820a9ccd349331d741681dc67"/>
    <w:p>
      <w:pPr>
        <w:pStyle w:val="Heading3"/>
      </w:pPr>
      <w:r>
        <w:t xml:space="preserve">9.2 The first autonomous goal, and the fault it exposed</w:t>
      </w:r>
    </w:p>
    <w:p>
      <w:pPr>
        <w:pStyle w:val="FirstParagraph"/>
      </w:pPr>
      <w:r>
        <w:t xml:space="preserve">The first goal ever sent travelled 0.96 m at 88.4° to the commanded direction and</w:t>
      </w:r>
      <w:r>
        <w:t xml:space="preserve"> </w:t>
      </w:r>
      <w:r>
        <w:t xml:space="preserve">was stopped after contacting an obstacle. Two individually correct, individually</w:t>
      </w:r>
      <w:r>
        <w:t xml:space="preserve"> </w:t>
      </w:r>
      <w:r>
        <w:t xml:space="preserve">validated axis conventions met at the velocity topic and nothing had reconciled</w:t>
      </w:r>
      <w:r>
        <w:t xml:space="preserve"> </w:t>
      </w:r>
      <w:r>
        <w:t xml:space="preserve">them. The planner writes velocity in the base frame’s axes; the kinematics node</w:t>
      </w:r>
      <w:r>
        <w:t xml:space="preserve"> </w:t>
      </w:r>
      <w:r>
        <w:t xml:space="preserve">reads that topic as the standard convention. Manual driving had never noticed,</w:t>
      </w:r>
      <w:r>
        <w:t xml:space="preserve"> </w:t>
      </w:r>
      <w:r>
        <w:t xml:space="preserve">because its producers and its consumer already agreed with each other.</w:t>
      </w:r>
    </w:p>
    <w:p>
      <w:pPr>
        <w:pStyle w:val="BodyText"/>
      </w:pPr>
      <w:r>
        <w:t xml:space="preserve">Because the error was a constant 90° rotation sitting inside a closed loop, the</w:t>
      </w:r>
      <w:r>
        <w:t xml:space="preserve"> </w:t>
      </w:r>
      <w:r>
        <w:t xml:space="preserve">planner’s own cross-track corrections came out rotated too. The drive did not</w:t>
      </w:r>
      <w:r>
        <w:t xml:space="preserve"> </w:t>
      </w:r>
      <w:r>
        <w:t xml:space="preserve">fail as a single wrong turn. It failed by never converging, which is a</w:t>
      </w:r>
      <w:r>
        <w:t xml:space="preserve"> </w:t>
      </w:r>
      <w:r>
        <w:t xml:space="preserve">qualitatively harder failure to read from the outside.</w:t>
      </w:r>
    </w:p>
    <w:p>
      <w:pPr>
        <w:pStyle w:val="BodyText"/>
      </w:pPr>
      <w:r>
        <w:t xml:space="preserve">The fix converts between the two conventions explicitly at the one place they</w:t>
      </w:r>
      <w:r>
        <w:t xml:space="preserve"> </w:t>
      </w:r>
      <w:r>
        <w:t xml:space="preserve">meet, rather than editing either validated file. Two goals after the fix</w:t>
      </w:r>
      <w:r>
        <w:t xml:space="preserve"> </w:t>
      </w:r>
      <w:r>
        <w:t xml:space="preserve">returned direction errors of 5.5° and 3.7°, the second stopping 4.6 cm short of</w:t>
      </w:r>
      <w:r>
        <w:t xml:space="preserve"> </w:t>
      </w:r>
      <w:r>
        <w:t xml:space="preserve">target, completing the first autonomous forward-and-return round trip on this</w:t>
      </w:r>
      <w:r>
        <w:t xml:space="preserve"> </w:t>
      </w:r>
      <w:r>
        <w:t xml:space="preserve">robot.</w:t>
      </w:r>
    </w:p>
    <w:bookmarkEnd w:id="114"/>
    <w:bookmarkStart w:id="118" w:name="where-navigation-stands"/>
    <w:p>
      <w:pPr>
        <w:pStyle w:val="Heading3"/>
      </w:pPr>
      <w:r>
        <w:t xml:space="preserve">9.3 Where navigation stands</w:t>
      </w:r>
    </w:p>
    <w:p>
      <w:pPr>
        <w:pStyle w:val="CaptionedFigure"/>
      </w:pPr>
      <w:r>
        <w:drawing>
          <wp:inline>
            <wp:extent cx="5334000" cy="2233210"/>
            <wp:effectExtent b="0" l="0" r="0" t="0"/>
            <wp:docPr descr="Autonomy gates" title="" id="116" name="Picture"/>
            <a:graphic>
              <a:graphicData uri="http://schemas.openxmlformats.org/drawingml/2006/picture">
                <pic:pic>
                  <pic:nvPicPr>
                    <pic:cNvPr descr="figures/fig21_autonomy_gates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Autonomy gates</w:t>
      </w:r>
    </w:p>
    <w:p>
      <w:pPr>
        <w:pStyle w:val="BodyText"/>
      </w:pPr>
      <w:r>
        <w:rPr>
          <w:bCs/>
          <w:b/>
        </w:rPr>
        <w:t xml:space="preserve">Figure 21.</w:t>
      </w:r>
      <w:r>
        <w:t xml:space="preserve"> </w:t>
      </w:r>
      <w:r>
        <w:t xml:space="preserve">Seven acceptance gates, written before the work and scored against</w:t>
      </w:r>
      <w:r>
        <w:t xml:space="preserve"> </w:t>
      </w:r>
      <w:r>
        <w:t xml:space="preserve">measurement. Two passed on hardware, one is partially met and is the blocker,</w:t>
      </w:r>
      <w:r>
        <w:t xml:space="preserve"> </w:t>
      </w:r>
      <w:r>
        <w:t xml:space="preserve">two have never executed.</w:t>
      </w:r>
    </w:p>
    <w:p>
      <w:pPr>
        <w:pStyle w:val="BodyText"/>
      </w:pPr>
      <w:r>
        <w:t xml:space="preserve">Point-and-go works today inside a live mapping session: two operator-tapped</w:t>
      </w:r>
      <w:r>
        <w:t xml:space="preserve"> </w:t>
      </w:r>
      <w:r>
        <w:t xml:space="preserve">goals reached in 25.9 s and 21.0 s. Navigation on a</w:t>
      </w:r>
      <w:r>
        <w:t xml:space="preserve"> </w:t>
      </w:r>
      <w:r>
        <w:rPr>
          <w:iCs/>
          <w:i/>
        </w:rPr>
        <w:t xml:space="preserve">saved</w:t>
      </w:r>
      <w:r>
        <w:t xml:space="preserve"> </w:t>
      </w:r>
      <w:r>
        <w:t xml:space="preserve">map does not, and the</w:t>
      </w:r>
      <w:r>
        <w:t xml:space="preserve"> </w:t>
      </w:r>
      <w:r>
        <w:t xml:space="preserve">reason is not the planner. Every navigation attempt in this project’s history was</w:t>
      </w:r>
      <w:r>
        <w:t xml:space="preserve"> </w:t>
      </w:r>
      <w:r>
        <w:t xml:space="preserve">made inside a live SLAM session, against a map frame that was itself moving; on</w:t>
      </w:r>
      <w:r>
        <w:t xml:space="preserve"> </w:t>
      </w:r>
      <w:r>
        <w:t xml:space="preserve">one 21.85 m drive that frame moved 11.08 m. A goal captured as a fixed</w:t>
      </w:r>
      <w:r>
        <w:t xml:space="preserve"> </w:t>
      </w:r>
      <w:r>
        <w:t xml:space="preserve">coordinate in a frame that then slides underneath it is not a planner problem,</w:t>
      </w:r>
      <w:r>
        <w:t xml:space="preserve"> </w:t>
      </w:r>
      <w:r>
        <w:t xml:space="preserve">and naming that explicitly re-ordered the roadmap: commissioning quality is a</w:t>
      </w:r>
      <w:r>
        <w:t xml:space="preserve"> </w:t>
      </w:r>
      <w:r>
        <w:t xml:space="preserve">mapping problem, operating quality is a localisation problem, and the project</w:t>
      </w:r>
      <w:r>
        <w:t xml:space="preserve"> </w:t>
      </w:r>
      <w:r>
        <w:t xml:space="preserve">had been trying to solve the second by tuning the first.</w:t>
      </w:r>
    </w:p>
    <w:p>
      <w:pPr>
        <w:pStyle w:val="BodyText"/>
      </w:pPr>
      <w:r>
        <w:t xml:space="preserve">The localisation mode that closes this has never executed, and one reason it</w:t>
      </w:r>
      <w:r>
        <w:t xml:space="preserve"> </w:t>
      </w:r>
      <w:r>
        <w:t xml:space="preserve">could not was found in September without any hardware. The launch file that</w:t>
      </w:r>
      <w:r>
        <w:t xml:space="preserve"> </w:t>
      </w:r>
      <w:r>
        <w:t xml:space="preserve">starts the LiDAR also starts the SLAM node, and the localisation launch file</w:t>
      </w:r>
      <w:r>
        <w:t xml:space="preserve"> </w:t>
      </w:r>
      <w:r>
        <w:t xml:space="preserve">forbids running alongside it while starting no scan source of its own. The only</w:t>
      </w:r>
      <w:r>
        <w:t xml:space="preserve"> </w:t>
      </w:r>
      <w:r>
        <w:t xml:space="preserve">thing that could bring up the sensor was the one thing localisation forbids. It</w:t>
      </w:r>
      <w:r>
        <w:t xml:space="preserve"> </w:t>
      </w:r>
      <w:r>
        <w:t xml:space="preserve">would have launched, activated, and waited for a scan forever, reading as a</w:t>
      </w:r>
      <w:r>
        <w:t xml:space="preserve"> </w:t>
      </w:r>
      <w:r>
        <w:t xml:space="preserve">localisation fault when it was a launch-topology fault. The sensor bringup is now</w:t>
      </w:r>
      <w:r>
        <w:t xml:space="preserve"> </w:t>
      </w:r>
      <w:r>
        <w:t xml:space="preserve">split into its own file, included by both.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5" w:name="critical-evaluation"/>
    <w:p>
      <w:pPr>
        <w:pStyle w:val="Heading2"/>
      </w:pPr>
      <w:r>
        <w:t xml:space="preserve">10. Critical evaluation</w:t>
      </w:r>
    </w:p>
    <w:bookmarkStart w:id="123" w:name="Xaa56796d6839dfcf12f0605c8213465df595d10"/>
    <w:p>
      <w:pPr>
        <w:pStyle w:val="Heading3"/>
      </w:pPr>
      <w:r>
        <w:t xml:space="preserve">10.1 What is established, what is provisional, what is not claimed</w:t>
      </w:r>
    </w:p>
    <w:p>
      <w:pPr>
        <w:pStyle w:val="FirstParagraph"/>
      </w:pPr>
      <w:r>
        <w:t xml:space="preserve">The project grades its own claims on a five-level scale, and this section uses</w:t>
      </w:r>
      <w:r>
        <w:t xml:space="preserve"> </w:t>
      </w:r>
      <w:r>
        <w:t xml:space="preserve">it:</w:t>
      </w:r>
      <w: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means measured on this hardware and reproduced on a second run</w:t>
      </w:r>
      <w:r>
        <w:t xml:space="preserve"> </w:t>
      </w:r>
      <w:r>
        <w:t xml:space="preserve">or by a second instrument;</w:t>
      </w:r>
      <w:r>
        <w:t xml:space="preserve"> </w:t>
      </w:r>
      <w:r>
        <w:rPr>
          <w:bCs/>
          <w:b/>
        </w:rPr>
        <w:t xml:space="preserve">single</w:t>
      </w:r>
      <w:r>
        <w:t xml:space="preserve"> </w:t>
      </w:r>
      <w:r>
        <w:t xml:space="preserve">means measured once;</w:t>
      </w:r>
      <w:r>
        <w:t xml:space="preserve"> </w:t>
      </w:r>
      <w:r>
        <w:rPr>
          <w:bCs/>
          <w:b/>
        </w:rPr>
        <w:t xml:space="preserve">hypothesis</w:t>
      </w:r>
      <w:r>
        <w:t xml:space="preserve"> </w:t>
      </w:r>
      <w:r>
        <w:t xml:space="preserve">means</w:t>
      </w:r>
      <w:r>
        <w:t xml:space="preserve"> </w:t>
      </w:r>
      <w:r>
        <w:t xml:space="preserve">reasoned but not measured;</w:t>
      </w:r>
      <w:r>
        <w:t xml:space="preserve"> </w:t>
      </w:r>
      <w:r>
        <w:rPr>
          <w:bCs/>
          <w:b/>
        </w:rPr>
        <w:t xml:space="preserve">retracted</w:t>
      </w:r>
      <w:r>
        <w:t xml:space="preserve"> </w:t>
      </w:r>
      <w:r>
        <w:t xml:space="preserve">means believed and now known false.</w:t>
      </w:r>
    </w:p>
    <w:p>
      <w:pPr>
        <w:pStyle w:val="CaptionedFigure"/>
      </w:pPr>
      <w:r>
        <w:drawing>
          <wp:inline>
            <wp:extent cx="5334000" cy="3012675"/>
            <wp:effectExtent b="0" l="0" r="0" t="0"/>
            <wp:docPr descr="Layer audit" title="" id="121" name="Picture"/>
            <a:graphic>
              <a:graphicData uri="http://schemas.openxmlformats.org/drawingml/2006/picture">
                <pic:pic>
                  <pic:nvPicPr>
                    <pic:cNvPr descr="figures/fig22_layer_audit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 audit</w:t>
      </w:r>
    </w:p>
    <w:p>
      <w:pPr>
        <w:pStyle w:val="BodyText"/>
      </w:pPr>
      <w:r>
        <w:rPr>
          <w:bCs/>
          <w:b/>
        </w:rPr>
        <w:t xml:space="preserve">Figure 22.</w:t>
      </w:r>
      <w:r>
        <w:t xml:space="preserve"> </w:t>
      </w:r>
      <w:r>
        <w:t xml:space="preserve">The layer-by-layer audit. The break is at exactly one component,</w:t>
      </w:r>
      <w:r>
        <w:t xml:space="preserve"> </w:t>
      </w:r>
      <w:r>
        <w:t xml:space="preserve">and it is not where most of the year’s effort went.</w:t>
      </w:r>
    </w:p>
    <w:p>
      <w:pPr>
        <w:pStyle w:val="BodyText"/>
      </w:pPr>
      <w:r>
        <w:rPr>
          <w:bCs/>
          <w:b/>
        </w:rPr>
        <w:t xml:space="preserve">Measured, and reproduced.</w:t>
      </w:r>
    </w:p>
    <w:p>
      <w:pPr>
        <w:numPr>
          <w:ilvl w:val="0"/>
          <w:numId w:val="1003"/>
        </w:numPr>
        <w:pStyle w:val="Compact"/>
      </w:pPr>
      <w:r>
        <w:t xml:space="preserve">Closed-loop velocity control tracks to 1.2–1.4 % of peak, wheels free, and</w:t>
      </w:r>
      <w:r>
        <w:t xml:space="preserve"> </w:t>
      </w:r>
      <w:r>
        <w:t xml:space="preserve">3.4–4.0 % under real chassis weight, with zero saturation samples in either.</w:t>
      </w:r>
    </w:p>
    <w:p>
      <w:pPr>
        <w:numPr>
          <w:ilvl w:val="0"/>
          <w:numId w:val="1003"/>
        </w:numPr>
        <w:pStyle w:val="Compact"/>
      </w:pPr>
      <w:r>
        <w:t xml:space="preserve">Ground load raises feedforward demand by a mean of 24 %, inside a band</w:t>
      </w:r>
      <w:r>
        <w:t xml:space="preserve"> </w:t>
      </w:r>
      <w:r>
        <w:t xml:space="preserve">predicted before the run.</w:t>
      </w:r>
    </w:p>
    <w:p>
      <w:pPr>
        <w:numPr>
          <w:ilvl w:val="0"/>
          <w:numId w:val="1003"/>
        </w:numPr>
        <w:pStyle w:val="Compact"/>
      </w:pPr>
      <w:r>
        <w:t xml:space="preserve">Wheel odometry closes 4.582 m to 3.1 mm and 21.85 m to 0.229 m.</w:t>
      </w:r>
    </w:p>
    <w:p>
      <w:pPr>
        <w:numPr>
          <w:ilvl w:val="0"/>
          <w:numId w:val="1003"/>
        </w:numPr>
        <w:pStyle w:val="Compact"/>
      </w:pPr>
      <w:r>
        <w:t xml:space="preserve">The forward kinematic model reproduces ground-truth twist to 1.7 × 10⁻¹⁶ over</w:t>
      </w:r>
      <w:r>
        <w:t xml:space="preserve"> </w:t>
      </w:r>
      <w:r>
        <w:t xml:space="preserve">20 000 random twists, and offline re-integration from raw encoders diverges</w:t>
      </w:r>
      <w:r>
        <w:t xml:space="preserve"> </w:t>
      </w:r>
      <w:r>
        <w:t xml:space="preserve">from the live estimate by 5.4 mm peak and 0.0 mm final.</w:t>
      </w:r>
    </w:p>
    <w:p>
      <w:pPr>
        <w:numPr>
          <w:ilvl w:val="0"/>
          <w:numId w:val="1003"/>
        </w:numPr>
        <w:pStyle w:val="Compact"/>
      </w:pPr>
      <w:r>
        <w:t xml:space="preserve">Cumulative pose correction is invariant to 2 % across every scan-matcher</w:t>
      </w:r>
      <w:r>
        <w:t xml:space="preserve"> </w:t>
      </w:r>
      <w:r>
        <w:t xml:space="preserve">parameter set tried.</w:t>
      </w:r>
    </w:p>
    <w:p>
      <w:pPr>
        <w:numPr>
          <w:ilvl w:val="0"/>
          <w:numId w:val="1003"/>
        </w:numPr>
        <w:pStyle w:val="Compact"/>
      </w:pPr>
      <w:r>
        <w:t xml:space="preserve">Disabling the sequential matcher removes the correction mechanism entirely:</w:t>
      </w:r>
      <w:r>
        <w:t xml:space="preserve"> </w:t>
      </w:r>
      <w:r>
        <w:t xml:space="preserve">zero events across two routes.</w:t>
      </w:r>
    </w:p>
    <w:p>
      <w:pPr>
        <w:numPr>
          <w:ilvl w:val="0"/>
          <w:numId w:val="1003"/>
        </w:numPr>
        <w:pStyle w:val="Compact"/>
      </w:pPr>
      <w:r>
        <w:t xml:space="preserve">Heading drift reported by odometry is substantially estimator error, confirmed</w:t>
      </w:r>
      <w:r>
        <w:t xml:space="preserve"> </w:t>
      </w:r>
      <w:r>
        <w:t xml:space="preserve">on two runs by an independently validated method.</w:t>
      </w:r>
    </w:p>
    <w:p>
      <w:pPr>
        <w:numPr>
          <w:ilvl w:val="0"/>
          <w:numId w:val="1003"/>
        </w:numPr>
        <w:pStyle w:val="Compact"/>
      </w:pPr>
      <w:r>
        <w:t xml:space="preserve">The self-occlusion blind sector is a 90° wedge, consistent across five</w:t>
      </w:r>
      <w:r>
        <w:t xml:space="preserve"> </w:t>
      </w:r>
      <w:r>
        <w:t xml:space="preserve">independent headings.</w:t>
      </w:r>
    </w:p>
    <w:p>
      <w:pPr>
        <w:pStyle w:val="FirstParagraph"/>
      </w:pPr>
      <w:r>
        <w:rPr>
          <w:bCs/>
          <w:b/>
        </w:rPr>
        <w:t xml:space="preserve">Provisional, stated only with the caveat.</w:t>
      </w:r>
    </w:p>
    <w:p>
      <w:pPr>
        <w:numPr>
          <w:ilvl w:val="0"/>
          <w:numId w:val="1004"/>
        </w:numPr>
        <w:pStyle w:val="Compact"/>
      </w:pPr>
      <w:r>
        <w:t xml:space="preserve">The proportional gain assumes an unmeasured plant time constant. Across a</w:t>
      </w:r>
      <w:r>
        <w:t xml:space="preserve"> </w:t>
      </w:r>
      <w:r>
        <w:t xml:space="preserve">plausible range the cost is response speed, not stability, and the integral</w:t>
      </w:r>
      <w:r>
        <w:t xml:space="preserve"> </w:t>
      </w:r>
      <w:r>
        <w:t xml:space="preserve">gain that was genuinely mis-set follows from the measured plant gain and is</w:t>
      </w:r>
      <w:r>
        <w:t xml:space="preserve"> </w:t>
      </w:r>
      <w:r>
        <w:t xml:space="preserve">correct regardless.</w:t>
      </w:r>
    </w:p>
    <w:p>
      <w:pPr>
        <w:numPr>
          <w:ilvl w:val="0"/>
          <w:numId w:val="1004"/>
        </w:numPr>
        <w:pStyle w:val="Compact"/>
      </w:pPr>
      <w:r>
        <w:t xml:space="preserve">Whether loop closure survives with the sequential matcher disabled is a</w:t>
      </w:r>
      <w:r>
        <w:t xml:space="preserve"> </w:t>
      </w:r>
      <w:r>
        <w:t xml:space="preserve">hypothesis supported only by a source read confirming the two matchers are</w:t>
      </w:r>
      <w:r>
        <w:t xml:space="preserve"> </w:t>
      </w:r>
      <w:r>
        <w:t xml:space="preserve">separate objects.</w:t>
      </w:r>
    </w:p>
    <w:p>
      <w:pPr>
        <w:numPr>
          <w:ilvl w:val="0"/>
          <w:numId w:val="1004"/>
        </w:numPr>
        <w:pStyle w:val="Compact"/>
      </w:pPr>
      <w:r>
        <w:t xml:space="preserve">The translation half of the photogrammetry result is indicative rather than</w:t>
      </w:r>
      <w:r>
        <w:t xml:space="preserve"> </w:t>
      </w:r>
      <w:r>
        <w:t xml:space="preserve">exact, because a mast camera at an oblique angle is sensitive to small pitch</w:t>
      </w:r>
      <w:r>
        <w:t xml:space="preserve"> </w:t>
      </w:r>
      <w:r>
        <w:t xml:space="preserve">and roll of the mast.</w:t>
      </w:r>
    </w:p>
    <w:p>
      <w:pPr>
        <w:pStyle w:val="FirstParagraph"/>
      </w:pPr>
      <w:r>
        <w:rPr>
          <w:bCs/>
          <w:b/>
        </w:rPr>
        <w:t xml:space="preserve">Not claimed.</w:t>
      </w:r>
    </w:p>
    <w:p>
      <w:pPr>
        <w:numPr>
          <w:ilvl w:val="0"/>
          <w:numId w:val="1005"/>
        </w:numPr>
        <w:pStyle w:val="Compact"/>
      </w:pPr>
      <w:r>
        <w:t xml:space="preserve">No accepted commissioning map exists. One of four sub-criteria has been met,</w:t>
      </w:r>
      <w:r>
        <w:t xml:space="preserve"> </w:t>
      </w:r>
      <w:r>
        <w:t xml:space="preserve">once.</w:t>
      </w:r>
    </w:p>
    <w:p>
      <w:pPr>
        <w:numPr>
          <w:ilvl w:val="0"/>
          <w:numId w:val="1005"/>
        </w:numPr>
        <w:pStyle w:val="Compact"/>
      </w:pPr>
      <w:r>
        <w:t xml:space="preserve">Localisation against a saved map has never run.</w:t>
      </w:r>
    </w:p>
    <w:p>
      <w:pPr>
        <w:numPr>
          <w:ilvl w:val="0"/>
          <w:numId w:val="1005"/>
        </w:numPr>
        <w:pStyle w:val="Compact"/>
      </w:pPr>
      <w:r>
        <w:t xml:space="preserve">No performance claim under cargo load.</w:t>
      </w:r>
    </w:p>
    <w:p>
      <w:pPr>
        <w:numPr>
          <w:ilvl w:val="0"/>
          <w:numId w:val="1005"/>
        </w:numPr>
        <w:pStyle w:val="Compact"/>
      </w:pPr>
      <w:r>
        <w:t xml:space="preserve">No quantitative verification of the width benefit that motivates the geometry.</w:t>
      </w:r>
      <w:r>
        <w:t xml:space="preserve"> </w:t>
      </w:r>
      <w:r>
        <w:t xml:space="preserve">That claim rests on the foundational paper; reproducing it is Objective 4.</w:t>
      </w:r>
    </w:p>
    <w:p>
      <w:pPr>
        <w:numPr>
          <w:ilvl w:val="0"/>
          <w:numId w:val="1005"/>
        </w:numPr>
        <w:pStyle w:val="Compact"/>
      </w:pPr>
      <w:r>
        <w:t xml:space="preserve">No germicidal dose claim, in either project.</w:t>
      </w:r>
    </w:p>
    <w:p>
      <w:pPr>
        <w:pStyle w:val="FirstParagraph"/>
      </w:pPr>
      <w:r>
        <w:rPr>
          <w:bCs/>
          <w:b/>
        </w:rPr>
        <w:t xml:space="preserve">Retracted in writing during the year</w:t>
      </w:r>
      <w:r>
        <w:t xml:space="preserve">, and listed because the retractions are</w:t>
      </w:r>
      <w:r>
        <w:t xml:space="preserve"> </w:t>
      </w:r>
      <w:r>
        <w:t xml:space="preserve">part of the evidence: that a loop-closure relaxation caused the pose jumps</w:t>
      </w:r>
      <w:r>
        <w:t xml:space="preserve"> </w:t>
      </w:r>
      <w:r>
        <w:t xml:space="preserve">(the parameters were never deployed to the robot); that an earlier tuning</w:t>
      </w:r>
      <w:r>
        <w:t xml:space="preserve"> </w:t>
      </w:r>
      <w:r>
        <w:t xml:space="preserve">produced a 50 cm to 2 cm improvement (same cause, so what did produce it is</w:t>
      </w:r>
      <w:r>
        <w:t xml:space="preserve"> </w:t>
      </w:r>
      <w:r>
        <w:t xml:space="preserve">recorded as an open question rather than invented); that lateral motion is the</w:t>
      </w:r>
      <w:r>
        <w:t xml:space="preserve"> </w:t>
      </w:r>
      <w:r>
        <w:t xml:space="preserve">weak axis (a third recording failed on the forward leg at the same speed the</w:t>
      </w:r>
      <w:r>
        <w:t xml:space="preserve"> </w:t>
      </w:r>
      <w:r>
        <w:t xml:space="preserve">same day); and one pre-registered took-effect check, withdrawn before the</w:t>
      </w:r>
      <w:r>
        <w:t xml:space="preserve"> </w:t>
      </w:r>
      <w:r>
        <w:t xml:space="preserve">experiment it belonged to was scored, because it differenced displacement from</w:t>
      </w:r>
      <w:r>
        <w:t xml:space="preserve"> </w:t>
      </w:r>
      <w:r>
        <w:t xml:space="preserve">the origin on an out-and-back route where that quantity shrinks on the return.</w:t>
      </w:r>
    </w:p>
    <w:bookmarkEnd w:id="123"/>
    <w:bookmarkStart w:id="127" w:name="the-defect-record-as-a-finding"/>
    <w:p>
      <w:pPr>
        <w:pStyle w:val="Heading3"/>
      </w:pPr>
      <w:r>
        <w:t xml:space="preserve">10.2 The defect record as a finding</w:t>
      </w:r>
    </w:p>
    <w:p>
      <w:pPr>
        <w:pStyle w:val="CaptionedFigure"/>
      </w:pPr>
      <w:r>
        <w:drawing>
          <wp:inline>
            <wp:extent cx="5334000" cy="2329876"/>
            <wp:effectExtent b="0" l="0" r="0" t="0"/>
            <wp:docPr descr="Defect taxonomy" title="" id="125" name="Picture"/>
            <a:graphic>
              <a:graphicData uri="http://schemas.openxmlformats.org/drawingml/2006/picture">
                <pic:pic>
                  <pic:nvPicPr>
                    <pic:cNvPr descr="figures/fig23_defect_taxonomy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Defect taxonomy</w:t>
      </w:r>
    </w:p>
    <w:p>
      <w:pPr>
        <w:pStyle w:val="BodyText"/>
      </w:pPr>
      <w:r>
        <w:rPr>
          <w:bCs/>
          <w:b/>
        </w:rPr>
        <w:t xml:space="preserve">Figure 23.</w:t>
      </w:r>
      <w:r>
        <w:t xml:space="preserve"> </w:t>
      </w:r>
      <w:r>
        <w:t xml:space="preserve">Distribution of the 82 root-caused defects documented this year,</w:t>
      </w:r>
      <w:r>
        <w:t xml:space="preserve"> </w:t>
      </w:r>
      <w:r>
        <w:t xml:space="preserve">and the four rules that came out of them.</w:t>
      </w:r>
    </w:p>
    <w:p>
      <w:pPr>
        <w:pStyle w:val="BodyText"/>
      </w:pPr>
      <w:r>
        <w:t xml:space="preserve">The distribution is unremarkable. The shared diagnostic signature is not, and</w:t>
      </w:r>
      <w:r>
        <w:t xml:space="preserve"> </w:t>
      </w:r>
      <w:r>
        <w:t xml:space="preserve">neither are the working rules the year produced, which are now written into the</w:t>
      </w:r>
      <w:r>
        <w:t xml:space="preserve"> </w:t>
      </w:r>
      <w:r>
        <w:t xml:space="preserve">project’s standing documentation:</w:t>
      </w:r>
    </w:p>
    <w:p>
      <w:pPr>
        <w:pStyle w:val="BodyText"/>
      </w:pPr>
      <w:r>
        <w:rPr>
          <w:bCs/>
          <w:b/>
        </w:rPr>
        <w:t xml:space="preserve">A value in the repository is not a value on the robot.</w:t>
      </w:r>
      <w:r>
        <w:t xml:space="preserve"> </w:t>
      </w:r>
      <w:r>
        <w:t xml:space="preserve">Loop-closure tuning</w:t>
      </w:r>
      <w:r>
        <w:t xml:space="preserve"> </w:t>
      </w:r>
      <w:r>
        <w:t xml:space="preserve">was committed on 19 August and reached the robot on 22 August. Three journal</w:t>
      </w:r>
      <w:r>
        <w:t xml:space="preserve"> </w:t>
      </w:r>
      <w:r>
        <w:t xml:space="preserve">entries in between reasoned in detail about parameters that were never active,</w:t>
      </w:r>
      <w:r>
        <w:t xml:space="preserve"> </w:t>
      </w:r>
      <w:r>
        <w:t xml:space="preserve">and one headline result had to be un-attributed. The check that matters is</w:t>
      </w:r>
      <w:r>
        <w:t xml:space="preserve"> </w:t>
      </w:r>
      <w:r>
        <w:t xml:space="preserve">querying the live node, not reading a file. A read-only audit script now hashes</w:t>
      </w:r>
      <w:r>
        <w:t xml:space="preserve"> </w:t>
      </w:r>
      <w:r>
        <w:t xml:space="preserve">every deployed file against the repository and reports the difference.</w:t>
      </w:r>
    </w:p>
    <w:p>
      <w:pPr>
        <w:pStyle w:val="BodyText"/>
      </w:pPr>
      <w:r>
        <w:rPr>
          <w:bCs/>
          <w:b/>
        </w:rPr>
        <w:t xml:space="preserve">Never fix an axis or placement complaint in the display.</w:t>
      </w:r>
      <w:r>
        <w:t xml:space="preserve"> </w:t>
      </w:r>
      <w:r>
        <w:t xml:space="preserve">Four separate</w:t>
      </w:r>
      <w:r>
        <w:t xml:space="preserve"> </w:t>
      </w:r>
      <w:r>
        <w:t xml:space="preserve">display-side compensations grew over one real frame fault and hid it for two</w:t>
      </w:r>
      <w:r>
        <w:t xml:space="preserve"> </w:t>
      </w:r>
      <w:r>
        <w:t xml:space="preserve">weeks. When an operator reports that the picture is wrong, the picture is</w:t>
      </w:r>
      <w:r>
        <w:t xml:space="preserve"> </w:t>
      </w:r>
      <w:r>
        <w:t xml:space="preserve">usually right.</w:t>
      </w:r>
    </w:p>
    <w:p>
      <w:pPr>
        <w:pStyle w:val="BodyText"/>
      </w:pPr>
      <w:r>
        <w:rPr>
          <w:bCs/>
          <w:b/>
        </w:rPr>
        <w:t xml:space="preserve">An instrument that cannot fail its own check is not an instrument.</w:t>
      </w:r>
      <w:r>
        <w:t xml:space="preserve"> </w:t>
      </w:r>
      <w:r>
        <w:t xml:space="preserve">Two</w:t>
      </w:r>
      <w:r>
        <w:t xml:space="preserve"> </w:t>
      </w:r>
      <w:r>
        <w:t xml:space="preserve">photogrammetry measurements returned confident wrong answers and were caught</w:t>
      </w:r>
      <w:r>
        <w:t xml:space="preserve"> </w:t>
      </w:r>
      <w:r>
        <w:t xml:space="preserve">only by validation frames with known results. Three analysis tools were found</w:t>
      </w:r>
      <w:r>
        <w:t xml:space="preserve"> </w:t>
      </w:r>
      <w:r>
        <w:t xml:space="preserve">raising false positives on turning drives, because their thresholds were written</w:t>
      </w:r>
      <w:r>
        <w:t xml:space="preserve"> </w:t>
      </w:r>
      <w:r>
        <w:t xml:space="preserve">for straight-line data; they were scheduled for repair rather than patched</w:t>
      </w:r>
      <w:r>
        <w:t xml:space="preserve"> </w:t>
      </w:r>
      <w:r>
        <w:t xml:space="preserve">immediately, because changing an instrument mid-campaign destroys the baseline</w:t>
      </w:r>
      <w:r>
        <w:t xml:space="preserve"> </w:t>
      </w:r>
      <w:r>
        <w:t xml:space="preserve">it is being compared against.</w:t>
      </w:r>
    </w:p>
    <w:p>
      <w:pPr>
        <w:pStyle w:val="BodyText"/>
      </w:pPr>
      <w:r>
        <w:rPr>
          <w:bCs/>
          <w:b/>
        </w:rPr>
        <w:t xml:space="preserve">Isolate before tuning.</w:t>
      </w:r>
      <w:r>
        <w:t xml:space="preserve"> </w:t>
      </w:r>
      <w:r>
        <w:t xml:space="preserve">Gains were touched only after the actuator, the</w:t>
      </w:r>
      <w:r>
        <w:t xml:space="preserve"> </w:t>
      </w:r>
      <w:r>
        <w:t xml:space="preserve">sensor and the unit conversion had each been verified independently. The</w:t>
      </w:r>
      <w:r>
        <w:t xml:space="preserve"> </w:t>
      </w:r>
      <w:r>
        <w:t xml:space="preserve">corollary the year added is that choosing the benchmark is part of the</w:t>
      </w:r>
      <w:r>
        <w:t xml:space="preserve"> </w:t>
      </w:r>
      <w:r>
        <w:t xml:space="preserve">isolation: three sessions were spent tuning against a test geometry that records</w:t>
      </w:r>
      <w:r>
        <w:t xml:space="preserve"> </w:t>
      </w:r>
      <w:r>
        <w:t xml:space="preserve">almost nothing.</w:t>
      </w:r>
    </w:p>
    <w:p>
      <w:pPr>
        <w:pStyle w:val="BodyText"/>
      </w:pPr>
      <w:r>
        <w:t xml:space="preserve">Two occasions involved two simultaneous faults, and both cost days. A bench</w:t>
      </w:r>
      <w:r>
        <w:t xml:space="preserve"> </w:t>
      </w:r>
      <w:r>
        <w:t xml:space="preserve">supply current-limiting below peak demand masked a broken encoder line. An</w:t>
      </w:r>
      <w:r>
        <w:t xml:space="preserve"> </w:t>
      </w:r>
      <w:r>
        <w:t xml:space="preserve">undocumented system service auto-starting the LiDAR masked a missing transform</w:t>
      </w:r>
      <w:r>
        <w:t xml:space="preserve"> </w:t>
      </w:r>
      <w:r>
        <w:t xml:space="preserve">frame, and killing processes by hand did not converge because the service</w:t>
      </w:r>
      <w:r>
        <w:t xml:space="preserve"> </w:t>
      </w:r>
      <w:r>
        <w:t xml:space="preserve">restarted them. A symptom that changes character but does not disappear after</w:t>
      </w:r>
      <w:r>
        <w:t xml:space="preserve"> </w:t>
      </w:r>
      <w:r>
        <w:t xml:space="preserve">the suspected cause is fixed indicates at least one further fault.</w:t>
      </w:r>
    </w:p>
    <w:bookmarkEnd w:id="127"/>
    <w:bookmarkStart w:id="134" w:name="on-the-balance-between-the-two-projects"/>
    <w:p>
      <w:pPr>
        <w:pStyle w:val="Heading3"/>
      </w:pPr>
      <w:r>
        <w:t xml:space="preserve">10.3 On the balance between the two projects</w:t>
      </w:r>
    </w:p>
    <w:p>
      <w:pPr>
        <w:pStyle w:val="CaptionedFigure"/>
      </w:pPr>
      <w:r>
        <w:drawing>
          <wp:inline>
            <wp:extent cx="5334000" cy="3404188"/>
            <wp:effectExtent b="0" l="0" r="0" t="0"/>
            <wp:docPr descr="Platform photographs" title="" id="129" name="Picture"/>
            <a:graphic>
              <a:graphicData uri="http://schemas.openxmlformats.org/drawingml/2006/picture">
                <pic:pic>
                  <pic:nvPicPr>
                    <pic:cNvPr descr="figures/fig24_platform_photos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 photographs</w:t>
      </w:r>
    </w:p>
    <w:p>
      <w:pPr>
        <w:pStyle w:val="BodyText"/>
      </w:pPr>
      <w:r>
        <w:rPr>
          <w:bCs/>
          <w:b/>
        </w:rPr>
        <w:t xml:space="preserve">Figure 24.</w:t>
      </w:r>
      <w:r>
        <w:t xml:space="preserve"> </w:t>
      </w:r>
      <w:r>
        <w:t xml:space="preserve">The physical platform and the measurements taken on it.</w:t>
      </w:r>
    </w:p>
    <w:p>
      <w:pPr>
        <w:pStyle w:val="CaptionedFigure"/>
      </w:pPr>
      <w:r>
        <w:drawing>
          <wp:inline>
            <wp:extent cx="5334000" cy="2925311"/>
            <wp:effectExtent b="0" l="0" r="0" t="0"/>
            <wp:docPr descr="Timeline" title="" id="132" name="Picture"/>
            <a:graphic>
              <a:graphicData uri="http://schemas.openxmlformats.org/drawingml/2006/picture">
                <pic:pic>
                  <pic:nvPicPr>
                    <pic:cNvPr descr="figures/fig25_gantt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Timeline</w:t>
      </w:r>
    </w:p>
    <w:p>
      <w:pPr>
        <w:pStyle w:val="BodyText"/>
      </w:pPr>
      <w:r>
        <w:rPr>
          <w:bCs/>
          <w:b/>
        </w:rPr>
        <w:t xml:space="preserve">Figure 25.</w:t>
      </w:r>
      <w:r>
        <w:t xml:space="preserve"> </w:t>
      </w:r>
      <w:r>
        <w:t xml:space="preserve">Both projects on one timeline, reconstructed from 146 commits.</w:t>
      </w:r>
    </w:p>
    <w:p>
      <w:pPr>
        <w:pStyle w:val="BlockText"/>
      </w:pPr>
      <w:r>
        <w:rPr>
          <w:bCs/>
          <w:b/>
        </w:rPr>
        <w:t xml:space="preserve">[CONFIRM]</w:t>
      </w:r>
      <w:r>
        <w:t xml:space="preserve"> </w:t>
      </w:r>
      <w:r>
        <w:t xml:space="preserve">The start and end dates of the parallel project and an honest</w:t>
      </w:r>
      <w:r>
        <w:t xml:space="preserve"> </w:t>
      </w:r>
      <w:r>
        <w:t xml:space="preserve">estimate of the fraction of working time it consumed. The repository holds no</w:t>
      </w:r>
      <w:r>
        <w:t xml:space="preserve"> </w:t>
      </w:r>
      <w:r>
        <w:t xml:space="preserve">dates for it. This is the first question a committee will ask, and a</w:t>
      </w:r>
      <w:r>
        <w:t xml:space="preserve"> </w:t>
      </w:r>
      <w:r>
        <w:t xml:space="preserve">defensible number offered voluntarily is a better answer than a range given</w:t>
      </w:r>
      <w:r>
        <w:t xml:space="preserve"> </w:t>
      </w:r>
      <w:r>
        <w:t xml:space="preserve">under pressure.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6" w:name="X4d171289b0d2c320829ecd6c49166e2f320c3ff"/>
    <w:p>
      <w:pPr>
        <w:pStyle w:val="Heading2"/>
      </w:pPr>
      <w:r>
        <w:t xml:space="preserve">11. Parallel project — instrumentation and control for a UVGI air-disinfection unit</w:t>
      </w:r>
    </w:p>
    <w:p>
      <w:pPr>
        <w:pStyle w:val="FirstParagraph"/>
      </w:pPr>
      <w:r>
        <w:t xml:space="preserve">An instrumentation and control system was designed, built and deployed for a</w:t>
      </w:r>
      <w:r>
        <w:t xml:space="preserve"> </w:t>
      </w:r>
      <w:r>
        <w:t xml:space="preserve">UV-C air-disinfection unit under a departmental TIH-IoT activity. This is a</w:t>
      </w:r>
      <w:r>
        <w:t xml:space="preserve"> </w:t>
      </w:r>
      <w:r>
        <w:t xml:space="preserve">parallel contribution and is not part of the thesis problem statement.</w:t>
      </w:r>
    </w:p>
    <w:p>
      <w:pPr>
        <w:pStyle w:val="BodyText"/>
      </w:pPr>
      <w:r>
        <w:t xml:space="preserve">The justification for including it is capability rather than novelty.</w:t>
      </w:r>
      <w:r>
        <w:t xml:space="preserve"> </w:t>
      </w:r>
      <w:r>
        <w:t xml:space="preserve">Multi-channel environmental monitoring is well-trodden, and the honest statement</w:t>
      </w:r>
      <w:r>
        <w:t xml:space="preserve"> </w:t>
      </w:r>
      <w:r>
        <w:t xml:space="preserve">of what is new is narrow: the integration, and the dose-based control scheme</w:t>
      </w:r>
      <w:r>
        <w:t xml:space="preserve"> </w:t>
      </w:r>
      <w:r>
        <w:t xml:space="preserve">proposed but not implemented. What the work developed transfers directly to the</w:t>
      </w:r>
      <w:r>
        <w:t xml:space="preserve"> </w:t>
      </w:r>
      <w:r>
        <w:t xml:space="preserve">thesis: multi-sensor instrumentation and calibration, real-time acquisition with</w:t>
      </w:r>
      <w:r>
        <w:t xml:space="preserve"> </w:t>
      </w:r>
      <w:r>
        <w:t xml:space="preserve">time-series storage, closed-loop control with safety interlocks, embedded and</w:t>
      </w:r>
      <w:r>
        <w:t xml:space="preserve"> </w:t>
      </w:r>
      <w:r>
        <w:t xml:space="preserve">wireless protocol work, and a systematic self-audit. Every one of those appears</w:t>
      </w:r>
      <w:r>
        <w:t xml:space="preserve"> </w:t>
      </w:r>
      <w:r>
        <w:t xml:space="preserve">in §6 to §9 applied to the robot.</w:t>
      </w:r>
    </w:p>
    <w:bookmarkStart w:id="139" w:name="what-was-built"/>
    <w:p>
      <w:pPr>
        <w:pStyle w:val="Heading3"/>
      </w:pPr>
      <w:r>
        <w:t xml:space="preserve">11.1 What was built</w:t>
      </w:r>
    </w:p>
    <w:p>
      <w:pPr>
        <w:pStyle w:val="CaptionedFigure"/>
      </w:pPr>
      <w:r>
        <w:drawing>
          <wp:inline>
            <wp:extent cx="5334000" cy="2571938"/>
            <wp:effectExtent b="0" l="0" r="0" t="0"/>
            <wp:docPr descr="UVGI system architecture" title="" id="137" name="Picture"/>
            <a:graphic>
              <a:graphicData uri="http://schemas.openxmlformats.org/drawingml/2006/picture">
                <pic:pic>
                  <pic:nvPicPr>
                    <pic:cNvPr descr="figures/fig26_iot_architectur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UVGI system architecture</w:t>
      </w:r>
    </w:p>
    <w:p>
      <w:pPr>
        <w:pStyle w:val="BodyText"/>
      </w:pPr>
      <w:r>
        <w:rPr>
          <w:bCs/>
          <w:b/>
        </w:rPr>
        <w:t xml:space="preserve">Figure 26.</w:t>
      </w:r>
      <w:r>
        <w:t xml:space="preserve"> </w:t>
      </w:r>
      <w:r>
        <w:t xml:space="preserve">Five sensors, three concurrent wireless channels, two independent</w:t>
      </w:r>
      <w:r>
        <w:t xml:space="preserve"> </w:t>
      </w:r>
      <w:r>
        <w:t xml:space="preserve">control paths, four monitored zones across two radio-isolated deployments</w:t>
      </w:r>
      <w:r>
        <w:t xml:space="preserve"> </w:t>
      </w:r>
      <w:r>
        <w:t xml:space="preserve">sharing one database, and no cloud dependency.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UNO R4 WiFi, firmware v10.1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UNO R4 Minima with RYLR998, level-shifted, firmware v4.1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 (8 GB), containerised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SCD40 (CO₂, temperature, humidity); MPM10-AS (PM2.5, PM10); MQ-135 (gas); GUVA-S12SD (UV)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Opto-isolated relay for the lamp; 120 mm PWM fan with tachometer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Wi-Fi/MQTT at 5 s; LoRa at 30 s, ≤240 B; cellular SMS on alert and every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Mosquitto, Node-RED, InfluxDB 2.x, Grafana, Portainer, Flask control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Hysteresis, 150/200 dead band; fan scaled 128–255 across index 200–500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°C; 1200 ppm CO₂; gas index 200; 55 µg/m³ PM2.5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panels, per-zone templating, in-panel actuator control</w:t>
            </w:r>
          </w:p>
        </w:tc>
      </w:tr>
    </w:tbl>
    <w:bookmarkEnd w:id="139"/>
    <w:bookmarkStart w:id="140" w:name="X31f4e7a020b0c92eee650be071294904b438b4f"/>
    <w:p>
      <w:pPr>
        <w:pStyle w:val="Heading3"/>
      </w:pPr>
      <w:r>
        <w:t xml:space="preserve">11.2 Three engineering decisions worth defending</w:t>
      </w:r>
    </w:p>
    <w:p>
      <w:pPr>
        <w:pStyle w:val="FirstParagraph"/>
      </w:pPr>
      <w:r>
        <w:t xml:space="preserve">Each was a response to an observed failure rather than anticipatory design,</w:t>
      </w:r>
      <w:r>
        <w:t xml:space="preserve"> </w:t>
      </w:r>
      <w:r>
        <w:t xml:space="preserve">which makes them stronger evidence than a clean specification would be.</w:t>
      </w:r>
    </w:p>
    <w:p>
      <w:pPr>
        <w:pStyle w:val="BodyText"/>
      </w:pPr>
      <w:r>
        <w:rPr>
          <w:bCs/>
          <w:b/>
        </w:rPr>
        <w:t xml:space="preserve">A dedicated gateway microcontroller.</w:t>
      </w:r>
      <w:r>
        <w:t xml:space="preserve"> </w:t>
      </w:r>
      <w:r>
        <w:t xml:space="preserve">Driving the radio directly from host</w:t>
      </w:r>
      <w:r>
        <w:t xml:space="preserve"> </w:t>
      </w:r>
      <w:r>
        <w:t xml:space="preserve">GPIO was attempted and abandoned. The command protocol needs deterministic</w:t>
      </w:r>
      <w:r>
        <w:t xml:space="preserve"> </w:t>
      </w:r>
      <w:r>
        <w:t xml:space="preserve">timing and Linux is not a real-time kernel, so scheduler jitter produced dropped</w:t>
      </w:r>
      <w:r>
        <w:t xml:space="preserve"> </w:t>
      </w:r>
      <w:r>
        <w:t xml:space="preserve">packets and truncated responses hard to distinguish from radio-link failures.</w:t>
      </w:r>
      <w:r>
        <w:t xml:space="preserve"> </w:t>
      </w:r>
      <w:r>
        <w:t xml:space="preserve">Interposing a microcontroller moved the timing-critical work to where timing is</w:t>
      </w:r>
      <w:r>
        <w:t xml:space="preserve"> </w:t>
      </w:r>
      <w:r>
        <w:t xml:space="preserve">deterministic: architecturally less elegant, substantially more reliable.</w:t>
      </w:r>
    </w:p>
    <w:p>
      <w:pPr>
        <w:pStyle w:val="BodyText"/>
      </w:pPr>
      <w:r>
        <w:rPr>
          <w:bCs/>
          <w:b/>
        </w:rPr>
        <w:t xml:space="preserve">Dual isolated power rails.</w:t>
      </w:r>
      <w:r>
        <w:t xml:space="preserve"> </w:t>
      </w:r>
      <w:r>
        <w:t xml:space="preserve">The cellular modem draws about 2 A in transmit</w:t>
      </w:r>
      <w:r>
        <w:t xml:space="preserve"> </w:t>
      </w:r>
      <w:r>
        <w:t xml:space="preserve">bursts. Sharing a rail with the microcontroller produced brownout resets. Two</w:t>
      </w:r>
      <w:r>
        <w:t xml:space="preserve"> </w:t>
      </w:r>
      <w:r>
        <w:t xml:space="preserve">supplies with a single common ground point eliminated them.</w:t>
      </w:r>
    </w:p>
    <w:p>
      <w:pPr>
        <w:pStyle w:val="BodyText"/>
      </w:pPr>
      <w:r>
        <w:rPr>
          <w:bCs/>
          <w:b/>
        </w:rPr>
        <w:t xml:space="preserve">Three concurrent channels rather than a failover chain.</w:t>
      </w:r>
      <w:r>
        <w:t xml:space="preserve"> </w:t>
      </w:r>
      <w:r>
        <w:t xml:space="preserve">A failover design</w:t>
      </w:r>
      <w:r>
        <w:t xml:space="preserve"> </w:t>
      </w:r>
      <w:r>
        <w:t xml:space="preserve">must detect failure before switching, and detection is exactly what fails first</w:t>
      </w:r>
      <w:r>
        <w:t xml:space="preserve"> </w:t>
      </w:r>
      <w:r>
        <w:t xml:space="preserve">in a dead network. Running all three continuously costs bandwidth the system</w:t>
      </w:r>
      <w:r>
        <w:t xml:space="preserve"> </w:t>
      </w:r>
      <w:r>
        <w:t xml:space="preserve">does not need anyway.</w:t>
      </w:r>
    </w:p>
    <w:bookmarkEnd w:id="140"/>
    <w:bookmarkStart w:id="144" w:name="self-audit"/>
    <w:p>
      <w:pPr>
        <w:pStyle w:val="Heading3"/>
      </w:pPr>
      <w:r>
        <w:t xml:space="preserve">11.3 Self-audit</w:t>
      </w:r>
    </w:p>
    <w:p>
      <w:pPr>
        <w:pStyle w:val="CaptionedFigure"/>
      </w:pPr>
      <w:r>
        <w:drawing>
          <wp:inline>
            <wp:extent cx="5334000" cy="2056112"/>
            <wp:effectExtent b="0" l="0" r="0" t="0"/>
            <wp:docPr descr="UVGI control law and audit" title="" id="142" name="Picture"/>
            <a:graphic>
              <a:graphicData uri="http://schemas.openxmlformats.org/drawingml/2006/picture">
                <pic:pic>
                  <pic:nvPicPr>
                    <pic:cNvPr descr="figures/fig27_iot_control_law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UVGI control law and audit</w:t>
      </w:r>
    </w:p>
    <w:p>
      <w:pPr>
        <w:pStyle w:val="BodyText"/>
      </w:pPr>
      <w:r>
        <w:rPr>
          <w:bCs/>
          <w:b/>
        </w:rPr>
        <w:t xml:space="preserve">Figure 27.</w:t>
      </w:r>
      <w:r>
        <w:t xml:space="preserve"> </w:t>
      </w:r>
      <w:r>
        <w:t xml:space="preserve">(a) The control law as implemented, with a dashboard capture at a</w:t>
      </w:r>
      <w:r>
        <w:t xml:space="preserve"> </w:t>
      </w:r>
      <w:r>
        <w:t xml:space="preserve">gas index of 143 confirming the lamp correspondingly off. (b) The verified</w:t>
      </w:r>
      <w:r>
        <w:t xml:space="preserve"> </w:t>
      </w:r>
      <w:r>
        <w:t xml:space="preserve">defect register.</w:t>
      </w:r>
    </w:p>
    <w:p>
      <w:pPr>
        <w:pStyle w:val="BodyText"/>
      </w:pPr>
      <w:r>
        <w:t xml:space="preserve">A single dashboard capture demonstrates three separate things, and the third is</w:t>
      </w:r>
      <w:r>
        <w:t xml:space="preserve"> </w:t>
      </w:r>
      <w:r>
        <w:t xml:space="preserve">why this section exists. The gas index of 143 sits below the 150 threshold and</w:t>
      </w:r>
      <w:r>
        <w:t xml:space="preserve"> </w:t>
      </w:r>
      <w:r>
        <w:t xml:space="preserve">the lamp is off, confirming the control law executes as specified. The CO₂</w:t>
      </w:r>
      <w:r>
        <w:t xml:space="preserve"> </w:t>
      </w:r>
      <w:r>
        <w:t xml:space="preserve">reading of 1240 ppm exceeds the 1200 ppm alert threshold, so the node was in an</w:t>
      </w:r>
      <w:r>
        <w:t xml:space="preserve"> </w:t>
      </w:r>
      <w:r>
        <w:t xml:space="preserve">alert state and had fired on all three channels. And the irradiance panel reads</w:t>
      </w:r>
      <w:r>
        <w:t xml:space="preserve"> </w:t>
      </w:r>
      <w:r>
        <w:t xml:space="preserve">3.64 in units of mW/cm²</w:t>
      </w:r>
      <w:r>
        <w:t xml:space="preserve"> </w:t>
      </w:r>
      <w:r>
        <w:rPr>
          <w:iCs/>
          <w:i/>
        </w:rPr>
        <w:t xml:space="preserve">with the lamp off</w:t>
      </w:r>
      <w:r>
        <w:t xml:space="preserve">, which is the clearest available</w:t>
      </w:r>
      <w:r>
        <w:t xml:space="preserve"> </w:t>
      </w:r>
      <w:r>
        <w:t xml:space="preserve">evidence that the ultraviolet channel is uncalibrated.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Irradiance appears in no control path and no alert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two-input loop has one input; a failed lamp raises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Off-commands do not clear the automatic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operator’s explicit off is reverted within one loop iteration, safety-relevant for UV-C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Gas-sensor calibration computed, stored, never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index driving the loop is a rescaled analogue-to-digital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fitted UV sensor responds to UV-A and UV-B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spectral mismatch at 254 nm, not a scale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 speed never divides by elapsed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Over-reads during loop stalls, correlated with cellular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cellular poll busy-waits 5 s of every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the loop period, and the root cause of the item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node and its gateway share a radio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node cannot be added to that deployment</w:t>
            </w:r>
          </w:p>
        </w:tc>
      </w:tr>
    </w:tbl>
    <w:p>
      <w:pPr>
        <w:pStyle w:val="BodyText"/>
      </w:pPr>
      <w:r>
        <w:t xml:space="preserve">Presenting the third reading of the dashboard capture without being asked is the</w:t>
      </w:r>
      <w:r>
        <w:t xml:space="preserve"> </w:t>
      </w:r>
      <w:r>
        <w:t xml:space="preserve">difference between an audit and an excuse, and the same applies to this table.</w:t>
      </w:r>
    </w:p>
    <w:bookmarkEnd w:id="144"/>
    <w:bookmarkStart w:id="145" w:name="what-better-would-look-like"/>
    <w:p>
      <w:pPr>
        <w:pStyle w:val="Heading3"/>
      </w:pPr>
      <w:r>
        <w:t xml:space="preserve">11.4 What better would look like</w:t>
      </w:r>
    </w:p>
    <w:p>
      <w:pPr>
        <w:pStyle w:val="FirstParagraph"/>
      </w:pPr>
      <w:r>
        <w:t xml:space="preserve">The most defensible item is a conceptual correction rather than an engineering</w:t>
      </w:r>
      <w:r>
        <w:t xml:space="preserve"> </w:t>
      </w:r>
      <w:r>
        <w:t xml:space="preserve">improvement. The device is triggered by a non-selective gas sensor with no</w:t>
      </w:r>
      <w:r>
        <w:t xml:space="preserve"> </w:t>
      </w:r>
      <w:r>
        <w:t xml:space="preserve">causal relationship to airborne pathogen load. The established proxy is the</w:t>
      </w:r>
      <w:r>
        <w:t xml:space="preserve"> </w:t>
      </w:r>
      <w:r>
        <w:t xml:space="preserve">rebreathed-air fraction derived from carbon dioxide concentration, which sits</w:t>
      </w:r>
      <w:r>
        <w:t xml:space="preserve"> </w:t>
      </w:r>
      <w:r>
        <w:t xml:space="preserve">directly inside the Wells–Riley exposure model, and substituting it would make</w:t>
      </w:r>
      <w:r>
        <w:t xml:space="preserve"> </w:t>
      </w:r>
      <w:r>
        <w:t xml:space="preserve">the trigger physically meaningful rather than merely correlated with occupancy.</w:t>
      </w:r>
    </w:p>
    <w:p>
      <w:pPr>
        <w:pStyle w:val="BodyText"/>
      </w:pPr>
      <w:r>
        <w:t xml:space="preserve">Dose-based control follows. Dose is irradiance times residence time, and</w:t>
      </w:r>
      <w:r>
        <w:t xml:space="preserve"> </w:t>
      </w:r>
      <w:r>
        <w:t xml:space="preserve">residence time is irradiated volume divided by airflow. Measuring irradiance</w:t>
      </w:r>
      <w:r>
        <w:t xml:space="preserve"> </w:t>
      </w:r>
      <w:r>
        <w:t xml:space="preserve">with a detector appropriate to 254 nm, choosing a target log-reduction and</w:t>
      </w:r>
      <w:r>
        <w:t xml:space="preserve"> </w:t>
      </w:r>
      <w:r>
        <w:t xml:space="preserve">computing the fan speed that delivers it would make the ultraviolet channel a</w:t>
      </w:r>
      <w:r>
        <w:t xml:space="preserve"> </w:t>
      </w:r>
      <w:r>
        <w:t xml:space="preserve">genuine second feedback input and would compensate automatically as the lamp</w:t>
      </w:r>
      <w:r>
        <w:t xml:space="preserve"> </w:t>
      </w:r>
      <w:r>
        <w:t xml:space="preserve">ages. This is the same dose-delivery problem the robot’s own UV-C payload faces,</w:t>
      </w:r>
      <w:r>
        <w:t xml:space="preserve"> </w:t>
      </w:r>
      <w:r>
        <w:t xml:space="preserve">and is the concrete link between the two projects.</w:t>
      </w:r>
    </w:p>
    <w:p>
      <w:pPr>
        <w:pStyle w:val="BodyText"/>
      </w:pPr>
      <w:r>
        <w:t xml:space="preserve">Remaining items: traceable calibration of every channel; correctly labelled</w:t>
      </w:r>
      <w:r>
        <w:t xml:space="preserve"> </w:t>
      </w:r>
      <w:r>
        <w:t xml:space="preserve">particulate sub-indices; liveness alerting; buffered store-and-forward with a</w:t>
      </w:r>
      <w:r>
        <w:t xml:space="preserve"> </w:t>
      </w:r>
      <w:r>
        <w:t xml:space="preserve">real-time clock; and authenticated control paths, since the present radio</w:t>
      </w:r>
      <w:r>
        <w:t xml:space="preserve"> </w:t>
      </w:r>
      <w:r>
        <w:t xml:space="preserve">separation is an addressing filter and not a security mechanism.</w:t>
      </w:r>
    </w:p>
    <w:p>
      <w:pPr>
        <w:pStyle w:val="BlockText"/>
      </w:pPr>
      <w:r>
        <w:rPr>
          <w:bCs/>
          <w:b/>
        </w:rPr>
        <w:t xml:space="preserve">[CONFIRM]</w:t>
      </w:r>
      <w:r>
        <w:t xml:space="preserve"> </w:t>
      </w:r>
      <w:r>
        <w:t xml:space="preserve">Whether this section may be circulated. Consult the supervisor</w:t>
      </w:r>
      <w:r>
        <w:t xml:space="preserve"> </w:t>
      </w:r>
      <w:r>
        <w:t xml:space="preserve">and IRCC on disclosure before the report leaves your hands, and consider</w:t>
      </w:r>
      <w:r>
        <w:t xml:space="preserve"> </w:t>
      </w:r>
      <w:r>
        <w:t xml:space="preserve">marking it confidential.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4" w:name="X9066e52ffc18efb650d3a4c1fb76446c9e22471"/>
    <w:p>
      <w:pPr>
        <w:pStyle w:val="Heading2"/>
      </w:pPr>
      <w:r>
        <w:t xml:space="preserve">12. Research gaps and the plan for years 2 to 4</w:t>
      </w:r>
    </w:p>
    <w:bookmarkStart w:id="147" w:name="gaps-this-thesis-can-close"/>
    <w:p>
      <w:pPr>
        <w:pStyle w:val="Heading3"/>
      </w:pPr>
      <w:r>
        <w:t xml:space="preserve">12.1 Gaps this thesis can close</w:t>
      </w:r>
    </w:p>
    <w:p>
      <w:pPr>
        <w:pStyle w:val="FirstParagraph"/>
      </w:pPr>
      <w:r>
        <w:rPr>
          <w:bCs/>
          <w:b/>
        </w:rPr>
        <w:t xml:space="preserve">Gap 1: the asymmetry has never been evaluated against a matched baseline.</w:t>
      </w:r>
      <w:r>
        <w:t xml:space="preserve"> </w:t>
      </w:r>
      <w:r>
        <w:t xml:space="preserve">The geometry is derived and simulated [1]. Whether the width reduction costs</w:t>
      </w:r>
      <w:r>
        <w:t xml:space="preserve"> </w:t>
      </w:r>
      <w:r>
        <w:t xml:space="preserve">tracking accuracy, disturbance rejection or yaw authority, and by how much, is</w:t>
      </w:r>
      <w:r>
        <w:t xml:space="preserve"> </w:t>
      </w:r>
      <w:r>
        <w:t xml:space="preserve">unmeasured. A controlled comparison at matched mass, wheel and controller</w:t>
      </w:r>
      <w:r>
        <w:t xml:space="preserve"> </w:t>
      </w:r>
      <w:r>
        <w:t xml:space="preserve">parameters would be the first such result.</w:t>
      </w:r>
    </w:p>
    <w:p>
      <w:pPr>
        <w:pStyle w:val="BodyText"/>
      </w:pPr>
      <w:r>
        <w:rPr>
          <w:bCs/>
          <w:b/>
        </w:rPr>
        <w:t xml:space="preserve">Gap 2: what sensing corridor-width localisation actually requires.</w:t>
      </w:r>
      <w:r>
        <w:t xml:space="preserve"> </w:t>
      </w:r>
      <w:r>
        <w:t xml:space="preserve">This is</w:t>
      </w:r>
      <w:r>
        <w:t xml:space="preserve"> </w:t>
      </w:r>
      <w:r>
        <w:t xml:space="preserve">the gap the year’s work opened, and it is the most defensible thing in this</w:t>
      </w:r>
      <w:r>
        <w:t xml:space="preserve"> </w:t>
      </w:r>
      <w:r>
        <w:t xml:space="preserve">section because it rests on measurement rather than on a literature shortage.</w:t>
      </w:r>
      <w:r>
        <w:t xml:space="preserve"> </w:t>
      </w:r>
      <w:r>
        <w:t xml:space="preserve">The low-cost 2D SLAM literature is built on a sensor tier whose specified</w:t>
      </w:r>
      <w:r>
        <w:t xml:space="preserve"> </w:t>
      </w:r>
      <w:r>
        <w:t xml:space="preserve">accuracy, quantified against a corridor-width error budget, does not close: a</w:t>
      </w:r>
      <w:r>
        <w:t xml:space="preserve"> </w:t>
      </w:r>
      <w:r>
        <w:t xml:space="preserve">triangulation scanner at 2 % of range gives 32 mm at 1.6 m, against a lateral</w:t>
      </w:r>
      <w:r>
        <w:t xml:space="preserve"> </w:t>
      </w:r>
      <w:r>
        <w:t xml:space="preserve">budget of a few centimetres over 10 m. Separately, a substantial fraction of the</w:t>
      </w:r>
      <w:r>
        <w:t xml:space="preserve"> </w:t>
      </w:r>
      <w:r>
        <w:t xml:space="preserve">heading drift this project attributed to physical slip is estimator error</w:t>
      </w:r>
      <w:r>
        <w:t xml:space="preserve"> </w:t>
      </w:r>
      <w:r>
        <w:t xml:space="preserve">recoverable with a gyroscope. The open question is the minimum sensor</w:t>
      </w:r>
      <w:r>
        <w:t xml:space="preserve"> </w:t>
      </w:r>
      <w:r>
        <w:t xml:space="preserve">complement, and its cost, that closes a stated error budget on a platform of</w:t>
      </w:r>
      <w:r>
        <w:t xml:space="preserve"> </w:t>
      </w:r>
      <w:r>
        <w:t xml:space="preserve">this class. That is a question the field answers by convention rather than by</w:t>
      </w:r>
      <w:r>
        <w:t xml:space="preserve"> </w:t>
      </w:r>
      <w:r>
        <w:t xml:space="preserve">measurement.</w:t>
      </w:r>
    </w:p>
    <w:p>
      <w:pPr>
        <w:pStyle w:val="BodyText"/>
      </w:pPr>
      <w:r>
        <w:rPr>
          <w:bCs/>
          <w:b/>
        </w:rPr>
        <w:t xml:space="preserve">Gap 3: slip and odometry models assume symmetric geometry.</w:t>
      </w:r>
      <w:r>
        <w:t xml:space="preserve"> </w:t>
      </w:r>
      <w:r>
        <w:t xml:space="preserve">The empirical</w:t>
      </w:r>
      <w:r>
        <w:t xml:space="preserve"> </w:t>
      </w:r>
      <w:r>
        <w:t xml:space="preserve">drift figures that motivate inertial fusion [2] were measured on symmetric</w:t>
      </w:r>
      <w:r>
        <w:t xml:space="preserve"> </w:t>
      </w:r>
      <w:r>
        <w:t xml:space="preserve">platforms and the standard slip formulation assumes symmetry. Whether per-wheel</w:t>
      </w:r>
      <w:r>
        <w:t xml:space="preserve"> </w:t>
      </w:r>
      <w:r>
        <w:t xml:space="preserve">slip differs systematically between the inner and outer pairs of a non-collinear</w:t>
      </w:r>
      <w:r>
        <w:t xml:space="preserve"> </w:t>
      </w:r>
      <w:r>
        <w:t xml:space="preserve">layout is open, and this platform’s slip residual, derived in §2.1, is the</w:t>
      </w:r>
      <w:r>
        <w:t xml:space="preserve"> </w:t>
      </w:r>
      <w:r>
        <w:t xml:space="preserve">instrument that would answer it.</w:t>
      </w:r>
    </w:p>
    <w:p>
      <w:pPr>
        <w:pStyle w:val="BodyText"/>
      </w:pPr>
      <w:r>
        <w:rPr>
          <w:bCs/>
          <w:b/>
        </w:rPr>
        <w:t xml:space="preserve">Gap 4: costmap semantics degenerate at narrow clearance.</w:t>
      </w:r>
      <w:r>
        <w:t xml:space="preserve"> </w:t>
      </w:r>
      <w:r>
        <w:t xml:space="preserve">Inflation-based</w:t>
      </w:r>
      <w:r>
        <w:t xml:space="preserve"> </w:t>
      </w:r>
      <w:r>
        <w:t xml:space="preserve">planning assumes free space wide enough for the bands from opposing walls not to</w:t>
      </w:r>
      <w:r>
        <w:t xml:space="preserve"> </w:t>
      </w:r>
      <w:r>
        <w:t xml:space="preserve">meet. In a narrow aisle they do. What replaces or supplements inflation in that</w:t>
      </w:r>
      <w:r>
        <w:t xml:space="preserve"> </w:t>
      </w:r>
      <w:r>
        <w:t xml:space="preserve">regime, without losing its computational advantage, is not settled.</w:t>
      </w:r>
    </w:p>
    <w:p>
      <w:pPr>
        <w:pStyle w:val="BodyText"/>
      </w:pPr>
      <w:r>
        <w:rPr>
          <w:bCs/>
          <w:b/>
        </w:rPr>
        <w:t xml:space="preserve">Gap 5: self-occlusion from a tall payload is under-treated.</w:t>
      </w:r>
      <w:r>
        <w:t xml:space="preserve"> </w:t>
      </w:r>
      <w:r>
        <w:t xml:space="preserve">Two-dimensional</w:t>
      </w:r>
      <w:r>
        <w:t xml:space="preserve"> </w:t>
      </w:r>
      <w:r>
        <w:t xml:space="preserve">SLAM literature generally assumes an unobstructed sweep. A robot carrying a mast</w:t>
      </w:r>
      <w:r>
        <w:t xml:space="preserve"> </w:t>
      </w:r>
      <w:r>
        <w:t xml:space="preserve">violates that, and the trade-off between sensor placement, sector masking and</w:t>
      </w:r>
      <w:r>
        <w:t xml:space="preserve"> </w:t>
      </w:r>
      <w:r>
        <w:t xml:space="preserve">accepting reduced coverage has not been characterised quantitatively. This</w:t>
      </w:r>
      <w:r>
        <w:t xml:space="preserve"> </w:t>
      </w:r>
      <w:r>
        <w:t xml:space="preserve">platform now has the measurement (a 90° wedge, 107 of 430 beams) and the</w:t>
      </w:r>
      <w:r>
        <w:t xml:space="preserve"> </w:t>
      </w:r>
      <w:r>
        <w:t xml:space="preserve">mitigation, which is a starting point rather than a result.</w:t>
      </w:r>
    </w:p>
    <w:p>
      <w:pPr>
        <w:pStyle w:val="BodyText"/>
      </w:pPr>
      <w:r>
        <w:rPr>
          <w:bCs/>
          <w:b/>
        </w:rPr>
        <w:t xml:space="preserve">Gap 6: load-dependent dynamics.</w:t>
      </w:r>
      <w:r>
        <w:t xml:space="preserve"> </w:t>
      </w:r>
      <w:r>
        <w:t xml:space="preserve">Cargo changes mass and the position of the</w:t>
      </w:r>
      <w:r>
        <w:t xml:space="preserve"> </w:t>
      </w:r>
      <w:r>
        <w:t xml:space="preserve">centre of mass. Fixed-gain control is not adaptive to this, and whether it needs</w:t>
      </w:r>
      <w:r>
        <w:t xml:space="preserve"> </w:t>
      </w:r>
      <w:r>
        <w:t xml:space="preserve">to be is an empirical question a loaded trajectory-tracking experiment answers.</w:t>
      </w:r>
    </w:p>
    <w:p>
      <w:pPr>
        <w:pStyle w:val="BodyText"/>
      </w:pPr>
      <w:r>
        <w:rPr>
          <w:bCs/>
          <w:b/>
        </w:rPr>
        <w:t xml:space="preserve">Gap 7: wheel-fault tolerance is unexamined for an asymmetric platform, and</w:t>
      </w:r>
      <w:r>
        <w:rPr>
          <w:bCs/>
          <w:b/>
        </w:rPr>
        <w:t xml:space="preserve"> </w:t>
      </w:r>
      <w:r>
        <w:rPr>
          <w:bCs/>
          <w:b/>
        </w:rPr>
        <w:t xml:space="preserve">matters more in a narrow aisle than in the open.</w:t>
      </w:r>
      <w:r>
        <w:t xml:space="preserve"> </w:t>
      </w:r>
      <w:r>
        <w:t xml:space="preserve">Fault-tolerant schemes for</w:t>
      </w:r>
      <w:r>
        <w:t xml:space="preserve"> </w:t>
      </w:r>
      <w:r>
        <w:t xml:space="preserve">four-mecanum-wheel platforms exist and are validated on real hardware,</w:t>
      </w:r>
      <w:r>
        <w:t xml:space="preserve"> </w:t>
      </w:r>
      <w:r>
        <w:t xml:space="preserve">compensating for one or two disabled wheels with adaptive control and</w:t>
      </w:r>
      <w:r>
        <w:t xml:space="preserve"> </w:t>
      </w:r>
      <w:r>
        <w:t xml:space="preserve">navigation functions [21]. Like the adaptive and fuzzy-tuning literature</w:t>
      </w:r>
      <w:r>
        <w:t xml:space="preserve"> </w:t>
      </w:r>
      <w:r>
        <w:t xml:space="preserve">already read [3, 4], that result assumes a symmetric wheel layout; whether the</w:t>
      </w:r>
      <w:r>
        <w:t xml:space="preserve"> </w:t>
      </w:r>
      <w:r>
        <w:t xml:space="preserve">same compensation holds when the two wheel pairs sit at different radii from</w:t>
      </w:r>
      <w:r>
        <w:t xml:space="preserve"> </w:t>
      </w:r>
      <w:r>
        <w:t xml:space="preserve">the centre of mass is open, and this platform has no fault detection or</w:t>
      </w:r>
      <w:r>
        <w:t xml:space="preserve"> </w:t>
      </w:r>
      <w:r>
        <w:t xml:space="preserve">degraded-mode capability at all today. The stakes differ from the open</w:t>
      </w:r>
      <w:r>
        <w:t xml:space="preserve"> </w:t>
      </w:r>
      <w:r>
        <w:t xml:space="preserve">workspace the literature tests in: a four-wheeled platform stalled in a</w:t>
      </w:r>
      <w:r>
        <w:t xml:space="preserve"> </w:t>
      </w:r>
      <w:r>
        <w:t xml:space="preserve">sub-1 m aisle cannot be walked around, and may need to finish its current</w:t>
      </w:r>
      <w:r>
        <w:t xml:space="preserve"> </w:t>
      </w:r>
      <w:r>
        <w:t xml:space="preserve">manoeuvre or reach a clear egress point on three wheels rather than simply</w:t>
      </w:r>
      <w:r>
        <w:t xml:space="preserve"> </w:t>
      </w:r>
      <w:r>
        <w:t xml:space="preserve">stop. Unlike Gaps 1–6, nothing about this has been measured on this platform;</w:t>
      </w:r>
      <w:r>
        <w:t xml:space="preserve"> </w:t>
      </w:r>
      <w:r>
        <w:t xml:space="preserve">it is included as a literature-motivated candidate, not a result in progress.</w:t>
      </w:r>
    </w:p>
    <w:p>
      <w:pPr>
        <w:pStyle w:val="BodyText"/>
      </w:pPr>
      <w:r>
        <w:rPr>
          <w:bCs/>
          <w:b/>
        </w:rPr>
        <w:t xml:space="preserve">Gap 8: nobody couples a packing decision to the reach and tipping envelope of</w:t>
      </w:r>
      <w:r>
        <w:rPr>
          <w:bCs/>
          <w:b/>
        </w:rPr>
        <w:t xml:space="preserve"> </w:t>
      </w:r>
      <w:r>
        <w:rPr>
          <w:bCs/>
          <w:b/>
        </w:rPr>
        <w:t xml:space="preserve">the machine that has to execute it.</w:t>
      </w:r>
      <w:r>
        <w:t xml:space="preserve"> </w:t>
      </w:r>
      <w:r>
        <w:t xml:space="preserve">This is the gap Objective 6 opens, and it</w:t>
      </w:r>
      <w:r>
        <w:t xml:space="preserve"> </w:t>
      </w:r>
      <w:r>
        <w:t xml:space="preserve">is the most defensible of the manipulator-side questions because it does not</w:t>
      </w:r>
      <w:r>
        <w:t xml:space="preserve"> </w:t>
      </w:r>
      <w:r>
        <w:t xml:space="preserve">depend on the arm being built. Three-dimensional bin packing is a mature field,</w:t>
      </w:r>
      <w:r>
        <w:t xml:space="preserve"> </w:t>
      </w:r>
      <w:r>
        <w:t xml:space="preserve">lately dominated by learned policies for the online case, and robotic execution</w:t>
      </w:r>
      <w:r>
        <w:t xml:space="preserve"> </w:t>
      </w:r>
      <w:r>
        <w:t xml:space="preserve">of those decisions is demonstrated — but every such demonstration places items</w:t>
      </w:r>
      <w:r>
        <w:t xml:space="preserve"> </w:t>
      </w:r>
      <w:r>
        <w:t xml:space="preserve">onto an open pallet, into an open box, or onto an open shelf face, where the arm</w:t>
      </w:r>
      <w:r>
        <w:t xml:space="preserve"> </w:t>
      </w:r>
      <w:r>
        <w:t xml:space="preserve">can reach anywhere the packing algorithm might choose. Where stability is</w:t>
      </w:r>
      <w:r>
        <w:t xml:space="preserve"> </w:t>
      </w:r>
      <w:r>
        <w:t xml:space="preserve">considered at all it enters afterwards, as a constraint on a trajectory that has</w:t>
      </w:r>
      <w:r>
        <w:t xml:space="preserve"> </w:t>
      </w:r>
      <w:r>
        <w:t xml:space="preserve">already been planned to a slot that was already chosen. On a narrow-footprint</w:t>
      </w:r>
      <w:r>
        <w:t xml:space="preserve"> </w:t>
      </w:r>
      <w:r>
        <w:t xml:space="preserve">vehicle the constraint binds the other way round: reach and tipping margin</w:t>
      </w:r>
      <w:r>
        <w:t xml:space="preserve"> </w:t>
      </w:r>
      <w:r>
        <w:t xml:space="preserve">decide which slots are executable at all, and a slot the planner likes may be</w:t>
      </w:r>
      <w:r>
        <w:t xml:space="preserve"> </w:t>
      </w:r>
      <w:r>
        <w:t xml:space="preserve">one this chassis cannot serve without leaving its stable envelope. The open</w:t>
      </w:r>
      <w:r>
        <w:t xml:space="preserve"> </w:t>
      </w:r>
      <w:r>
        <w:t xml:space="preserve">question is what a packing algorithm should be told about the executing machine,</w:t>
      </w:r>
      <w:r>
        <w:t xml:space="preserve"> </w:t>
      </w:r>
      <w:r>
        <w:t xml:space="preserve">and how a placement should be re-planned when the machine cannot deliver it.</w:t>
      </w:r>
      <w:r>
        <w:t xml:space="preserve"> </w:t>
      </w:r>
      <w:r>
        <w:t xml:space="preserve">Note that this couples straight back to Gap 2: aiming an arm at a shelf cell</w:t>
      </w:r>
      <w:r>
        <w:t xml:space="preserve"> </w:t>
      </w:r>
      <w:r>
        <w:t xml:space="preserve">presumes the base knows where it is, and the localisation this platform does not</w:t>
      </w:r>
      <w:r>
        <w:t xml:space="preserve"> </w:t>
      </w:r>
      <w:r>
        <w:t xml:space="preserve">yet have is what would supply that.</w:t>
      </w:r>
    </w:p>
    <w:bookmarkEnd w:id="147"/>
    <w:bookmarkStart w:id="151" w:name="plan-by-year"/>
    <w:p>
      <w:pPr>
        <w:pStyle w:val="Heading3"/>
      </w:pPr>
      <w:r>
        <w:t xml:space="preserve">12.2 Plan by year</w:t>
      </w:r>
    </w:p>
    <w:p>
      <w:pPr>
        <w:pStyle w:val="CaptionedFigure"/>
      </w:pPr>
      <w:r>
        <w:drawing>
          <wp:inline>
            <wp:extent cx="5334000" cy="2605602"/>
            <wp:effectExtent b="0" l="0" r="0" t="0"/>
            <wp:docPr descr="Roadmap" title="" id="149" name="Picture"/>
            <a:graphic>
              <a:graphicData uri="http://schemas.openxmlformats.org/drawingml/2006/picture">
                <pic:pic>
                  <pic:nvPicPr>
                    <pic:cNvPr descr="figures/fig28_roadmap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Roadmap</w:t>
      </w:r>
    </w:p>
    <w:p>
      <w:pPr>
        <w:pStyle w:val="BodyText"/>
      </w:pPr>
      <w:r>
        <w:rPr>
          <w:bCs/>
          <w:b/>
        </w:rPr>
        <w:t xml:space="preserve">Figure 28.</w:t>
      </w:r>
      <w:r>
        <w:t xml:space="preserve"> </w:t>
      </w:r>
      <w:r>
        <w:t xml:space="preserve">The five-phase roadmap and current standing. Progress figures are</w:t>
      </w:r>
      <w:r>
        <w:t xml:space="preserve"> </w:t>
      </w:r>
      <w:r>
        <w:t xml:space="preserve">assessed against each phase’s own stated deliverable, not against a schedule.</w:t>
      </w:r>
    </w:p>
    <w:p>
      <w:pPr>
        <w:pStyle w:val="BodyText"/>
      </w:pPr>
      <w:r>
        <w:rPr>
          <w:bCs/>
          <w:b/>
        </w:rPr>
        <w:t xml:space="preserve">Year 2 — close the sensing question, then close the autonomy chain.</w:t>
      </w:r>
    </w:p>
    <w:p>
      <w:pPr>
        <w:pStyle w:val="BodyText"/>
      </w:pPr>
      <w:r>
        <w:t xml:space="preserve">The sequence is short and each step unblocks the next. Procure and mount an</w:t>
      </w:r>
      <w:r>
        <w:t xml:space="preserve"> </w:t>
      </w:r>
      <w:r>
        <w:t xml:space="preserve">inertial sensor, close to the geometric centre so that tangential acceleration</w:t>
      </w:r>
      <w:r>
        <w:t xml:space="preserve"> </w:t>
      </w:r>
      <w:r>
        <w:t xml:space="preserve">mixes minimally into the yaw channel, and quantify how much of the measured</w:t>
      </w:r>
      <w:r>
        <w:t xml:space="preserve"> </w:t>
      </w:r>
      <w:r>
        <w:t xml:space="preserve">phantom yaw it recovers; §8.4 gives a specific number to test against rather</w:t>
      </w:r>
      <w:r>
        <w:t xml:space="preserve"> </w:t>
      </w:r>
      <w:r>
        <w:t xml:space="preserve">than a general expectation. Run plant identification on the bench, which removes</w:t>
      </w:r>
      <w:r>
        <w:t xml:space="preserve"> </w:t>
      </w:r>
      <w:r>
        <w:t xml:space="preserve">the last estimated gain in about 40 seconds. Complete a commissioning drive</w:t>
      </w:r>
      <w:r>
        <w:t xml:space="preserve"> </w:t>
      </w:r>
      <w:r>
        <w:t xml:space="preserve">under the corrected procedure of §8.2 and grade it against the four existing</w:t>
      </w:r>
      <w:r>
        <w:t xml:space="preserve"> </w:t>
      </w:r>
      <w:r>
        <w:t xml:space="preserve">criteria. Save that map, bring up localisation against it, and run the</w:t>
      </w:r>
      <w:r>
        <w:t xml:space="preserve"> </w:t>
      </w:r>
      <w:r>
        <w:t xml:space="preserve">point-and-go sequence that currently works only inside a live session.</w:t>
      </w:r>
    </w:p>
    <w:p>
      <w:pPr>
        <w:pStyle w:val="BodyText"/>
      </w:pPr>
      <w:r>
        <w:t xml:space="preserve">Two experiments are worth running whatever the outcome of that sequence. The</w:t>
      </w:r>
      <w:r>
        <w:t xml:space="preserve"> </w:t>
      </w:r>
      <w:r>
        <w:t xml:space="preserve">first is a sensor comparison: the case against the current LiDAR is now</w:t>
      </w:r>
      <w:r>
        <w:t xml:space="preserve"> </w:t>
      </w:r>
      <w:r>
        <w:t xml:space="preserve">quantitative, and putting a higher-grade scanner on the same routes with the</w:t>
      </w:r>
      <w:r>
        <w:t xml:space="preserve"> </w:t>
      </w:r>
      <w:r>
        <w:t xml:space="preserve">same instruments would convert an inference into a controlled result. The second</w:t>
      </w:r>
      <w:r>
        <w:t xml:space="preserve"> </w:t>
      </w:r>
      <w:r>
        <w:t xml:space="preserve">is the self-occlusion characterisation of Gap 5, which the platform is unusually</w:t>
      </w:r>
      <w:r>
        <w:t xml:space="preserve"> </w:t>
      </w:r>
      <w:r>
        <w:t xml:space="preserve">well placed to do because the mask, the measurement method and the map-grading</w:t>
      </w:r>
      <w:r>
        <w:t xml:space="preserve"> </w:t>
      </w:r>
      <w:r>
        <w:t xml:space="preserve">tools all already exist.</w:t>
      </w:r>
    </w:p>
    <w:p>
      <w:pPr>
        <w:pStyle w:val="BodyText"/>
      </w:pPr>
      <w:r>
        <w:t xml:space="preserve">Publish the platform, its calibration methodology and the instrumentation-fault</w:t>
      </w:r>
      <w:r>
        <w:t xml:space="preserve"> </w:t>
      </w:r>
      <w:r>
        <w:t xml:space="preserve">taxonomy of §10.2 as a systems paper. The cross-checking methodology is a</w:t>
      </w:r>
      <w:r>
        <w:t xml:space="preserve"> </w:t>
      </w:r>
      <w:r>
        <w:t xml:space="preserve">contribution independent of the geometry, and the material for it exists now.</w:t>
      </w:r>
    </w:p>
    <w:p>
      <w:pPr>
        <w:pStyle w:val="BodyText"/>
      </w:pPr>
      <w:r>
        <w:t xml:space="preserve">The manipulator of Objective 6 runs alongside this as design work only, and</w:t>
      </w:r>
      <w:r>
        <w:t xml:space="preserve"> </w:t>
      </w:r>
      <w:r>
        <w:t xml:space="preserve">deliberately does not compete with it for bench time. Two things are worth doing</w:t>
      </w:r>
      <w:r>
        <w:t xml:space="preserve"> </w:t>
      </w:r>
      <w:r>
        <w:t xml:space="preserve">in year 2 and neither needs hardware: re-run the design optimisation against</w:t>
      </w:r>
      <w:r>
        <w:t xml:space="preserve"> </w:t>
      </w:r>
      <w:r>
        <w:t xml:space="preserve">this platform’s measured mass, which is nearly double what that model assumed</w:t>
      </w:r>
      <w:r>
        <w:t xml:space="preserve"> </w:t>
      </w:r>
      <w:r>
        <w:t xml:space="preserve">and therefore moves the tipping margin it found binding; and put the resulting</w:t>
      </w:r>
      <w:r>
        <w:t xml:space="preserve"> </w:t>
      </w:r>
      <w:r>
        <w:t xml:space="preserve">geometry into simulation with CAD-derived inertias. A single-joint bench test is</w:t>
      </w:r>
      <w:r>
        <w:t xml:space="preserve"> </w:t>
      </w:r>
      <w:r>
        <w:t xml:space="preserve">the earliest point at which money is spent, and it should wait behind the</w:t>
      </w:r>
      <w:r>
        <w:t xml:space="preserve"> </w:t>
      </w:r>
      <w:r>
        <w:t xml:space="preserve">localisation sequence above, because an arm that cannot be aimed is not worth</w:t>
      </w:r>
      <w:r>
        <w:t xml:space="preserve"> </w:t>
      </w:r>
      <w:r>
        <w:t xml:space="preserve">actuating.</w:t>
      </w:r>
    </w:p>
    <w:p>
      <w:pPr>
        <w:pStyle w:val="BodyText"/>
      </w:pPr>
      <w:r>
        <w:rPr>
          <w:bCs/>
          <w:b/>
        </w:rPr>
        <w:t xml:space="preserve">Year 3 — the geometry question, and control under load.</w:t>
      </w:r>
    </w:p>
    <w:p>
      <w:pPr>
        <w:pStyle w:val="BodyText"/>
      </w:pPr>
      <w:r>
        <w:t xml:space="preserve">Build the symmetric baseline for Gap 1, in simulation first and on hardware if</w:t>
      </w:r>
      <w:r>
        <w:t xml:space="preserve"> </w:t>
      </w:r>
      <w:r>
        <w:t xml:space="preserve">the wheelbase can be reconfigured without a new chassis, and run matched</w:t>
      </w:r>
      <w:r>
        <w:t xml:space="preserve"> </w:t>
      </w:r>
      <w:r>
        <w:t xml:space="preserve">trajectory-tracking and disturbance-rejection experiments. Characterise</w:t>
      </w:r>
      <w:r>
        <w:t xml:space="preserve"> </w:t>
      </w:r>
      <w:r>
        <w:t xml:space="preserve">per-wheel slip against the fused estimate using the residual of §2.1 to address</w:t>
      </w:r>
      <w:r>
        <w:t xml:space="preserve"> </w:t>
      </w:r>
      <w:r>
        <w:t xml:space="preserve">Gap 3. Instrument the cargo arm’s effect on chassis dynamics under load. Only</w:t>
      </w:r>
      <w:r>
        <w:t xml:space="preserve"> </w:t>
      </w:r>
      <w:r>
        <w:t xml:space="preserve">then compare fixed-gain control against the adaptive and model-based</w:t>
      </w:r>
      <w:r>
        <w:t xml:space="preserve"> </w:t>
      </w:r>
      <w:r>
        <w:t xml:space="preserve">alternatives read this year [3, 4], with the decision criterion stated in</w:t>
      </w:r>
      <w:r>
        <w:t xml:space="preserve"> </w:t>
      </w:r>
      <w:r>
        <w:t xml:space="preserve">advance: if the fixed-gain baseline produces visible imperfection in</w:t>
      </w:r>
      <w:r>
        <w:t xml:space="preserve"> </w:t>
      </w:r>
      <w:r>
        <w:t xml:space="preserve">cargo-handling motion, advance; if not, the simpler controller wins and that is</w:t>
      </w:r>
      <w:r>
        <w:t xml:space="preserve"> </w:t>
      </w:r>
      <w:r>
        <w:t xml:space="preserve">a result.</w:t>
      </w:r>
    </w:p>
    <w:p>
      <w:pPr>
        <w:pStyle w:val="BodyText"/>
      </w:pPr>
      <w:r>
        <w:rPr>
          <w:bCs/>
          <w:b/>
        </w:rPr>
        <w:t xml:space="preserve">Year 4 — application, evaluation and writing.</w:t>
      </w:r>
    </w:p>
    <w:p>
      <w:pPr>
        <w:pStyle w:val="BodyText"/>
      </w:pPr>
      <w:r>
        <w:t xml:space="preserve">Close the dose-based control loop for the UV-C payload, which requires a</w:t>
      </w:r>
      <w:r>
        <w:t xml:space="preserve"> </w:t>
      </w:r>
      <w:r>
        <w:t xml:space="preserve">detector appropriate to 254 nm and a traceable calibration. Demonstrate</w:t>
      </w:r>
      <w:r>
        <w:t xml:space="preserve"> </w:t>
      </w:r>
      <w:r>
        <w:t xml:space="preserve">end-to-end application behaviour in a realistic corridor. Complete whole-system</w:t>
      </w:r>
      <w:r>
        <w:t xml:space="preserve"> </w:t>
      </w:r>
      <w:r>
        <w:t xml:space="preserve">evaluation with success rates, clearance statistics and failure modes, and write</w:t>
      </w:r>
      <w:r>
        <w:t xml:space="preserve"> </w:t>
      </w:r>
      <w:r>
        <w:t xml:space="preserve">up.</w:t>
      </w:r>
    </w:p>
    <w:bookmarkEnd w:id="151"/>
    <w:bookmarkStart w:id="152" w:name="intended-outputs"/>
    <w:p>
      <w:pPr>
        <w:pStyle w:val="Heading3"/>
      </w:pPr>
      <w:r>
        <w:t xml:space="preserve">12.3 Intended outputs</w:t>
      </w:r>
    </w:p>
    <w:p>
      <w:pPr>
        <w:pStyle w:val="FirstParagraph"/>
      </w:pPr>
      <w:r>
        <w:t xml:space="preserve">Three results appear publishable on their own terms, listed in the order the</w:t>
      </w:r>
      <w:r>
        <w:t xml:space="preserve"> </w:t>
      </w:r>
      <w:r>
        <w:t xml:space="preserve">underlying work completes.</w:t>
      </w:r>
    </w:p>
    <w:p>
      <w:pPr>
        <w:pStyle w:val="BodyText"/>
      </w:pPr>
      <w:r>
        <w:t xml:space="preserve">The first is a systems and methods paper covering the platform, its calibration</w:t>
      </w:r>
      <w:r>
        <w:t xml:space="preserve"> </w:t>
      </w:r>
      <w:r>
        <w:t xml:space="preserve">methodology and the fault taxonomy of §10.2. Its contribution is the</w:t>
      </w:r>
      <w:r>
        <w:t xml:space="preserve"> </w:t>
      </w:r>
      <w:r>
        <w:t xml:space="preserve">verification practice rather than the robot: a catalogue of failure modes that</w:t>
      </w:r>
      <w:r>
        <w:t xml:space="preserve"> </w:t>
      </w:r>
      <w:r>
        <w:t xml:space="preserve">produce healthy-looking telemetry, and the cross-subsystem checks that detect</w:t>
      </w:r>
      <w:r>
        <w:t xml:space="preserve"> </w:t>
      </w:r>
      <w:r>
        <w:t xml:space="preserve">each one. That material exists now.</w:t>
      </w:r>
    </w:p>
    <w:p>
      <w:pPr>
        <w:pStyle w:val="BodyText"/>
      </w:pPr>
      <w:r>
        <w:t xml:space="preserve">The second is the sensing result of Gap 2, which is the most novel thing the</w:t>
      </w:r>
      <w:r>
        <w:t xml:space="preserve"> </w:t>
      </w:r>
      <w:r>
        <w:t xml:space="preserve">year produced and the least anticipated. A quantitative account of why a</w:t>
      </w:r>
      <w:r>
        <w:t xml:space="preserve"> </w:t>
      </w:r>
      <w:r>
        <w:t xml:space="preserve">standard low-cost 2D SLAM stack fails at corridor-width tolerances, with the</w:t>
      </w:r>
      <w:r>
        <w:t xml:space="preserve"> </w:t>
      </w:r>
      <w:r>
        <w:t xml:space="preserve">invariance result as its central evidence, would be useful to anyone building on</w:t>
      </w:r>
      <w:r>
        <w:t xml:space="preserve"> </w:t>
      </w:r>
      <w:r>
        <w:t xml:space="preserve">the same sensor tier.</w:t>
      </w:r>
    </w:p>
    <w:p>
      <w:pPr>
        <w:pStyle w:val="BodyText"/>
      </w:pPr>
      <w:r>
        <w:t xml:space="preserve">The third is the controlled comparison of Objective 4, which answers the</w:t>
      </w:r>
      <w:r>
        <w:t xml:space="preserve"> </w:t>
      </w:r>
      <w:r>
        <w:t xml:space="preserve">question the geometry was adopted to settle. It depends on Year 2’s localisation</w:t>
      </w:r>
      <w:r>
        <w:t xml:space="preserve"> </w:t>
      </w:r>
      <w:r>
        <w:t xml:space="preserve">work, because a tracking comparison without a trustworthy pose estimate measures</w:t>
      </w:r>
      <w:r>
        <w:t xml:space="preserve"> </w:t>
      </w:r>
      <w:r>
        <w:t xml:space="preserve">the estimator rather than the geometry.</w:t>
      </w:r>
    </w:p>
    <w:p>
      <w:pPr>
        <w:pStyle w:val="BlockText"/>
      </w:pPr>
      <w:r>
        <w:rPr>
          <w:bCs/>
          <w:b/>
        </w:rPr>
        <w:t xml:space="preserve">[CONFIRM]</w:t>
      </w:r>
      <w:r>
        <w:t xml:space="preserve"> </w:t>
      </w:r>
      <w:r>
        <w:t xml:space="preserve">Target venues, and whether the supervisor expects a conference or</w:t>
      </w:r>
      <w:r>
        <w:t xml:space="preserve"> </w:t>
      </w:r>
      <w:r>
        <w:t xml:space="preserve">journal route. Also whether any part of the UV-C payload work is</w:t>
      </w:r>
      <w:r>
        <w:t xml:space="preserve"> </w:t>
      </w:r>
      <w:r>
        <w:t xml:space="preserve">patent-restricted, since that changes what can be published and when.</w:t>
      </w:r>
    </w:p>
    <w:bookmarkEnd w:id="152"/>
    <w:bookmarkStart w:id="153" w:name="immediate-next-steps"/>
    <w:p>
      <w:pPr>
        <w:pStyle w:val="Heading3"/>
      </w:pPr>
      <w:r>
        <w:t xml:space="preserve">12.4 Immediate next steps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 and integrate the inertial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2, and the phantom-yaw recovery of §8.4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drive under the corrected procedure, 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on a saved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localisation bringup on that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3 on a fixed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identification bench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estimated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the three analysis tools raising false positives on turning drives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Trusting the instruments in year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comparison against a higher-grade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Gap 2 from inference to 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End w:id="154"/>
    <w:bookmarkStart w:id="155" w:name="references"/>
    <w:p>
      <w:pPr>
        <w:pStyle w:val="Heading2"/>
      </w:pPr>
      <w:r>
        <w:t xml:space="preserve">13. References</w:t>
      </w:r>
    </w:p>
    <w:p>
      <w:pPr>
        <w:pStyle w:val="FirstParagraph"/>
      </w:pPr>
      <w:r>
        <w:rPr>
          <w:bCs/>
          <w:b/>
        </w:rPr>
        <w:t xml:space="preserve">Foundational and platform.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An Omnidirectional Asymmetric Mobile Robot for Narrow-Aisle Spaces.</w:t>
      </w:r>
      <w:r>
        <w:t xml:space="preserve"> </w:t>
      </w:r>
      <w:r>
        <w:rPr>
          <w:bCs/>
          <w:b/>
        </w:rPr>
        <w:t xml:space="preserve">[CONFIRM]</w:t>
      </w:r>
      <w:r>
        <w:t xml:space="preserve"> </w:t>
      </w:r>
      <w:r>
        <w:t xml:space="preserve">— full bibliographic details required. Archived in the project</w:t>
      </w:r>
      <w:r>
        <w:t xml:space="preserve"> </w:t>
      </w:r>
      <w:r>
        <w:t xml:space="preserve">documents; the kinematic basis of this platform.</w:t>
      </w:r>
    </w:p>
    <w:p>
      <w:pPr>
        <w:numPr>
          <w:ilvl w:val="0"/>
          <w:numId w:val="1006"/>
        </w:numPr>
        <w:pStyle w:val="Compact"/>
      </w:pPr>
      <w:r>
        <w:t xml:space="preserve">Galati et al. </w:t>
      </w:r>
      <w:r>
        <w:rPr>
          <w:iCs/>
          <w:i/>
        </w:rPr>
        <w:t xml:space="preserve">Adaptive heading correction for mecanum platforms.</w:t>
      </w:r>
      <w:r>
        <w:t xml:space="preserve"> </w:t>
      </w:r>
      <w:r>
        <w:rPr>
          <w:bCs/>
          <w:b/>
        </w:rPr>
        <w:t xml:space="preserve">[CONFIRM]</w:t>
      </w:r>
      <w:r>
        <w:t xml:space="preserve"> </w:t>
      </w:r>
      <w:r>
        <w:t xml:space="preserve">— full citation required. Source of the 4.56°-over-10 m drift</w:t>
      </w:r>
      <w:r>
        <w:t xml:space="preserve"> </w:t>
      </w:r>
      <w:r>
        <w:t xml:space="preserve">figure that motivates Phase 2.</w:t>
      </w:r>
    </w:p>
    <w:p>
      <w:pPr>
        <w:numPr>
          <w:ilvl w:val="0"/>
          <w:numId w:val="1006"/>
        </w:numPr>
        <w:pStyle w:val="Compact"/>
      </w:pPr>
      <w:r>
        <w:t xml:space="preserve">Lin, L.-C., &amp; Shih, H.-Y. (2013). Modeling and adaptive control of an</w:t>
      </w:r>
      <w:r>
        <w:t xml:space="preserve"> </w:t>
      </w:r>
      <w:r>
        <w:t xml:space="preserve">omni-Mecanum-wheeled robot.</w:t>
      </w:r>
      <w:r>
        <w:t xml:space="preserve"> </w:t>
      </w:r>
      <w:r>
        <w:rPr>
          <w:iCs/>
          <w:i/>
        </w:rPr>
        <w:t xml:space="preserve">Intelligent Control and Automation</w:t>
      </w:r>
      <w:r>
        <w:t xml:space="preserve">, 4,</w:t>
      </w:r>
      <w:r>
        <w:t xml:space="preserve"> </w:t>
      </w:r>
      <w:r>
        <w:t xml:space="preserve">166–179. https://doi.org/10.4236/ica.2013.42021</w:t>
      </w:r>
    </w:p>
    <w:p>
      <w:pPr>
        <w:numPr>
          <w:ilvl w:val="0"/>
          <w:numId w:val="1006"/>
        </w:numPr>
        <w:pStyle w:val="Compact"/>
      </w:pPr>
      <w:r>
        <w:t xml:space="preserve">Cao, G., Zhao, X., Ye, C., Yu, S., Li, B., &amp; Jiang, C. (2022). Fuzzy</w:t>
      </w:r>
      <w:r>
        <w:t xml:space="preserve"> </w:t>
      </w:r>
      <w:r>
        <w:t xml:space="preserve">adaptive PID control method for multi-mecanum-wheeled mobile robot.</w:t>
      </w:r>
      <w:r>
        <w:t xml:space="preserve"> </w:t>
      </w:r>
      <w:r>
        <w:rPr>
          <w:iCs/>
          <w:i/>
        </w:rPr>
        <w:t xml:space="preserve">Journal of Mechanical Science and Technology</w:t>
      </w:r>
      <w:r>
        <w:t xml:space="preserve">, 36(4), 2019–2029.</w:t>
      </w:r>
      <w:r>
        <w:t xml:space="preserve"> </w:t>
      </w:r>
      <w:r>
        <w:t xml:space="preserve">https://doi.org/10.1007/s12206-022-0337-x</w:t>
      </w:r>
    </w:p>
    <w:p>
      <w:pPr>
        <w:pStyle w:val="FirstParagraph"/>
      </w:pPr>
      <w:r>
        <w:rPr>
          <w:bCs/>
          <w:b/>
        </w:rPr>
        <w:t xml:space="preserve">SLAM.</w:t>
      </w:r>
    </w:p>
    <w:p>
      <w:pPr>
        <w:numPr>
          <w:ilvl w:val="0"/>
          <w:numId w:val="1007"/>
        </w:numPr>
        <w:pStyle w:val="Compact"/>
      </w:pPr>
      <w:r>
        <w:t xml:space="preserve">Macenski, S., &amp; Jambrečić, I. (2021). SLAM Toolbox: SLAM for the dynamic</w:t>
      </w:r>
      <w:r>
        <w:t xml:space="preserve"> </w:t>
      </w:r>
      <w:r>
        <w:t xml:space="preserve">world.</w:t>
      </w:r>
      <w:r>
        <w:t xml:space="preserve"> </w:t>
      </w:r>
      <w:r>
        <w:rPr>
          <w:iCs/>
          <w:i/>
        </w:rPr>
        <w:t xml:space="preserve">Journal of Open Source Software</w:t>
      </w:r>
      <w:r>
        <w:t xml:space="preserve">, 6(61), 2783.</w:t>
      </w:r>
      <w:r>
        <w:t xml:space="preserve"> </w:t>
      </w:r>
      <w:r>
        <w:t xml:space="preserve">https://doi.org/10.21105/joss.02783</w:t>
      </w:r>
    </w:p>
    <w:p>
      <w:pPr>
        <w:numPr>
          <w:ilvl w:val="0"/>
          <w:numId w:val="1007"/>
        </w:numPr>
        <w:pStyle w:val="Compact"/>
      </w:pPr>
      <w:r>
        <w:t xml:space="preserve">Grisetti, G., Stachniss, C., &amp; Burgard, W. (2007). Improved techniques for</w:t>
      </w:r>
      <w:r>
        <w:t xml:space="preserve"> </w:t>
      </w:r>
      <w:r>
        <w:t xml:space="preserve">grid mapping with Rao-Blackwellized particle filters.</w:t>
      </w:r>
      <w:r>
        <w:t xml:space="preserve"> </w:t>
      </w:r>
      <w:r>
        <w:rPr>
          <w:iCs/>
          <w:i/>
        </w:rPr>
        <w:t xml:space="preserve">IEEE Transactions on</w:t>
      </w:r>
      <w:r>
        <w:rPr>
          <w:iCs/>
          <w:i/>
        </w:rPr>
        <w:t xml:space="preserve"> </w:t>
      </w:r>
      <w:r>
        <w:rPr>
          <w:iCs/>
          <w:i/>
        </w:rPr>
        <w:t xml:space="preserve">Robotics</w:t>
      </w:r>
      <w:r>
        <w:t xml:space="preserve">, 23(1), 34–46. https://doi.org/10.1109/tro.2006.889486</w:t>
      </w:r>
    </w:p>
    <w:p>
      <w:pPr>
        <w:numPr>
          <w:ilvl w:val="0"/>
          <w:numId w:val="1007"/>
        </w:numPr>
        <w:pStyle w:val="Compact"/>
      </w:pPr>
      <w:r>
        <w:t xml:space="preserve">Sugiura, K., &amp; Matsutani, H. (2021). An FPGA acceleration and optimization</w:t>
      </w:r>
      <w:r>
        <w:t xml:space="preserve"> </w:t>
      </w:r>
      <w:r>
        <w:t xml:space="preserve">techniques for 2D LiDAR SLAM algorithm.</w:t>
      </w:r>
      <w:r>
        <w:t xml:space="preserve"> </w:t>
      </w:r>
      <w:r>
        <w:rPr>
          <w:iCs/>
          <w:i/>
        </w:rPr>
        <w:t xml:space="preserve">IEICE Transactions on Information</w:t>
      </w:r>
      <w:r>
        <w:rPr>
          <w:iCs/>
          <w:i/>
        </w:rPr>
        <w:t xml:space="preserve"> </w:t>
      </w:r>
      <w:r>
        <w:rPr>
          <w:iCs/>
          <w:i/>
        </w:rPr>
        <w:t xml:space="preserve">and Systems</w:t>
      </w:r>
      <w:r>
        <w:t xml:space="preserve">, E104.D(6), 789–800.</w:t>
      </w:r>
      <w:r>
        <w:t xml:space="preserve"> </w:t>
      </w:r>
      <w:r>
        <w:t xml:space="preserve">https://doi.org/10.1587/transinf.2020edp7174</w:t>
      </w:r>
    </w:p>
    <w:p>
      <w:pPr>
        <w:numPr>
          <w:ilvl w:val="0"/>
          <w:numId w:val="1007"/>
        </w:numPr>
        <w:pStyle w:val="Compact"/>
      </w:pPr>
      <w:r>
        <w:t xml:space="preserve">Sugiura, K., &amp; Matsutani, H. (2022). A universal LiDAR SLAM accelerator</w:t>
      </w:r>
      <w:r>
        <w:t xml:space="preserve"> </w:t>
      </w:r>
      <w:r>
        <w:t xml:space="preserve">system on low-cost FPGA.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10, 26931–26947.</w:t>
      </w:r>
      <w:r>
        <w:t xml:space="preserve"> </w:t>
      </w:r>
      <w:r>
        <w:t xml:space="preserve">https://doi.org/10.1109/access.2022.3157822</w:t>
      </w:r>
    </w:p>
    <w:p>
      <w:pPr>
        <w:numPr>
          <w:ilvl w:val="0"/>
          <w:numId w:val="1007"/>
        </w:numPr>
        <w:pStyle w:val="Compact"/>
      </w:pPr>
      <w:r>
        <w:t xml:space="preserve">Laksono, P. S., &amp; Kusuma, T. M. (2022). Performance analysis of Hector SLAM</w:t>
      </w:r>
      <w:r>
        <w:t xml:space="preserve"> </w:t>
      </w:r>
      <w:r>
        <w:t xml:space="preserve">and GMapping for mobile robot navigation.</w:t>
      </w:r>
      <w:r>
        <w:t xml:space="preserve"> </w:t>
      </w:r>
      <w:r>
        <w:rPr>
          <w:iCs/>
          <w:i/>
        </w:rPr>
        <w:t xml:space="preserve">Jurnal Ilmiah Teknologi dan</w:t>
      </w:r>
      <w:r>
        <w:rPr>
          <w:iCs/>
          <w:i/>
        </w:rPr>
        <w:t xml:space="preserve"> </w:t>
      </w:r>
      <w:r>
        <w:rPr>
          <w:iCs/>
          <w:i/>
        </w:rPr>
        <w:t xml:space="preserve">Rekayasa</w:t>
      </w:r>
      <w:r>
        <w:t xml:space="preserve">, 27(2), 144–153. https://doi.org/10.35760/tr.2022.v27i2.6063</w:t>
      </w:r>
    </w:p>
    <w:p>
      <w:pPr>
        <w:numPr>
          <w:ilvl w:val="0"/>
          <w:numId w:val="1007"/>
        </w:numPr>
        <w:pStyle w:val="Compact"/>
      </w:pPr>
      <w:r>
        <w:t xml:space="preserve">Kohlbrecher, S., von Stryk, O., Meyer, J., &amp; Klingauf, U. (2011). A flexible</w:t>
      </w:r>
      <w:r>
        <w:t xml:space="preserve"> </w:t>
      </w:r>
      <w:r>
        <w:t xml:space="preserve">and scalable SLAM system with full 3D motion estimation.</w:t>
      </w:r>
      <w:r>
        <w:t xml:space="preserve"> </w:t>
      </w:r>
      <w:r>
        <w:rPr>
          <w:iCs/>
          <w:i/>
        </w:rPr>
        <w:t xml:space="preserve">SSRR 2011</w:t>
      </w:r>
      <w:r>
        <w:t xml:space="preserve">,</w:t>
      </w:r>
      <w:r>
        <w:t xml:space="preserve"> </w:t>
      </w:r>
      <w:r>
        <w:t xml:space="preserve">155–160. https://doi.org/10.1109/ssrr.2011.6106777</w:t>
      </w:r>
    </w:p>
    <w:p>
      <w:pPr>
        <w:numPr>
          <w:ilvl w:val="0"/>
          <w:numId w:val="1007"/>
        </w:numPr>
        <w:pStyle w:val="Compact"/>
      </w:pPr>
      <w:r>
        <w:t xml:space="preserve">Heß, W., Kohler, D., Rapp, H., &amp; Andor, D. (2016). Real-time loop closure in</w:t>
      </w:r>
      <w:r>
        <w:t xml:space="preserve"> </w:t>
      </w:r>
      <w:r>
        <w:t xml:space="preserve">2D LIDAR SLAM.</w:t>
      </w:r>
      <w:r>
        <w:t xml:space="preserve"> </w:t>
      </w:r>
      <w:r>
        <w:rPr>
          <w:iCs/>
          <w:i/>
        </w:rPr>
        <w:t xml:space="preserve">ICRA 2016</w:t>
      </w:r>
      <w:r>
        <w:t xml:space="preserve">, 1271–1278.</w:t>
      </w:r>
      <w:r>
        <w:t xml:space="preserve"> </w:t>
      </w:r>
      <w:r>
        <w:t xml:space="preserve">https://doi.org/10.1109/icra.2016.7487258</w:t>
      </w:r>
    </w:p>
    <w:p>
      <w:pPr>
        <w:numPr>
          <w:ilvl w:val="0"/>
          <w:numId w:val="1007"/>
        </w:numPr>
        <w:pStyle w:val="Compact"/>
      </w:pPr>
      <w:r>
        <w:t xml:space="preserve">Konolige, K., Grisetti, G., Kümmerle, R., Burgard, W., Limketkai, B., &amp;</w:t>
      </w:r>
      <w:r>
        <w:t xml:space="preserve"> </w:t>
      </w:r>
      <w:r>
        <w:t xml:space="preserve">Vincent, R. (2010). Efficient sparse pose adjustment for 2D mapping.</w:t>
      </w:r>
      <w:r>
        <w:t xml:space="preserve"> </w:t>
      </w:r>
      <w:r>
        <w:rPr>
          <w:iCs/>
          <w:i/>
        </w:rPr>
        <w:t xml:space="preserve">IROS 2010</w:t>
      </w:r>
      <w:r>
        <w:t xml:space="preserve">, 22–29. https://doi.org/10.1109/iros.2010.5649043</w:t>
      </w:r>
    </w:p>
    <w:p>
      <w:pPr>
        <w:numPr>
          <w:ilvl w:val="0"/>
          <w:numId w:val="1007"/>
        </w:numPr>
        <w:pStyle w:val="Compact"/>
      </w:pPr>
      <w:r>
        <w:t xml:space="preserve">Censi, A. (2008). An ICP variant using a point-to-line metric.</w:t>
      </w:r>
      <w:r>
        <w:t xml:space="preserve"> </w:t>
      </w:r>
      <w:r>
        <w:rPr>
          <w:iCs/>
          <w:i/>
        </w:rPr>
        <w:t xml:space="preserve">ICRA 2008</w:t>
      </w:r>
      <w:r>
        <w:t xml:space="preserve">,</w:t>
      </w:r>
      <w:r>
        <w:t xml:space="preserve"> </w:t>
      </w:r>
      <w:r>
        <w:t xml:space="preserve">19–25. https://doi.org/10.1109/robot.2008.4543181</w:t>
      </w:r>
    </w:p>
    <w:p>
      <w:pPr>
        <w:numPr>
          <w:ilvl w:val="0"/>
          <w:numId w:val="1007"/>
        </w:numPr>
        <w:pStyle w:val="Compact"/>
      </w:pPr>
      <w:r>
        <w:t xml:space="preserve">Grisetti, G., Kümmerle, R., &amp; Stachniss, C. (2010). A tutorial on</w:t>
      </w:r>
      <w:r>
        <w:t xml:space="preserve"> </w:t>
      </w:r>
      <w:r>
        <w:t xml:space="preserve">graph-based SLAM.</w:t>
      </w:r>
      <w:r>
        <w:t xml:space="preserve"> </w:t>
      </w:r>
      <w:r>
        <w:rPr>
          <w:iCs/>
          <w:i/>
        </w:rPr>
        <w:t xml:space="preserve">IEEE Intelligent Transportation Systems Magazine</w:t>
      </w:r>
      <w:r>
        <w:t xml:space="preserve">, 2(4),</w:t>
      </w:r>
      <w:r>
        <w:t xml:space="preserve"> </w:t>
      </w:r>
      <w:r>
        <w:t xml:space="preserve">31–43. https://doi.org/10.1109/mits.2010.939925</w:t>
      </w:r>
    </w:p>
    <w:p>
      <w:pPr>
        <w:numPr>
          <w:ilvl w:val="0"/>
          <w:numId w:val="1007"/>
        </w:numPr>
        <w:pStyle w:val="Compact"/>
      </w:pPr>
      <w:r>
        <w:t xml:space="preserve">Moravec, H., &amp; Elfes, A. (1985). High resolution maps from wide angle sonar.</w:t>
      </w:r>
      <w:r>
        <w:t xml:space="preserve"> </w:t>
      </w:r>
      <w:r>
        <w:rPr>
          <w:iCs/>
          <w:i/>
        </w:rPr>
        <w:t xml:space="preserve">ICRA 1985</w:t>
      </w:r>
      <w:r>
        <w:t xml:space="preserve">, 116–121. https://doi.org/10.1109/robot.1985.1087316</w:t>
      </w:r>
    </w:p>
    <w:p>
      <w:pPr>
        <w:pStyle w:val="FirstParagraph"/>
      </w:pPr>
      <w:r>
        <w:rPr>
          <w:bCs/>
          <w:b/>
        </w:rPr>
        <w:t xml:space="preserve">Navigation.</w:t>
      </w:r>
    </w:p>
    <w:p>
      <w:pPr>
        <w:numPr>
          <w:ilvl w:val="0"/>
          <w:numId w:val="1008"/>
        </w:numPr>
        <w:pStyle w:val="Compact"/>
      </w:pPr>
      <w:r>
        <w:t xml:space="preserve">Macenski, S., Martín, F., White, R., &amp; Ginés Clavero, J. (2020). The</w:t>
      </w:r>
      <w:r>
        <w:t xml:space="preserve"> </w:t>
      </w:r>
      <w:r>
        <w:t xml:space="preserve">Marathon 2: A navigation system.</w:t>
      </w:r>
      <w:r>
        <w:t xml:space="preserve"> </w:t>
      </w:r>
      <w:r>
        <w:rPr>
          <w:iCs/>
          <w:i/>
        </w:rPr>
        <w:t xml:space="preserve">IROS 2020</w:t>
      </w:r>
      <w:r>
        <w:t xml:space="preserve">.</w:t>
      </w:r>
      <w:r>
        <w:t xml:space="preserve"> </w:t>
      </w:r>
      <w:r>
        <w:t xml:space="preserve">https://doi.org/10.48550/arxiv.2003.00368</w:t>
      </w:r>
    </w:p>
    <w:p>
      <w:pPr>
        <w:numPr>
          <w:ilvl w:val="0"/>
          <w:numId w:val="1008"/>
        </w:numPr>
        <w:pStyle w:val="Compact"/>
      </w:pPr>
      <w:r>
        <w:t xml:space="preserve">Lu, D. V., Hershberger, D., &amp; Smart, W. D. (2014). Layered costmaps for</w:t>
      </w:r>
      <w:r>
        <w:t xml:space="preserve"> </w:t>
      </w:r>
      <w:r>
        <w:t xml:space="preserve">context-sensitive navigation.</w:t>
      </w:r>
      <w:r>
        <w:t xml:space="preserve"> </w:t>
      </w:r>
      <w:r>
        <w:rPr>
          <w:iCs/>
          <w:i/>
        </w:rPr>
        <w:t xml:space="preserve">IROS 2014</w:t>
      </w:r>
      <w:r>
        <w:t xml:space="preserve">, 709–715.</w:t>
      </w:r>
      <w:r>
        <w:t xml:space="preserve"> </w:t>
      </w:r>
      <w:r>
        <w:t xml:space="preserve">https://doi.org/10.1109/iros.2014.6942636</w:t>
      </w:r>
    </w:p>
    <w:p>
      <w:pPr>
        <w:numPr>
          <w:ilvl w:val="0"/>
          <w:numId w:val="1008"/>
        </w:numPr>
        <w:pStyle w:val="Compact"/>
      </w:pPr>
      <w:r>
        <w:t xml:space="preserve">Fox, D., Burgard, W., &amp; Thrun, S. (1997). The dynamic window approach to</w:t>
      </w:r>
      <w:r>
        <w:t xml:space="preserve"> </w:t>
      </w:r>
      <w:r>
        <w:t xml:space="preserve">collision avoidance.</w:t>
      </w:r>
      <w:r>
        <w:t xml:space="preserve"> </w:t>
      </w:r>
      <w:r>
        <w:rPr>
          <w:iCs/>
          <w:i/>
        </w:rPr>
        <w:t xml:space="preserve">IEEE Robotics &amp; Automation Magazine</w:t>
      </w:r>
      <w:r>
        <w:t xml:space="preserve">, 4(1), 23–33.</w:t>
      </w:r>
      <w:r>
        <w:t xml:space="preserve"> </w:t>
      </w:r>
      <w:r>
        <w:t xml:space="preserve">https://doi.org/10.1109/100.580977</w:t>
      </w:r>
    </w:p>
    <w:p>
      <w:pPr>
        <w:numPr>
          <w:ilvl w:val="0"/>
          <w:numId w:val="1008"/>
        </w:numPr>
        <w:pStyle w:val="Compact"/>
      </w:pPr>
      <w:r>
        <w:t xml:space="preserve">Li, X., Liu, F., &amp; Liu, J. (2017). Obstacle avoidance for mobile robot based</w:t>
      </w:r>
      <w:r>
        <w:t xml:space="preserve"> </w:t>
      </w:r>
      <w:r>
        <w:t xml:space="preserve">on improved dynamic window approach.</w:t>
      </w:r>
      <w:r>
        <w:t xml:space="preserve"> </w:t>
      </w:r>
      <w:r>
        <w:rPr>
          <w:iCs/>
          <w:i/>
        </w:rPr>
        <w:t xml:space="preserve">Turkish Journal of Electrical</w:t>
      </w:r>
      <w:r>
        <w:rPr>
          <w:iCs/>
          <w:i/>
        </w:rPr>
        <w:t xml:space="preserve"> </w:t>
      </w:r>
      <w:r>
        <w:rPr>
          <w:iCs/>
          <w:i/>
        </w:rPr>
        <w:t xml:space="preserve">Engineering &amp; Computer Sciences</w:t>
      </w:r>
      <w:r>
        <w:t xml:space="preserve">, 25, 666–676.</w:t>
      </w:r>
      <w:r>
        <w:t xml:space="preserve"> </w:t>
      </w:r>
      <w:r>
        <w:t xml:space="preserve">https://doi.org/10.3906/elk-1504-194</w:t>
      </w:r>
    </w:p>
    <w:p>
      <w:pPr>
        <w:numPr>
          <w:ilvl w:val="0"/>
          <w:numId w:val="1008"/>
        </w:numPr>
        <w:pStyle w:val="Compact"/>
      </w:pPr>
      <w:r>
        <w:t xml:space="preserve">Williams, G., Drews, P., Goldfain, B., Rehg, J. M., &amp; Theodorou, E. A.</w:t>
      </w:r>
      <w:r>
        <w:t xml:space="preserve"> </w:t>
      </w:r>
      <w:r>
        <w:t xml:space="preserve">(2018). Information-theoretic model predictive control: theory and</w:t>
      </w:r>
      <w:r>
        <w:t xml:space="preserve"> </w:t>
      </w:r>
      <w:r>
        <w:t xml:space="preserve">applications to autonomous driving.</w:t>
      </w:r>
      <w:r>
        <w:t xml:space="preserve"> </w:t>
      </w:r>
      <w:r>
        <w:rPr>
          <w:iCs/>
          <w:i/>
        </w:rPr>
        <w:t xml:space="preserve">IEEE Transactions on Robotics</w:t>
      </w:r>
      <w:r>
        <w:t xml:space="preserve">, 34(6),</w:t>
      </w:r>
      <w:r>
        <w:t xml:space="preserve"> </w:t>
      </w:r>
      <w:r>
        <w:t xml:space="preserve">1603–1622. https://doi.org/10.1109/tro.2018.2865891</w:t>
      </w:r>
    </w:p>
    <w:p>
      <w:pPr>
        <w:pStyle w:val="FirstParagraph"/>
      </w:pPr>
      <w:r>
        <w:rPr>
          <w:bCs/>
          <w:b/>
        </w:rPr>
        <w:t xml:space="preserve">Fault tolerance.</w:t>
      </w:r>
    </w:p>
    <w:p>
      <w:pPr>
        <w:numPr>
          <w:ilvl w:val="0"/>
          <w:numId w:val="1009"/>
        </w:numPr>
        <w:pStyle w:val="Compact"/>
      </w:pPr>
      <w:r>
        <w:t xml:space="preserve">Vlantis, P., Bechlioulis, C. P., Karras, G., Fourlas, G., &amp; Kyriakopoulos,</w:t>
      </w:r>
      <w:r>
        <w:t xml:space="preserve"> </w:t>
      </w:r>
      <w:r>
        <w:t xml:space="preserve">K. J. (2016). Fault tolerant control for omni-directional mobile platforms</w:t>
      </w:r>
      <w:r>
        <w:t xml:space="preserve"> </w:t>
      </w:r>
      <w:r>
        <w:t xml:space="preserve">with 4 mecanum wheels.</w:t>
      </w:r>
      <w:r>
        <w:t xml:space="preserve"> </w:t>
      </w:r>
      <w:r>
        <w:rPr>
          <w:iCs/>
          <w:i/>
        </w:rPr>
        <w:t xml:space="preserve">2016 IEEE International Conference on Robotics and</w:t>
      </w:r>
      <w:r>
        <w:rPr>
          <w:iCs/>
          <w:i/>
        </w:rPr>
        <w:t xml:space="preserve"> </w:t>
      </w:r>
      <w:r>
        <w:rPr>
          <w:iCs/>
          <w:i/>
        </w:rPr>
        <w:t xml:space="preserve">Automation (ICRA)</w:t>
      </w:r>
      <w:r>
        <w:t xml:space="preserve">, 2395–2400. https://doi.org/10.1109/icra.2016.7487389</w:t>
      </w:r>
    </w:p>
    <w:p>
      <w:pPr>
        <w:pStyle w:val="FirstParagraph"/>
      </w:pPr>
      <w:r>
        <w:t xml:space="preserve">References 3–21 were retrieved from the publication record and checked for</w:t>
      </w:r>
      <w:r>
        <w:t xml:space="preserve"> </w:t>
      </w:r>
      <w:r>
        <w:t xml:space="preserve">retractions. References 1–2 are held in the project’s document archive and need</w:t>
      </w:r>
      <w:r>
        <w:t xml:space="preserve"> </w:t>
      </w:r>
      <w:r>
        <w:t xml:space="preserve">their full bibliographic details recovered before submission.</w:t>
      </w:r>
    </w:p>
    <w:p>
      <w:r>
        <w:pict>
          <v:rect style="width:0;height:1.5pt" o:hralign="center" o:hrstd="t" o:hr="t"/>
        </w:pict>
      </w:r>
    </w:p>
    <w:bookmarkEnd w:id="155"/>
    <w:bookmarkStart w:id="166" w:name="appendices"/>
    <w:p>
      <w:pPr>
        <w:pStyle w:val="Heading2"/>
      </w:pPr>
      <w:r>
        <w:t xml:space="preserve">14. Appendices</w:t>
      </w:r>
    </w:p>
    <w:bookmarkStart w:id="156" w:name="Xdb89188ad1f2e125ca9a73aa635832c6617a520"/>
    <w:p>
      <w:pPr>
        <w:pStyle w:val="Heading3"/>
      </w:pPr>
      <w:r>
        <w:t xml:space="preserve">Appendix A — Controller parameters as compiled</w:t>
      </w:r>
    </w:p>
    <w:p>
      <w:pPr>
        <w:pStyle w:val="SourceCode"/>
      </w:pPr>
      <w:r>
        <w:rPr>
          <w:rStyle w:val="VerbatimChar"/>
        </w:rPr>
        <w:t xml:space="preserve">ENCODER_CPR = {186264, 186264, 93132, 93132}   // FR FL | RR RL</w:t>
      </w:r>
      <w:r>
        <w:br/>
      </w:r>
      <w:r>
        <w:rPr>
          <w:rStyle w:val="VerbatimChar"/>
        </w:rPr>
        <w:t xml:space="preserve">Kff         = { 37.3,   38.4,   38.3,  38.0}   // PWM per rad/s, air</w:t>
      </w:r>
      <w:r>
        <w:br/>
      </w:r>
      <w:r>
        <w:rPr>
          <w:rStyle w:val="VerbatimChar"/>
        </w:rPr>
        <w:t xml:space="preserve">Kstat       = {  8.0,    8.0,    8.0,   8.0}   // PWM breakaway</w:t>
      </w:r>
      <w:r>
        <w:br/>
      </w:r>
      <w:r>
        <w:rPr>
          <w:rStyle w:val="VerbatimChar"/>
        </w:rPr>
        <w:t xml:space="preserve">Kp = 45      Ki = 250     Kd = 0.5             // 100 Hz loop</w:t>
      </w:r>
      <w:r>
        <w:br/>
      </w:r>
      <w:r>
        <w:rPr>
          <w:rStyle w:val="VerbatimChar"/>
        </w:rPr>
        <w:t xml:space="preserve">max_wheel_speed = 5.20 rad/s                   // AIR value</w:t>
      </w:r>
      <w:r>
        <w:br/>
      </w:r>
      <w:r>
        <w:rPr>
          <w:rStyle w:val="VerbatimChar"/>
        </w:rPr>
        <w:t xml:space="preserve">max_wheel_accel = 12.0 rad/s²</w:t>
      </w:r>
      <w:r>
        <w:br/>
      </w:r>
      <w:r>
        <w:rPr>
          <w:rStyle w:val="VerbatimChar"/>
        </w:rPr>
        <w:t xml:space="preserve">velocity filter alpha = 0.4    minimum output = 5</w:t>
      </w:r>
    </w:p>
    <w:p>
      <w:pPr>
        <w:pStyle w:val="FirstParagraph"/>
      </w:pPr>
      <w:r>
        <w:t xml:space="preserve">Every gain except</w:t>
      </w:r>
      <w:r>
        <w:t xml:space="preserve"> </w:t>
      </w:r>
      <w:r>
        <w:rPr>
          <w:rStyle w:val="VerbatimChar"/>
        </w:rPr>
        <w:t xml:space="preserve">Kp</w:t>
      </w:r>
      <w:r>
        <w:t xml:space="preserve"> </w:t>
      </w:r>
      <w:r>
        <w:t xml:space="preserve">is derived from measured data;</w:t>
      </w:r>
      <w:r>
        <w:t xml:space="preserve"> </w:t>
      </w:r>
      <w:r>
        <w:rPr>
          <w:rStyle w:val="VerbatimChar"/>
        </w:rPr>
        <w:t xml:space="preserve">Kp</w:t>
      </w:r>
      <w:r>
        <w:t xml:space="preserve"> </w:t>
      </w:r>
      <w:r>
        <w:t xml:space="preserve">assumes an unmeasured</w:t>
      </w:r>
      <w:r>
        <w:t xml:space="preserve"> </w:t>
      </w:r>
      <w:r>
        <w:t xml:space="preserve">plant time constant. Measured ground-load feedforward is 24 % above these air</w:t>
      </w:r>
      <w:r>
        <w:t xml:space="preserve"> </w:t>
      </w:r>
      <w:r>
        <w:t xml:space="preserve">values (§6.4), which is the correction to apply when the gains are refitted.</w:t>
      </w:r>
    </w:p>
    <w:bookmarkEnd w:id="156"/>
    <w:bookmarkStart w:id="157" w:name="appendix-b-derived-geometric-constants"/>
    <w:p>
      <w:pPr>
        <w:pStyle w:val="Heading3"/>
      </w:pPr>
      <w:r>
        <w:t xml:space="preserve">Appendix B — Derived geometric constants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 wheel longitudinal distance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0.403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wheel longitudinal distance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0.333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 track width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0.15769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radius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0.0762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 yaw lever arm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0.5607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yaw lever arm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0.4907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Footprint for collision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× 0.48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Inscribed radius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0.24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Circumscribed radius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i</m:t>
                  </m:r>
                  <m:r>
                    <m:t>r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0.61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Padded footprint corner from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In-place rotation clearance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0.87 m in every direction</w:t>
            </w:r>
          </w:p>
        </w:tc>
      </w:tr>
    </w:tbl>
    <w:bookmarkEnd w:id="157"/>
    <w:bookmarkStart w:id="158" w:name="X82c92d96f2f3cafb2447e2b0284e0f81799bb7a"/>
    <w:p>
      <w:pPr>
        <w:pStyle w:val="Heading3"/>
      </w:pPr>
      <w:r>
        <w:t xml:space="preserve">Appendix C — Acceptance gates and their current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pending file hashed on arrival; every changed parameter confirmed on the live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correction &gt; 0.30 m; largest heading step &lt; 10°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  <w:r>
              <w:t xml:space="preserve"> </w:t>
            </w:r>
            <w:r>
              <w:t xml:space="preserve">at 0.202 m and 4.57°, on a shorter test than the gate specifies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loop ≥ 15 Hz sustained; no transform-extrapolation errors in five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  <w:r>
              <w:t xml:space="preserve">, measured at 7.5–13.7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not folded; doubled walls &lt; 1.0 %; unknown &lt; 50 %; return to mark &lt; 0.15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of four met, once</w:t>
            </w:r>
            <w:r>
              <w:t xml:space="preserve"> </w:t>
            </w:r>
            <w:r>
              <w:t xml:space="preserve">(0.085 m return)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 reaches active on a saved map; pose covariance converges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consecutive tapped goals, each within 0.15 m / 10° measured on the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met</w:t>
            </w:r>
            <w:r>
              <w:t xml:space="preserve"> </w:t>
            </w:r>
            <w:r>
              <w:t xml:space="preserve">on a live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taught locations recalled after a full power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executed</w:t>
            </w:r>
          </w:p>
        </w:tc>
      </w:tr>
    </w:tbl>
    <w:bookmarkEnd w:id="158"/>
    <w:bookmarkStart w:id="159" w:name="appendix-d-defect-register-by-category"/>
    <w:p>
      <w:pPr>
        <w:pStyle w:val="Heading3"/>
      </w:pPr>
      <w:r>
        <w:t xml:space="preserve">Appendix D — Defect register, by category</w:t>
      </w:r>
    </w:p>
    <w:p>
      <w:pPr>
        <w:pStyle w:val="FirstParagraph"/>
      </w:pPr>
      <w:r>
        <w:t xml:space="preserve">Eighty-two distinct root-caused defects are documented across</w:t>
      </w:r>
      <w:r>
        <w:t xml:space="preserve"> </w:t>
      </w:r>
      <w:r>
        <w:rPr>
          <w:rStyle w:val="VerbatimChar"/>
        </w:rPr>
        <w:t xml:space="preserve">docs/Research_Journal.md</w:t>
      </w:r>
      <w:r>
        <w:t xml:space="preserve">. They are grouped here by where they lived. The</w:t>
      </w:r>
      <w:r>
        <w:t xml:space="preserve"> </w:t>
      </w:r>
      <w:r>
        <w:t xml:space="preserve">section numbers in this table belong to</w:t>
      </w:r>
      <w:r>
        <w:t xml:space="preserve"> </w:t>
      </w:r>
      <w:r>
        <w:rPr>
          <w:bCs/>
          <w:b/>
        </w:rPr>
        <w:t xml:space="preserve">that document</w:t>
      </w:r>
      <w:r>
        <w:t xml:space="preserve">, not to this report,</w:t>
      </w:r>
      <w:r>
        <w:t xml:space="preserve"> </w:t>
      </w:r>
      <w:r>
        <w:t xml:space="preserve">and are the entry point for the detail.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2 node and launch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best-effort publisher against reliable subscriber (§13.4); telemetry parameter defaulting off, so the odometry transform never published (§16.9); duplicate node instances doubling the relay rate (§16.8); a second publisher of a transform another node owns (§17.14); the launch topology that made localisation structurally impossible (§17.49)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configuration and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footprint declared smaller than the machine (§17.6); a service timeout whose unit is milliseconds, set to five (§17.23); progress checker measuring position only, on rotation-only goals (§17.21); inflation radius below the circumscribed radius (§17.23)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constants and control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CPR from a different motor, a factor of 22.5 (§7.1); wheel radius hard-coded at 0.05 m (§7.2); one shared encoder constant across two encoder types (§16.1); an anti-windup clamp 23× larger than the output range (§16.1)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and unit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mirrored scan, a reflection outside what any transform could correct (§17.9); the velocity-topic axis mismatch that sent the first autonomous goal 88.4° wrong (§17.19); a half-applied frame conversion hidden by four downstream compensations (§17.38)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and version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tuning committed to git that never reached the robot (§17.32); a parameter file committed without its nesting, which binds nothing and falls back to defaults (§17.33); a build-mode switch that reported success and destroyed two nodes (§17.49)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view leaking drive commands into the joystick handler (§17.34); free-against-unknown contrast at 1.20:1 (§17.34); emergency stop not surviving a socket reconnect (§17.49); send failing silently while the interface reported success (§17.49)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tuple-width mismatch that lost a 7117-sample run (§17.29); three false positives firing on every turning drive (§17.44, §17.47); map coverage estimated from a screenshot (§17.44)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Wiring, connectors and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broken level-shifter connections (§7.12); a front-encoder cross-connection that was the root cause of a multi-session campaign (§16.1); a bench supply current-limiting below peak demand and masking the first (§7.13)</w:t>
            </w:r>
          </w:p>
        </w:tc>
      </w:tr>
    </w:tbl>
    <w:p>
      <w:pPr>
        <w:pStyle w:val="BodyText"/>
      </w:pPr>
      <w:r>
        <w:t xml:space="preserve">Four remain open: the pull-up fix for the UV relay boards, a suspected</w:t>
      </w:r>
      <w:r>
        <w:t xml:space="preserve"> </w:t>
      </w:r>
      <w:r>
        <w:t xml:space="preserve">controller brownout reset, the sensor-to-base translation still at a placeholder</w:t>
      </w:r>
      <w:r>
        <w:t xml:space="preserve"> </w:t>
      </w:r>
      <w:r>
        <w:t xml:space="preserve">in the transform tree, and the plant identification that would remove the last</w:t>
      </w:r>
      <w:r>
        <w:t xml:space="preserve"> </w:t>
      </w:r>
      <w:r>
        <w:t xml:space="preserve">estimated gain.</w:t>
      </w:r>
    </w:p>
    <w:bookmarkEnd w:id="159"/>
    <w:bookmarkStart w:id="160" w:name="appendix-e-instruments-built-this-year"/>
    <w:p>
      <w:pPr>
        <w:pStyle w:val="Heading3"/>
      </w:pPr>
      <w:r>
        <w:t xml:space="preserve">Appendix E — Instruments built this year</w:t>
      </w:r>
    </w:p>
    <w:p>
      <w:pPr>
        <w:pStyle w:val="FirstParagraph"/>
      </w:pPr>
      <w:r>
        <w:t xml:space="preserve">Twelve analysis tools were written and are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They are listed because</w:t>
      </w:r>
      <w:r>
        <w:t xml:space="preserve"> </w:t>
      </w:r>
      <w:r>
        <w:t xml:space="preserve">several are the evidence behind claims in §8, and because the report’s honesty</w:t>
      </w:r>
      <w:r>
        <w:t xml:space="preserve"> </w:t>
      </w:r>
      <w:r>
        <w:t xml:space="preserve">about what is measured depends on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events, wheel behaviour and map statistics for a whole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map_integrity.py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fold signature as five numbers, of which doubled walls carries the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graph_residuals.py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pose-graph optimiser moved any node, per loop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wheel_forensics.py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and slip re-integrated offline from raw encoders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scan_quality.py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conditioning of the scan, and scan-to-scan ray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bag_tf_diff.py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value changes in one transform pair, with the republish noise collapsed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trajectory_viz.py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pose recording with wall-clock stamps for cross-log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zero_point_scan.py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rotate-and-check mapping from the zero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repeatability_test.py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tape-measured out-and-back trials in all four body directions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verify_axis_chain.py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proves the frame convention and fails if it is edited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pi_audit.sh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hashes every deployed file against the repository,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map_corpus.py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a folder of maps side by side, ranked by occupied fraction</w:t>
            </w:r>
          </w:p>
        </w:tc>
      </w:tr>
    </w:tbl>
    <w:p>
      <w:pPr>
        <w:pStyle w:val="BodyText"/>
      </w:pPr>
      <w:r>
        <w:t xml:space="preserve">The doubled-wall detector is worth one sentence of method, because its argument</w:t>
      </w:r>
      <w:r>
        <w:t xml:space="preserve"> </w:t>
      </w:r>
      <w:r>
        <w:t xml:space="preserve">is falsifiable. Free cells between two near-parallel walls mean the LiDAR</w:t>
      </w:r>
      <w:r>
        <w:t xml:space="preserve"> </w:t>
      </w:r>
      <w:r>
        <w:t xml:space="preserve">returned through that space, so something observed both faces; but if the gap is</w:t>
      </w:r>
      <w:r>
        <w:t xml:space="preserve"> </w:t>
      </w:r>
      <w:r>
        <w:t xml:space="preserve">narrower than the robot’s own 0.48 m, that something cannot have been this</w:t>
      </w:r>
      <w:r>
        <w:t xml:space="preserve"> </w:t>
      </w:r>
      <w:r>
        <w:t xml:space="preserve">robot. Two walls whose far faces were both seen across a gap nothing could</w:t>
      </w:r>
      <w:r>
        <w:t xml:space="preserve"> </w:t>
      </w:r>
      <w:r>
        <w:t xml:space="preserve">occupy is the geometry a false closure leaves behind. The known hole is that a</w:t>
      </w:r>
      <w:r>
        <w:t xml:space="preserve"> </w:t>
      </w:r>
      <w:r>
        <w:t xml:space="preserve">genuine narrow gap between shelves, viewed end-on, looks identical, which is why</w:t>
      </w:r>
      <w:r>
        <w:t xml:space="preserve"> </w:t>
      </w:r>
      <w:r>
        <w:t xml:space="preserve">flagged cells are reported in map coordinates rather than only counted.</w:t>
      </w:r>
    </w:p>
    <w:bookmarkEnd w:id="160"/>
    <w:bookmarkStart w:id="161" w:name="X64ef9b5b687385c1ca265b9432dbfa2df9af184"/>
    <w:p>
      <w:pPr>
        <w:pStyle w:val="Heading3"/>
      </w:pPr>
      <w:r>
        <w:t xml:space="preserve">Appendix F — Open items carried into year 2</w:t>
      </w:r>
    </w:p>
    <w:p>
      <w:pPr>
        <w:pStyle w:val="FirstParagraph"/>
      </w:pPr>
      <w:r>
        <w:rPr>
          <w:bCs/>
          <w:b/>
        </w:rPr>
        <w:t xml:space="preserve">Sensing.</w:t>
      </w:r>
      <w:r>
        <w:t xml:space="preserve"> </w:t>
      </w:r>
      <w:r>
        <w:t xml:space="preserve">Procure and integrate the inertial sensor. Quantify how much of the</w:t>
      </w:r>
      <w:r>
        <w:t xml:space="preserve"> </w:t>
      </w:r>
      <w:r>
        <w:t xml:space="preserve">measured phantom yaw it recovers. Run the sensor comparison that would convert</w:t>
      </w:r>
      <w:r>
        <w:t xml:space="preserve"> </w:t>
      </w:r>
      <w:r>
        <w:t xml:space="preserve">the Gap 2 inference into a controlled result.</w:t>
      </w:r>
    </w:p>
    <w:p>
      <w:pPr>
        <w:pStyle w:val="BodyText"/>
      </w:pPr>
      <w:r>
        <w:rPr>
          <w:bCs/>
          <w:b/>
        </w:rPr>
        <w:t xml:space="preserve">Control.</w:t>
      </w:r>
      <w:r>
        <w:t xml:space="preserve"> </w:t>
      </w:r>
      <w:r>
        <w:t xml:space="preserve">Plant identification bench run. Refit the feedforward with the</w:t>
      </w:r>
      <w:r>
        <w:t xml:space="preserve"> </w:t>
      </w:r>
      <w:r>
        <w:t xml:space="preserve">measured 24 % ground-load correction. Revisit the acceleration limit under load.</w:t>
      </w:r>
    </w:p>
    <w:p>
      <w:pPr>
        <w:pStyle w:val="BodyText"/>
      </w:pPr>
      <w:r>
        <w:rPr>
          <w:bCs/>
          <w:b/>
        </w:rPr>
        <w:t xml:space="preserve">Perception.</w:t>
      </w:r>
      <w:r>
        <w:t xml:space="preserve"> </w:t>
      </w:r>
      <w:r>
        <w:t xml:space="preserve">Complete a commissioning drive under the corrected procedure and</w:t>
      </w:r>
      <w:r>
        <w:t xml:space="preserve"> </w:t>
      </w:r>
      <w:r>
        <w:t xml:space="preserve">grade it. Correct the sensor-to-base translation still at a placeholder.</w:t>
      </w:r>
      <w:r>
        <w:t xml:space="preserve"> </w:t>
      </w:r>
      <w:r>
        <w:t xml:space="preserve">Establish whether loop closure survives with the sequential matcher disabled.</w:t>
      </w:r>
    </w:p>
    <w:p>
      <w:pPr>
        <w:pStyle w:val="BodyText"/>
      </w:pPr>
      <w:r>
        <w:rPr>
          <w:bCs/>
          <w:b/>
        </w:rPr>
        <w:t xml:space="preserve">Navigation.</w:t>
      </w:r>
      <w:r>
        <w:t xml:space="preserve"> </w:t>
      </w:r>
      <w:r>
        <w:t xml:space="preserve">First localisation bringup on a saved map. Repeat the point-and-go</w:t>
      </w:r>
      <w:r>
        <w:t xml:space="preserve"> </w:t>
      </w:r>
      <w:r>
        <w:t xml:space="preserve">sequence against a fixed frame. Address the control-loop rate, which the gate</w:t>
      </w:r>
      <w:r>
        <w:t xml:space="preserve"> </w:t>
      </w:r>
      <w:r>
        <w:t xml:space="preserve">specifies at 15 Hz and which measures 7.5–13.7 Hz.</w:t>
      </w:r>
    </w:p>
    <w:p>
      <w:pPr>
        <w:pStyle w:val="BodyText"/>
      </w:pPr>
      <w:r>
        <w:rPr>
          <w:bCs/>
          <w:b/>
        </w:rPr>
        <w:t xml:space="preserve">Instruments.</w:t>
      </w:r>
      <w:r>
        <w:t xml:space="preserve"> </w:t>
      </w:r>
      <w:r>
        <w:t xml:space="preserve">Repair the three analysis tools raising false positives on</w:t>
      </w:r>
      <w:r>
        <w:t xml:space="preserve"> </w:t>
      </w:r>
      <w:r>
        <w:t xml:space="preserve">turning drives, and re-baseline the campaign afterwards.</w:t>
      </w:r>
    </w:p>
    <w:p>
      <w:pPr>
        <w:pStyle w:val="BodyText"/>
      </w:pPr>
      <w:r>
        <w:rPr>
          <w:bCs/>
          <w:b/>
        </w:rPr>
        <w:t xml:space="preserve">Documentation.</w:t>
      </w:r>
      <w:r>
        <w:t xml:space="preserve"> </w:t>
      </w:r>
      <w:r>
        <w:t xml:space="preserve">Keep the research journal current. It is the primary record</w:t>
      </w:r>
      <w:r>
        <w:t xml:space="preserve"> </w:t>
      </w:r>
      <w:r>
        <w:t xml:space="preserve">from which this report was assembled, and every figure in it is regenerable from</w:t>
      </w:r>
      <w:r>
        <w:t xml:space="preserve"> </w:t>
      </w:r>
      <w:r>
        <w:t xml:space="preserve">the data in this repository.</w:t>
      </w:r>
    </w:p>
    <w:bookmarkEnd w:id="161"/>
    <w:bookmarkStart w:id="165" w:name="appendix-g-the-three-commissioning-maps"/>
    <w:p>
      <w:pPr>
        <w:pStyle w:val="Heading3"/>
      </w:pPr>
      <w:r>
        <w:t xml:space="preserve">Appendix G — The three commissioning maps</w:t>
      </w:r>
    </w:p>
    <w:p>
      <w:pPr>
        <w:pStyle w:val="CaptionedFigure"/>
      </w:pPr>
      <w:r>
        <w:drawing>
          <wp:inline>
            <wp:extent cx="5334000" cy="2396093"/>
            <wp:effectExtent b="0" l="0" r="0" t="0"/>
            <wp:docPr descr="Field maps" title="" id="163" name="Picture"/>
            <a:graphic>
              <a:graphicData uri="http://schemas.openxmlformats.org/drawingml/2006/picture">
                <pic:pic>
                  <pic:nvPicPr>
                    <pic:cNvPr descr="figures/fig29_field_maps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Field maps</w:t>
      </w:r>
    </w:p>
    <w:p>
      <w:pPr>
        <w:pStyle w:val="BodyText"/>
      </w:pPr>
      <w:r>
        <w:rPr>
          <w:bCs/>
          <w:b/>
        </w:rPr>
        <w:t xml:space="preserve">Figure 29.</w:t>
      </w:r>
      <w:r>
        <w:t xml:space="preserve"> </w:t>
      </w:r>
      <w:r>
        <w:t xml:space="preserve">The saved occupancy grids from the three drives of §8.3, each</w:t>
      </w:r>
      <w:r>
        <w:t xml:space="preserve"> </w:t>
      </w:r>
      <w:r>
        <w:t xml:space="preserve">placed in world coordinates from its own YAML origin and resolution, sharing one</w:t>
      </w:r>
      <w:r>
        <w:t xml:space="preserve"> </w:t>
      </w:r>
      <w:r>
        <w:t xml:space="preserve">window so the three are directly comparable. The believed pose during each drive</w:t>
      </w:r>
      <w:r>
        <w:t xml:space="preserve"> </w:t>
      </w:r>
      <w:r>
        <w:t xml:space="preserve">is drawn over the map and the red dots mark where the robot actually stood.</w:t>
      </w:r>
      <w:r>
        <w:t xml:space="preserve"> </w:t>
      </w:r>
      <w:r>
        <w:t xml:space="preserve">Grey is cell never observed.</w:t>
      </w:r>
    </w:p>
    <w:p>
      <w:pPr>
        <w:pStyle w:val="BodyText"/>
      </w:pPr>
      <w:r>
        <w:t xml:space="preserve">The figure is included because the sparsity argued in §7.4 is easier to see than</w:t>
      </w:r>
      <w:r>
        <w:t xml:space="preserve"> </w:t>
      </w:r>
      <w:r>
        <w:t xml:space="preserve">to describe. Between 21 % and 30 % of the cells in these maps were ever</w:t>
      </w:r>
      <w:r>
        <w:t xml:space="preserve"> </w:t>
      </w:r>
      <w:r>
        <w:t xml:space="preserve">observed, and the ground the robot physically covered is a narrow ribbon through</w:t>
      </w:r>
      <w:r>
        <w:t xml:space="preserve"> </w:t>
      </w:r>
      <w:r>
        <w:t xml:space="preserve">a much larger mapped extent: the LiDAR reaches far further than the chassis</w:t>
      </w:r>
      <w:r>
        <w:t xml:space="preserve"> </w:t>
      </w:r>
      <w:r>
        <w:t xml:space="preserve">travels, so a long drive can produce a wide, thin map that still fails the</w:t>
      </w:r>
      <w:r>
        <w:t xml:space="preserve"> </w:t>
      </w:r>
      <w:r>
        <w:t xml:space="preserve">commissioning criteria. The second panel is the clearest case, a single</w:t>
      </w:r>
      <w:r>
        <w:t xml:space="preserve"> </w:t>
      </w:r>
      <w:r>
        <w:t xml:space="preserve">out-and-back leg whose observed fraction is the lowest of the three.</w:t>
      </w:r>
    </w:p>
    <w:p>
      <w:pPr>
        <w:pStyle w:val="BodyText"/>
      </w:pPr>
      <w:r>
        <w:t xml:space="preserve">These are the same runs whose correction traces appear in Figure 16, so the two</w:t>
      </w:r>
      <w:r>
        <w:t xml:space="preserve"> </w:t>
      </w:r>
      <w:r>
        <w:t xml:space="preserve">figures can be read together: Figure 16 gives the magnitude of what the</w:t>
      </w:r>
      <w:r>
        <w:t xml:space="preserve"> </w:t>
      </w:r>
      <w:r>
        <w:t xml:space="preserve">estimator was doing, and this one gives the geometry it was doing it 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draft.</w:t>
      </w:r>
    </w:p>
    <w:bookmarkEnd w:id="165"/>
    <w:bookmarkEnd w:id="166"/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8" Target="media/rId148.png" /><Relationship Type="http://schemas.openxmlformats.org/officeDocument/2006/relationships/image" Id="rId162" Target="media/rId1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2026-09-10T04:50:12Z</dcterms:created>
  <dcterms:modified xsi:type="dcterms:W3CDTF">2026-09-10T04:50:12Z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