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5B0D2D"/>
          <w:sz w:val="32"/>
        </w:rPr>
        <w:t>Site Visit Notes</w:t>
      </w:r>
    </w:p>
    <w:p>
      <w:pPr>
        <w:spacing w:after="20"/>
      </w:pPr>
      <w:r>
        <w:rPr>
          <w:b/>
          <w:sz w:val="22"/>
        </w:rPr>
        <w:t>Sainte-Catherine, Montreal</w:t>
      </w:r>
    </w:p>
    <w:p>
      <w:pPr>
        <w:spacing w:after="60"/>
      </w:pPr>
      <w:r>
        <w:t>705 Rue Sainte-Catherine Ouest, Montreal, Quebec H3B 4G5, Canada</w:t>
      </w:r>
    </w:p>
    <w:p>
      <w:pPr>
        <w:spacing w:after="100"/>
      </w:pPr>
      <w:r>
        <w:rPr>
          <w:b/>
        </w:rPr>
        <w:t>DEMO DOCUMENT - Fictional field notes for Vesper presentation only.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E7EA"/>
          </w:tcPr>
          <w:p>
            <w:r>
              <w:rPr>
                <w:rFonts w:ascii="Arial" w:hAnsi="Arial"/>
                <w:sz w:val="17"/>
              </w:rPr>
              <w:t>Visit date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31 August 2026</w:t>
            </w:r>
          </w:p>
        </w:tc>
      </w:tr>
      <w:tr>
        <w:tc>
          <w:tcPr>
            <w:tcW w:type="dxa" w:w="5184"/>
            <w:vAlign w:val="center"/>
            <w:shd w:fill="F2E7EA"/>
          </w:tcPr>
          <w:p>
            <w:r>
              <w:rPr>
                <w:rFonts w:ascii="Arial" w:hAnsi="Arial"/>
                <w:sz w:val="17"/>
              </w:rPr>
              <w:t>Candidate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Sainte-Catherine, Montreal</w:t>
            </w:r>
          </w:p>
        </w:tc>
      </w:tr>
    </w:tbl>
    <w:p>
      <w:pPr>
        <w:spacing w:before="100" w:after="40"/>
      </w:pPr>
      <w:r>
        <w:rPr>
          <w:b/>
          <w:color w:val="5B0D2D"/>
          <w:sz w:val="20"/>
        </w:rPr>
        <w:t>Observed conditions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Good mix of office, university, shopping and tourist pedestrian traffic throughout the day.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Bilingual customer-facing operating materials will be required for launch planning.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Electrical panel is labelled 125 A; a single floor drain is visible near the proposed back counter.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Landlord representative verbally mentioned 45 days of fixturing, shorter than the 60-day broker brief.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Delivery access is workable from the service side but becomes constrained after the retail morning setup period.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The 610 sq. ft. footprint appears balanced for a compact cafe and takeaway format.</w:t>
      </w:r>
    </w:p>
    <w:p>
      <w:pPr>
        <w:spacing w:before="80" w:after="40"/>
      </w:pPr>
      <w:r>
        <w:rPr>
          <w:b/>
          <w:color w:val="5B0D2D"/>
          <w:sz w:val="20"/>
        </w:rPr>
        <w:t>Expansion-team recommendation</w:t>
      </w:r>
    </w:p>
    <w:p>
      <w:pPr>
        <w:spacing w:after="40"/>
      </w:pPr>
      <w:r>
        <w:t>Proceed with commercial diligence; reconcile fixturing terms and confirm signage, drainage and mechanical requirements.</w:t>
      </w:r>
    </w:p>
    <w:p>
      <w:r>
        <w:rPr>
          <w:i/>
          <w:sz w:val="15"/>
        </w:rPr>
        <w:t>Synthetic demo record - not a real site inspection or representation by the named property.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