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5B0D2D"/>
          <w:sz w:val="32"/>
        </w:rPr>
        <w:t>Flagship Format Assessment</w:t>
      </w:r>
    </w:p>
    <w:p>
      <w:pPr>
        <w:spacing w:after="20"/>
      </w:pPr>
      <w:r>
        <w:rPr>
          <w:b/>
          <w:sz w:val="22"/>
        </w:rPr>
        <w:t>Golf Course Road, Gurugram</w:t>
      </w:r>
    </w:p>
    <w:p>
      <w:pPr>
        <w:spacing w:after="60"/>
      </w:pPr>
      <w:r>
        <w:t>Golf Course Road commercial belt, Sector 54, Gurugram, Haryana 122011</w:t>
      </w:r>
    </w:p>
    <w:p>
      <w:pPr>
        <w:spacing w:after="100"/>
      </w:pPr>
      <w:r>
        <w:rPr>
          <w:b/>
        </w:rPr>
        <w:t>DEMO DOCUMENT - Fictional field notes for Vesper presentation only.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E7EA"/>
          </w:tcPr>
          <w:p>
            <w:r>
              <w:rPr>
                <w:rFonts w:ascii="Arial" w:hAnsi="Arial"/>
                <w:sz w:val="17"/>
              </w:rPr>
              <w:t>Visit 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30 August 2026</w:t>
            </w:r>
          </w:p>
        </w:tc>
      </w:tr>
      <w:tr>
        <w:tc>
          <w:tcPr>
            <w:tcW w:type="dxa" w:w="5184"/>
            <w:vAlign w:val="center"/>
            <w:shd w:fill="F2E7EA"/>
          </w:tcPr>
          <w:p>
            <w:r>
              <w:rPr>
                <w:rFonts w:ascii="Arial" w:hAnsi="Arial"/>
                <w:sz w:val="17"/>
              </w:rPr>
              <w:t>Candidate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Golf Course Road, Gurugram</w:t>
            </w:r>
          </w:p>
        </w:tc>
      </w:tr>
    </w:tbl>
    <w:p>
      <w:pPr>
        <w:spacing w:before="100" w:after="40"/>
      </w:pPr>
      <w:r>
        <w:rPr>
          <w:b/>
          <w:color w:val="5B0D2D"/>
          <w:sz w:val="20"/>
        </w:rPr>
        <w:t>Observed conditions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The 920 sq. ft. plan supports approximately 32 seats, materially above the operating need for the current menu.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A 500-600 sq. ft. compact cafe could retain brand visibility while lowering fixed occupancy cost.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Evening traffic appears stronger than lunch traffic; premium residential and office demand overlap after 5 PM.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A dedicated delivery pickup shelf can be created near the entrance without blocking customer circulation.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Valet access is positive, but service / loading access still needs written confirmation.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The current rent plus CAM creates a tight rent-to-revenue ratio under the base forecast.</w:t>
      </w:r>
    </w:p>
    <w:p>
      <w:pPr>
        <w:spacing w:before="80" w:after="40"/>
      </w:pPr>
      <w:r>
        <w:rPr>
          <w:b/>
          <w:color w:val="5B0D2D"/>
          <w:sz w:val="20"/>
        </w:rPr>
        <w:t>Expansion-team recommendation</w:t>
      </w:r>
    </w:p>
    <w:p>
      <w:pPr>
        <w:spacing w:after="40"/>
      </w:pPr>
      <w:r>
        <w:t>Do not commit to the full flagship footprint until a smaller unit or materially improved commercial package is negotiated.</w:t>
      </w:r>
    </w:p>
    <w:p>
      <w:r>
        <w:rPr>
          <w:i/>
          <w:sz w:val="15"/>
        </w:rPr>
        <w:t>Synthetic demo record - not a real site inspection or representation by the named property.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