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0637"/>
          <w:sz w:val="18"/>
        </w:rPr>
        <w:t>FICTIONAL DEMO DOCUMENT</w:t>
      </w:r>
    </w:p>
    <w:p>
      <w:pPr>
        <w:pStyle w:val="Title"/>
        <w:jc w:val="center"/>
      </w:pPr>
      <w:r>
        <w:t>Draft Heads of Commercial Terms</w:t>
      </w:r>
    </w:p>
    <w:p>
      <w:pPr>
        <w:jc w:val="center"/>
      </w:pPr>
      <w:r>
        <w:rPr>
          <w:b/>
          <w:sz w:val="22"/>
        </w:rPr>
        <w:t>Hypothetical F&amp;B Unit - DLF Mall of India, Noida</w:t>
      </w:r>
    </w:p>
    <w:p>
      <w:pPr>
        <w:jc w:val="center"/>
      </w:pPr>
      <w:r>
        <w:rPr>
          <w:i/>
          <w:color w:val="644653"/>
          <w:sz w:val="16"/>
        </w:rPr>
        <w:t>FICTIONAL DEMO DOCUMENT. The public landmark address is real; all unit details, commercial terms, contacts, estimates, observations and proposed dates are fabricated for a Vesper product demonstration. This document is not issued by or affiliated with DLF.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2376"/>
            <w:vAlign w:val="top"/>
            <w:shd w:fill="F8EFF3"/>
          </w:tcPr>
          <w:p>
            <w:pPr>
              <w:spacing w:after="0" w:before="0"/>
            </w:pPr>
            <w:r>
              <w:rPr>
                <w:b/>
                <w:color w:val="7B0637"/>
              </w:rPr>
              <w:t>Document date</w:t>
            </w:r>
          </w:p>
        </w:tc>
        <w:tc>
          <w:tcPr>
            <w:tcW w:type="dxa" w:w="7704"/>
            <w:vAlign w:val="top"/>
          </w:tcPr>
          <w:p>
            <w:pPr>
              <w:spacing w:after="0" w:before="0"/>
            </w:pPr>
            <w:r>
              <w:t>22 July 2026</w:t>
            </w:r>
          </w:p>
        </w:tc>
      </w:tr>
      <w:tr>
        <w:tc>
          <w:tcPr>
            <w:tcW w:type="dxa" w:w="2376"/>
            <w:vAlign w:val="top"/>
            <w:shd w:fill="F8EFF3"/>
          </w:tcPr>
          <w:p>
            <w:pPr>
              <w:spacing w:after="0" w:before="0"/>
            </w:pPr>
            <w:r>
              <w:rPr>
                <w:b/>
                <w:color w:val="7B0637"/>
              </w:rPr>
              <w:t>Landmark address</w:t>
            </w:r>
          </w:p>
        </w:tc>
        <w:tc>
          <w:tcPr>
            <w:tcW w:type="dxa" w:w="7704"/>
            <w:vAlign w:val="top"/>
          </w:tcPr>
          <w:p>
            <w:pPr>
              <w:spacing w:after="0" w:before="0"/>
            </w:pPr>
            <w:r>
              <w:t>Plot No. M-03, Sector 18, Noida, Uttar Pradesh 201301, India</w:t>
            </w:r>
          </w:p>
        </w:tc>
      </w:tr>
      <w:tr>
        <w:tc>
          <w:tcPr>
            <w:tcW w:type="dxa" w:w="2376"/>
            <w:vAlign w:val="top"/>
            <w:shd w:fill="F8EFF3"/>
          </w:tcPr>
          <w:p>
            <w:pPr>
              <w:spacing w:after="0" w:before="0"/>
            </w:pPr>
            <w:r>
              <w:rPr>
                <w:b/>
                <w:color w:val="7B0637"/>
              </w:rPr>
              <w:t>Proposed premises</w:t>
            </w:r>
          </w:p>
        </w:tc>
        <w:tc>
          <w:tcPr>
            <w:tcW w:type="dxa" w:w="7704"/>
            <w:vAlign w:val="top"/>
          </w:tcPr>
          <w:p>
            <w:pPr>
              <w:spacing w:after="0" w:before="0"/>
            </w:pPr>
            <w:r>
              <w:t>Hypothetical 780 sq. ft. inline unit, Level 2</w:t>
            </w:r>
          </w:p>
        </w:tc>
      </w:tr>
      <w:tr>
        <w:tc>
          <w:tcPr>
            <w:tcW w:type="dxa" w:w="2376"/>
            <w:vAlign w:val="top"/>
            <w:shd w:fill="F8EFF3"/>
          </w:tcPr>
          <w:p>
            <w:pPr>
              <w:spacing w:after="0" w:before="0"/>
            </w:pPr>
            <w:r>
              <w:rPr>
                <w:b/>
                <w:color w:val="7B0637"/>
              </w:rPr>
              <w:t>Proposed tenant</w:t>
            </w:r>
          </w:p>
        </w:tc>
        <w:tc>
          <w:tcPr>
            <w:tcW w:type="dxa" w:w="7704"/>
            <w:vAlign w:val="top"/>
          </w:tcPr>
          <w:p>
            <w:pPr>
              <w:spacing w:after="0" w:before="0"/>
            </w:pPr>
            <w:r>
              <w:t>Inventide Demo Foods Private Limited (fictional)</w:t>
            </w:r>
          </w:p>
        </w:tc>
      </w:tr>
      <w:tr>
        <w:tc>
          <w:tcPr>
            <w:tcW w:type="dxa" w:w="2376"/>
            <w:vAlign w:val="top"/>
            <w:shd w:fill="F8EFF3"/>
          </w:tcPr>
          <w:p>
            <w:pPr>
              <w:spacing w:after="0" w:before="0"/>
            </w:pPr>
            <w:r>
              <w:rPr>
                <w:b/>
                <w:color w:val="7B0637"/>
              </w:rPr>
              <w:t>Landlord representative</w:t>
            </w:r>
          </w:p>
        </w:tc>
        <w:tc>
          <w:tcPr>
            <w:tcW w:type="dxa" w:w="7704"/>
            <w:vAlign w:val="top"/>
          </w:tcPr>
          <w:p>
            <w:pPr>
              <w:spacing w:after="0" w:before="0"/>
            </w:pPr>
            <w:r>
              <w:t>Urban Retail Assets Management LLP (fictional)</w:t>
            </w:r>
          </w:p>
        </w:tc>
      </w:tr>
      <w:tr>
        <w:tc>
          <w:tcPr>
            <w:tcW w:type="dxa" w:w="2376"/>
            <w:vAlign w:val="top"/>
            <w:shd w:fill="F8EFF3"/>
          </w:tcPr>
          <w:p>
            <w:pPr>
              <w:spacing w:after="0" w:before="0"/>
            </w:pPr>
            <w:r>
              <w:rPr>
                <w:b/>
                <w:color w:val="7B0637"/>
              </w:rPr>
              <w:t>Status</w:t>
            </w:r>
          </w:p>
        </w:tc>
        <w:tc>
          <w:tcPr>
            <w:tcW w:type="dxa" w:w="7704"/>
            <w:vAlign w:val="top"/>
          </w:tcPr>
          <w:p>
            <w:pPr>
              <w:spacing w:after="0" w:before="0"/>
            </w:pPr>
            <w:r>
              <w:t>Non-binding draft for discussion only</w:t>
            </w:r>
          </w:p>
        </w:tc>
      </w:tr>
    </w:tbl>
    <w:p/>
    <w:p>
      <w:pPr>
        <w:pStyle w:val="Heading1"/>
      </w:pPr>
      <w:r>
        <w:t>1. Proposed commercial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7B0637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3389"/>
            <w:shd w:fill="7B0637"/>
          </w:tcPr>
          <w:p>
            <w:r>
              <w:rPr>
                <w:b/>
                <w:color w:val="FFFFFF"/>
              </w:rPr>
              <w:t>Proposed position</w:t>
            </w:r>
          </w:p>
        </w:tc>
        <w:tc>
          <w:tcPr>
            <w:tcW w:type="dxa" w:w="3389"/>
            <w:shd w:fill="7B0637"/>
          </w:tcPr>
          <w:p>
            <w:r>
              <w:rPr>
                <w:b/>
                <w:color w:val="FFFFFF"/>
              </w:rPr>
              <w:t>Comment / condition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Monthly base rent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INR 5.10 lakh plus applicable taxes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Subject to final measurement and landlord approval.</w:t>
            </w:r>
          </w:p>
        </w:tc>
      </w:tr>
      <w:tr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b/>
                <w:sz w:val="17"/>
              </w:rPr>
              <w:t>Common area maintenance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INR 1.02 lakh per month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Utilities, chilled water and waste charges billed separately.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Revenue share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7% of net monthly sales or base rent, whichever is higher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Sales definition and exclusions to be agreed.</w:t>
            </w:r>
          </w:p>
        </w:tc>
      </w:tr>
      <w:tr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b/>
                <w:sz w:val="17"/>
              </w:rPr>
              <w:t>Security deposit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8 months of base rent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Interest-free; payable before handover.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Lease term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9 years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Registration and stamp-duty allocation to be negotiated.</w:t>
            </w:r>
          </w:p>
        </w:tc>
      </w:tr>
      <w:tr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b/>
                <w:sz w:val="17"/>
              </w:rPr>
              <w:t>Tenant lock-in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36 months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Exit during lock-in triggers remaining-rent obligation.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Escalation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15% after every 3 years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Applies to base rent; CAM may be revised annually.</w:t>
            </w:r>
          </w:p>
        </w:tc>
      </w:tr>
      <w:tr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b/>
                <w:sz w:val="17"/>
              </w:rPr>
              <w:t>Fit-out period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30 days from physical handover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Rent-free; CAM and utilities payable during fit-out.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b/>
                <w:sz w:val="17"/>
              </w:rPr>
              <w:t>Target handover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 October 2026</w:t>
            </w:r>
          </w:p>
        </w:tc>
        <w:tc>
          <w:tcPr>
            <w:tcW w:type="dxa" w:w="3389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Subject to vacant possession and technical clearance.</w:t>
            </w:r>
          </w:p>
        </w:tc>
      </w:tr>
      <w:tr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b/>
                <w:sz w:val="17"/>
              </w:rPr>
              <w:t>Operating hours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Mall operating hours; expected 10:00-22:00</w:t>
            </w:r>
          </w:p>
        </w:tc>
        <w:tc>
          <w:tcPr>
            <w:tcW w:type="dxa" w:w="3389"/>
            <w:vAlign w:val="top"/>
            <w:shd w:fill="FCF8FA"/>
          </w:tcPr>
          <w:p>
            <w:pPr>
              <w:spacing w:after="0" w:before="0"/>
            </w:pPr>
            <w:r>
              <w:rPr>
                <w:sz w:val="17"/>
              </w:rPr>
              <w:t>Extended hours require management approval.</w:t>
            </w:r>
          </w:p>
        </w:tc>
      </w:tr>
    </w:tbl>
    <w:p>
      <w:pPr>
        <w:pStyle w:val="Heading1"/>
      </w:pPr>
      <w:r>
        <w:t>2. Technical and operating conditions</w:t>
      </w:r>
    </w:p>
    <w:p>
      <w:pPr>
        <w:pStyle w:val="ListBullet"/>
        <w:spacing w:after="40"/>
      </w:pPr>
      <w:r>
        <w:t>Permitted use is limited to beverages, desserts, packaged snacks and light food preparation approved by mall management.</w:t>
      </w:r>
    </w:p>
    <w:p>
      <w:pPr>
        <w:pStyle w:val="ListBullet"/>
        <w:spacing w:after="40"/>
      </w:pPr>
      <w:r>
        <w:t>Open flame, LPG cylinders and deep-fat frying are prohibited. Induction and electric equipment require final load approval.</w:t>
      </w:r>
    </w:p>
    <w:p>
      <w:pPr>
        <w:pStyle w:val="ListBullet"/>
        <w:spacing w:after="40"/>
      </w:pPr>
      <w:r>
        <w:t>The tenant must submit equipment layout, fire-load schedule, signage, exhaust and drainage drawings before fit-out approval.</w:t>
      </w:r>
    </w:p>
    <w:p>
      <w:pPr>
        <w:pStyle w:val="ListBullet"/>
        <w:spacing w:after="40"/>
      </w:pPr>
      <w:r>
        <w:t>A dedicated mechanical exhaust route has not yet been confirmed. Any roof or shaft work is subject to engineering feasibility and separate cost.</w:t>
      </w:r>
    </w:p>
    <w:p>
      <w:pPr>
        <w:pStyle w:val="ListBullet"/>
        <w:spacing w:after="40"/>
      </w:pPr>
      <w:r>
        <w:t>The draft assumes 45 kW electrical capacity. Any increase up to 60 kW depends on technical availability and may attract infrastructure charges.</w:t>
      </w:r>
    </w:p>
    <w:p>
      <w:pPr>
        <w:pStyle w:val="ListBullet"/>
        <w:spacing w:after="40"/>
      </w:pPr>
      <w:r>
        <w:t>Routine inbound deliveries are permitted between 07:00 and 09:30 through the service corridor. Weekend delivery access may be restricted.</w:t>
      </w:r>
    </w:p>
    <w:p>
      <w:pPr>
        <w:pStyle w:val="ListBullet"/>
        <w:spacing w:after="40"/>
      </w:pPr>
      <w:r>
        <w:t>Wet waste must be sealed and removed during designated back-of-house windows. Storage outside the leased premises is not permitted.</w:t>
      </w:r>
    </w:p>
    <w:p>
      <w:pPr>
        <w:pStyle w:val="ListBullet"/>
        <w:spacing w:after="40"/>
      </w:pPr>
      <w:r>
        <w:t>Internal fascia signage is subject to design guidelines. No external facade, atrium hanging sign or independent directional sign is included.</w:t>
      </w:r>
    </w:p>
    <w:p>
      <w:pPr>
        <w:pStyle w:val="Heading1"/>
      </w:pPr>
      <w:r>
        <w:t>3. Documents and approvals still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B0637"/>
          </w:tcPr>
          <w:p>
            <w:r>
              <w:rPr>
                <w:b/>
                <w:color w:val="FFFFFF"/>
              </w:rPr>
              <w:t>Required item</w:t>
            </w:r>
          </w:p>
        </w:tc>
        <w:tc>
          <w:tcPr>
            <w:tcW w:type="dxa" w:w="5083"/>
            <w:shd w:fill="7B0637"/>
          </w:tcPr>
          <w:p>
            <w:r>
              <w:rPr>
                <w:b/>
                <w:color w:val="FFFFFF"/>
              </w:rPr>
              <w:t>Current status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Measured floor plan and carpet-area certificate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Not supplied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Final sanctioned power letter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Not supplied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Exhaust and drainage feasibility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Pending engineering review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Fire and food-service fit-out approvals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Pending tenant design submission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Audited footfall by daypart and weekday/weekend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Not supplied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Full CAM, utility and promotional levy schedule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Partial summary only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Vacant-possession confirmation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Expected closer to handover</w:t>
            </w:r>
          </w:p>
        </w:tc>
      </w:tr>
    </w:tbl>
    <w:p>
      <w:pPr>
        <w:pStyle w:val="Heading1"/>
      </w:pPr>
      <w:r>
        <w:t>4. Important comparison note</w:t>
      </w:r>
    </w:p>
    <w:p>
      <w:r>
        <w:rPr>
          <w:b/>
          <w:color w:val="7B0637"/>
        </w:rPr>
        <w:t>The figures in this draft may differ from earlier broker communications. The tenant should treat only a fully signed lease and annexures as authoritative. In particular, base rent, security deposit, revenue share, handover date, fit-out duration and electrical load must be reconciled before approval.</w:t>
      </w:r>
    </w:p>
    <w:p>
      <w:r>
        <w:rPr>
          <w:b/>
        </w:rPr>
        <w:t xml:space="preserve">Prepared by: </w:t>
      </w:r>
      <w:r>
        <w:t>Maya Sen, Leasing Manager (fictional) | +91 99999 10000 | maya.demo@example.com</w:t>
      </w:r>
    </w:p>
    <w:p>
      <w:r>
        <w:rPr>
          <w:b/>
        </w:rPr>
        <w:t xml:space="preserve">Public-address reference: </w:t>
      </w:r>
      <w:r>
        <w:t>DLF Mall of India official contact page, dlfmallofindia.com/contact-us (accessed 22 July 2026).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5F66"/>
        <w:sz w:val="15"/>
      </w:rPr>
      <w:t>Fictional Vesper demonstration material - not a legal offer or property listing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B06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