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8399" w14:textId="3C89F21D" w:rsidR="7C30A9C2" w:rsidRDefault="7C30A9C2" w:rsidP="2AB69997">
      <w:pPr>
        <w:jc w:val="both"/>
        <w:rPr>
          <w:b/>
          <w:bCs/>
          <w:sz w:val="36"/>
          <w:szCs w:val="36"/>
        </w:rPr>
      </w:pPr>
      <w:r w:rsidRPr="2AB69997">
        <w:rPr>
          <w:b/>
          <w:bCs/>
          <w:sz w:val="36"/>
          <w:szCs w:val="36"/>
        </w:rPr>
        <w:t>Greenwich Registrars</w:t>
      </w:r>
    </w:p>
    <w:p w14:paraId="1A1D4E2C" w14:textId="52C3EFF5" w:rsidR="7C30A9C2" w:rsidRDefault="7C30A9C2" w:rsidP="2AB69997">
      <w:pPr>
        <w:jc w:val="both"/>
        <w:rPr>
          <w:b/>
          <w:bCs/>
          <w:sz w:val="36"/>
          <w:szCs w:val="36"/>
        </w:rPr>
      </w:pPr>
      <w:r w:rsidRPr="2AB69997">
        <w:rPr>
          <w:b/>
          <w:bCs/>
          <w:sz w:val="36"/>
          <w:szCs w:val="36"/>
        </w:rPr>
        <w:t>Shareholder Payout Report</w:t>
      </w:r>
    </w:p>
    <w:p w14:paraId="5F04D811" w14:textId="0A2FF0AD" w:rsidR="7C30A9C2" w:rsidRDefault="7C30A9C2" w:rsidP="2AB69997">
      <w:pPr>
        <w:jc w:val="both"/>
        <w:rPr>
          <w:b/>
          <w:bCs/>
        </w:rPr>
      </w:pPr>
      <w:r w:rsidRPr="2AB69997">
        <w:rPr>
          <w:b/>
          <w:bCs/>
        </w:rPr>
        <w:t>Executive Summary</w:t>
      </w:r>
    </w:p>
    <w:p w14:paraId="08ADFED2" w14:textId="6354778D" w:rsidR="7C30A9C2" w:rsidRDefault="7C30A9C2" w:rsidP="2AB69997">
      <w:pPr>
        <w:jc w:val="both"/>
      </w:pPr>
      <w:r>
        <w:t xml:space="preserve">As </w:t>
      </w:r>
      <w:proofErr w:type="gramStart"/>
      <w:r>
        <w:t>at</w:t>
      </w:r>
      <w:proofErr w:type="gramEnd"/>
      <w:r>
        <w:t xml:space="preserve"> the most recent payment run, Greenwich Registrars processed ₦17.02M in net dividends across 45 shareholders, averaging ₦396.65K per shareholder. Corporate and institutional investors accounted for 86% of total payouts, with Zenith Capital Ltd, First Bank Trustees, and Stanbic IBTC Nominees collectively receiving over 65% of distributions.</w:t>
      </w:r>
    </w:p>
    <w:p w14:paraId="4800F55A" w14:textId="1BBF0694" w:rsidR="7C30A9C2" w:rsidRDefault="7C30A9C2" w:rsidP="2AB69997">
      <w:pPr>
        <w:jc w:val="both"/>
        <w:rPr>
          <w:b/>
          <w:bCs/>
        </w:rPr>
      </w:pPr>
      <w:r w:rsidRPr="2AB69997">
        <w:rPr>
          <w:b/>
          <w:bCs/>
        </w:rPr>
        <w:t>Key Findings</w:t>
      </w:r>
    </w:p>
    <w:p w14:paraId="48F76FAC" w14:textId="515F0661" w:rsidR="7C30A9C2" w:rsidRDefault="7C30A9C2" w:rsidP="2AB69997">
      <w:pPr>
        <w:pStyle w:val="ListParagraph"/>
        <w:numPr>
          <w:ilvl w:val="0"/>
          <w:numId w:val="1"/>
        </w:numPr>
        <w:jc w:val="both"/>
      </w:pPr>
      <w:r>
        <w:t>Total Net Paid: ₦17.02M</w:t>
      </w:r>
    </w:p>
    <w:p w14:paraId="4D8D85EA" w14:textId="301780AB" w:rsidR="7C30A9C2" w:rsidRDefault="7C30A9C2" w:rsidP="2AB69997">
      <w:pPr>
        <w:pStyle w:val="ListParagraph"/>
        <w:numPr>
          <w:ilvl w:val="0"/>
          <w:numId w:val="1"/>
        </w:numPr>
        <w:jc w:val="both"/>
      </w:pPr>
      <w:r>
        <w:t>Average Net per Shareholder: ₦396.65K</w:t>
      </w:r>
    </w:p>
    <w:p w14:paraId="1EDAB0FB" w14:textId="7716AC42" w:rsidR="7C30A9C2" w:rsidRDefault="7C30A9C2" w:rsidP="2AB69997">
      <w:pPr>
        <w:pStyle w:val="ListParagraph"/>
        <w:numPr>
          <w:ilvl w:val="0"/>
          <w:numId w:val="1"/>
        </w:numPr>
        <w:jc w:val="both"/>
      </w:pPr>
      <w:r>
        <w:t>Total Shareholdings: 32M across 45 shareholders</w:t>
      </w:r>
    </w:p>
    <w:p w14:paraId="5F08235D" w14:textId="422E26D1" w:rsidR="7C30A9C2" w:rsidRDefault="7C30A9C2" w:rsidP="2AB69997">
      <w:pPr>
        <w:pStyle w:val="ListParagraph"/>
        <w:numPr>
          <w:ilvl w:val="0"/>
          <w:numId w:val="1"/>
        </w:numPr>
        <w:jc w:val="both"/>
      </w:pPr>
      <w:r>
        <w:t>Unclaimed Amount: ₦13.5K (0.0</w:t>
      </w:r>
      <w:r w:rsidR="00421EF2">
        <w:t>8%) minimal</w:t>
      </w:r>
      <w:r>
        <w:t xml:space="preserve"> but notable</w:t>
      </w:r>
    </w:p>
    <w:p w14:paraId="4BE6DFB6" w14:textId="0D734101" w:rsidR="7C30A9C2" w:rsidRDefault="7C30A9C2" w:rsidP="2AB69997">
      <w:pPr>
        <w:pStyle w:val="ListParagraph"/>
        <w:numPr>
          <w:ilvl w:val="0"/>
          <w:numId w:val="1"/>
        </w:numPr>
        <w:jc w:val="both"/>
      </w:pPr>
      <w:r>
        <w:t>Payment Trend: Peak of ₦8.8M in May 2023, followed by decline to ₦4.5M in July</w:t>
      </w:r>
    </w:p>
    <w:p w14:paraId="2A934EED" w14:textId="24A01B83" w:rsidR="7C30A9C2" w:rsidRDefault="7C30A9C2" w:rsidP="2AB69997">
      <w:pPr>
        <w:jc w:val="both"/>
        <w:rPr>
          <w:b/>
          <w:bCs/>
        </w:rPr>
      </w:pPr>
      <w:r w:rsidRPr="2AB69997">
        <w:rPr>
          <w:b/>
          <w:bCs/>
        </w:rPr>
        <w:t>Complication</w:t>
      </w:r>
    </w:p>
    <w:p w14:paraId="17DF7394" w14:textId="057BA3F1" w:rsidR="7C30A9C2" w:rsidRDefault="7C30A9C2" w:rsidP="00421EF2">
      <w:pPr>
        <w:pStyle w:val="ListParagraph"/>
        <w:numPr>
          <w:ilvl w:val="0"/>
          <w:numId w:val="4"/>
        </w:numPr>
        <w:jc w:val="both"/>
      </w:pPr>
      <w:r>
        <w:t>Despite strong efficiency, ₦13.5K remains unclaimed, representing a small but persistent gap in shareholder engagement. While the figure is negligible in financial terms, it signals potential reputational risk and highlights an opportunity to strengthen compliance and investor relations.</w:t>
      </w:r>
    </w:p>
    <w:p w14:paraId="32B757D6" w14:textId="77777777" w:rsidR="00421EF2" w:rsidRDefault="00421EF2" w:rsidP="00421EF2">
      <w:pPr>
        <w:pStyle w:val="ListParagraph"/>
        <w:numPr>
          <w:ilvl w:val="0"/>
          <w:numId w:val="4"/>
        </w:numPr>
        <w:jc w:val="both"/>
      </w:pPr>
      <w:r w:rsidRPr="00421EF2">
        <w:t>Corporate and institutional shareholders dominate payouts</w:t>
      </w:r>
      <w:r>
        <w:t xml:space="preserve"> with about 86% combined</w:t>
      </w:r>
      <w:r w:rsidRPr="00421EF2">
        <w:t>, while individual payments remain small and fragmented, highlighting limited retail participation.</w:t>
      </w:r>
    </w:p>
    <w:p w14:paraId="1C2AD844" w14:textId="77777777" w:rsidR="00421EF2" w:rsidRDefault="00421EF2" w:rsidP="2AB69997">
      <w:pPr>
        <w:jc w:val="both"/>
      </w:pPr>
    </w:p>
    <w:p w14:paraId="03CFBC4F" w14:textId="02A7EAB8" w:rsidR="7C30A9C2" w:rsidRDefault="7C30A9C2" w:rsidP="2AB69997">
      <w:pPr>
        <w:jc w:val="both"/>
        <w:rPr>
          <w:b/>
          <w:bCs/>
        </w:rPr>
      </w:pPr>
      <w:r w:rsidRPr="2AB69997">
        <w:rPr>
          <w:b/>
          <w:bCs/>
        </w:rPr>
        <w:t>Recommendations</w:t>
      </w:r>
    </w:p>
    <w:p w14:paraId="04C5EC43" w14:textId="75435B09" w:rsidR="7C30A9C2" w:rsidRDefault="7C30A9C2" w:rsidP="2AB69997">
      <w:pPr>
        <w:pStyle w:val="ListParagraph"/>
        <w:numPr>
          <w:ilvl w:val="0"/>
          <w:numId w:val="2"/>
        </w:numPr>
        <w:jc w:val="both"/>
      </w:pPr>
      <w:r>
        <w:t>Co</w:t>
      </w:r>
      <w:r w:rsidR="4D1D962B">
        <w:t>rporate Communications</w:t>
      </w:r>
      <w:r>
        <w:t xml:space="preserve"> Team: Launch a reactivation campaign within 14 days targeting shareholders with unclaimed balances.</w:t>
      </w:r>
    </w:p>
    <w:p w14:paraId="6B7F4831" w14:textId="67F39328" w:rsidR="7C30A9C2" w:rsidRDefault="7C30A9C2" w:rsidP="2AB69997">
      <w:pPr>
        <w:pStyle w:val="ListParagraph"/>
        <w:numPr>
          <w:ilvl w:val="0"/>
          <w:numId w:val="2"/>
        </w:numPr>
        <w:jc w:val="both"/>
      </w:pPr>
      <w:r>
        <w:t>Business Development Unit: Use payout concentration data to design engagement strategies that broaden shareholder participation and reduce reliance on a few large investors.</w:t>
      </w:r>
    </w:p>
    <w:p w14:paraId="01861E92" w14:textId="1D6788B4" w:rsidR="7C30A9C2" w:rsidRDefault="7C30A9C2" w:rsidP="2AB69997">
      <w:pPr>
        <w:pStyle w:val="ListParagraph"/>
        <w:numPr>
          <w:ilvl w:val="0"/>
          <w:numId w:val="2"/>
        </w:numPr>
        <w:jc w:val="both"/>
      </w:pPr>
      <w:r>
        <w:t>Corporate Services Department: Implement quarterly record audits and digital outreach (email/SMS) to ensure timely updates and minimize future unclaimed entitlements.</w:t>
      </w:r>
    </w:p>
    <w:p w14:paraId="76C4ECCE" w14:textId="09204C4F" w:rsidR="00421EF2" w:rsidRDefault="00421EF2" w:rsidP="2AB69997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Company Secretary of Greenwich bank: </w:t>
      </w:r>
      <w:r w:rsidRPr="00421EF2">
        <w:t>Encourage broader retail investor participation to balance payout concentration and strengthen shareholder diversity.</w:t>
      </w:r>
    </w:p>
    <w:p w14:paraId="229664DC" w14:textId="6694BCA7" w:rsidR="2AB69997" w:rsidRDefault="2AB69997" w:rsidP="2AB69997">
      <w:pPr>
        <w:jc w:val="both"/>
      </w:pPr>
    </w:p>
    <w:sectPr w:rsidR="2AB69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087C"/>
    <w:multiLevelType w:val="hybridMultilevel"/>
    <w:tmpl w:val="73666D64"/>
    <w:lvl w:ilvl="0" w:tplc="ED0EC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5EC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A0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A7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07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61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20E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43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26C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D2EC9"/>
    <w:multiLevelType w:val="hybridMultilevel"/>
    <w:tmpl w:val="40E84F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FA279"/>
    <w:multiLevelType w:val="hybridMultilevel"/>
    <w:tmpl w:val="6178C4A0"/>
    <w:lvl w:ilvl="0" w:tplc="CF8CD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6F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69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C5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E2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6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8E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8E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A7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6DA14"/>
    <w:multiLevelType w:val="hybridMultilevel"/>
    <w:tmpl w:val="5D0632D2"/>
    <w:lvl w:ilvl="0" w:tplc="1A9E7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C8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0C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F4A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87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222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E6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01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E9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889448">
    <w:abstractNumId w:val="0"/>
  </w:num>
  <w:num w:numId="2" w16cid:durableId="2014645087">
    <w:abstractNumId w:val="2"/>
  </w:num>
  <w:num w:numId="3" w16cid:durableId="1556354900">
    <w:abstractNumId w:val="3"/>
  </w:num>
  <w:num w:numId="4" w16cid:durableId="30790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68FCEE"/>
    <w:rsid w:val="00421EF2"/>
    <w:rsid w:val="00BC3A1B"/>
    <w:rsid w:val="165236E2"/>
    <w:rsid w:val="2AB69997"/>
    <w:rsid w:val="3568FCEE"/>
    <w:rsid w:val="4293E195"/>
    <w:rsid w:val="4685C27D"/>
    <w:rsid w:val="4A5732DA"/>
    <w:rsid w:val="4D1D962B"/>
    <w:rsid w:val="7BA3D1E7"/>
    <w:rsid w:val="7C30A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F685"/>
  <w15:chartTrackingRefBased/>
  <w15:docId w15:val="{C98DEEC8-409D-44F6-A29E-178ED707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Adeolu Ariyo</dc:creator>
  <cp:keywords/>
  <dc:description/>
  <cp:lastModifiedBy>Adeolu Ariyo</cp:lastModifiedBy>
  <cp:revision>2</cp:revision>
  <dcterms:created xsi:type="dcterms:W3CDTF">2026-07-12T19:01:00Z</dcterms:created>
  <dcterms:modified xsi:type="dcterms:W3CDTF">2026-07-12T19:01:00Z</dcterms:modified>
</cp:coreProperties>
</file>