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Configuration-Driven Architecture</w:t>
      </w:r>
    </w:p>
    <w:p>
      <w:pPr>
        <w:spacing w:after="400"/>
        <w:jc w:val="center"/>
      </w:pPr>
      <w:r>
        <w:rPr>
          <w:color w:val="64748B"/>
          <w:sz w:val="24"/>
          <w:szCs w:val="24"/>
        </w:rPr>
        <w:t xml:space="preserve">Архитектурный дизайн для локального ассистента пентестера</w:t>
      </w:r>
    </w:p>
    <w:p>
      <w:r>
        <w:br w:type="page"/>
      </w:r>
    </w:p>
    <w:p>
      <w:pPr>
        <w:pStyle w:val="Heading1"/>
      </w:pPr>
      <w:r>
        <w:t xml:space="preserve">1. Введение и постановка задачи</w:t>
      </w:r>
    </w:p>
    <w:p>
      <w:pPr>
        <w:spacing w:after="150"/>
      </w:pPr>
      <w:r>
        <w:t xml:space="preserve">Современные инструменты для пентестинга и CTF требуют гибкости и адаптивности. Традиционный подход, при котором бизнес-логика жестко зашита в код приложения, создаёт существенные проблемы: каждый новый сервис, техника атаки или правило детектирования требует изменения исходного кода, что делает систему недоступной для кастомизации рядовыми ИБ-специалистами. Configuration-Driven Architecture решает эту проблему, вынося всю бизнес-логику во внешние конфигурационные файлы, которые могут редактироваться без участия разработчиков.</w:t>
      </w:r>
    </w:p>
    <w:p>
      <w:pPr>
        <w:spacing w:after="150"/>
      </w:pPr>
      <w:r>
        <w:rPr>
          <w:b/>
          <w:bCs/>
        </w:rPr>
        <w:t xml:space="preserve">Ключевое архитектурное требование данного проекта — </w:t>
      </w:r>
      <w:r>
        <w:rPr>
          <w:b/>
          <w:bCs/>
          <w:color w:val="DC2626"/>
        </w:rPr>
        <w:t xml:space="preserve">полное отделение базы знаний от кода приложения</w:t>
      </w:r>
      <w:r>
        <w:rPr>
          <w:b/>
          <w:bCs/>
        </w:rPr>
        <w:t xml:space="preserve">. Это означает, что любой специалист по информационной безопасности должен иметь возможность добавлять новые сервисы, техники атак, правила детектирования и рекомендации, просто редактируя JSON или TypeScript файлы, абсолютно не владея React и не меняя UI-компоненты. Приложение должно динамически рендерить интерфейс на основе этих конфигураций.</w:t>
      </w:r>
    </w:p>
    <w:p>
      <w:pPr>
        <w:pStyle w:val="Heading2"/>
      </w:pPr>
      <w:r>
        <w:t xml:space="preserve">1.1. Анализ текущего состояния проекта</w:t>
      </w:r>
    </w:p>
    <w:p>
      <w:pPr>
        <w:spacing w:after="150"/>
      </w:pPr>
      <w:r>
        <w:t xml:space="preserve">Проект nmapanalyzer уже имеет базовую структуру для работы с Nmap-данными: парсер XML и GNMAP форматов, классификацию сервисов, детектирование Active Directory инфраструктуры и генерацию рекомендаций. Однако текущая реализация страдает от жестко закодированной бизнес-логики — все категории сервисов, правила детектирования DC, рекомендации по атакам и приоритеты находятся непосредственно в файле analyzer.ts. Это делает невозможным расширение базы знаний без изменения исходного кода.</w:t>
      </w:r>
    </w:p>
    <w:p>
      <w:pPr>
        <w:spacing w:after="200"/>
      </w:pPr>
      <w:r>
        <w:t xml:space="preserve">Текущий технологический стек включает React 19, TypeScript, Vite, Tailwind CSS и Zustand для управления состоянием. Это отличная основа для реализации Configuration-Driven подхода, поскольку TypeScript позволяет создавать строго типизированные конфигурации, а Zustand обеспечивает чистое разделение состояния и UI.</w:t>
      </w:r>
    </w:p>
    <w:p>
      <w:pPr>
        <w:pStyle w:val="Heading1"/>
      </w:pPr>
      <w:r>
        <w:t xml:space="preserve">2. Архитектурный паттерн: Multi-Layer Configuration Engine</w:t>
      </w:r>
    </w:p>
    <w:p>
      <w:pPr>
        <w:spacing w:after="150"/>
      </w:pPr>
      <w:r>
        <w:rPr>
          <w:b w:val="false"/>
          <w:bCs w:val="false"/>
        </w:rPr>
        <w:t xml:space="preserve">Предлагаемая архитектура основана на принципе </w:t>
      </w:r>
      <w:r>
        <w:rPr>
          <w:b/>
          <w:bCs/>
        </w:rPr>
        <w:t xml:space="preserve">Separation of Concerns</w:t>
      </w:r>
      <w:r>
        <w:t xml:space="preserve"> с чётким разделением на три основных слоя: слой данных (Data Layer), слой движка (Engine Layer) и слой представления (Presentation Layer). Каждый слой имеет единственную ответственность и взаимодействует с соседними слоями через строго определённые интерфейсы.</w:t>
      </w:r>
    </w:p>
    <w:p>
      <w:pPr>
        <w:pStyle w:val="Heading2"/>
      </w:pPr>
      <w:r>
        <w:t xml:space="preserve">2.1. Схема слоёв архитектуры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2FE" w:val="clear"/>
            <w:vAlign w:val="center"/>
          </w:tcPr>
          <w:p>
            <w:pPr>
              <w:spacing w:after="150" w:before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PRESENTATION LAYER</w:t>
            </w:r>
            <w:r>
              <w:rPr>
                <w:sz w:val="20"/>
                <w:szCs w:val="20"/>
              </w:rPr>
              <w:br/>
              <w:t xml:space="preserve"> — React Components, Dynamic UI Factory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vAlign w:val="center"/>
          </w:tcPr>
          <w:p>
            <w:pPr>
              <w:spacing w:after="150" w:before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ENGINE LAYER</w:t>
            </w:r>
            <w:r>
              <w:rPr>
                <w:sz w:val="20"/>
                <w:szCs w:val="20"/>
              </w:rPr>
              <w:br/>
              <w:t xml:space="preserve"> — Parser, Matcher, Recommendation Engine, Other Handler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vAlign w:val="center"/>
          </w:tcPr>
          <w:p>
            <w:pPr>
              <w:spacing w:after="150" w:before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DATA LAYER</w:t>
            </w:r>
            <w:r>
              <w:rPr>
                <w:sz w:val="20"/>
                <w:szCs w:val="20"/>
              </w:rPr>
              <w:br/>
              <w:t xml:space="preserve"> — JSON/TS Configs, IndexedDB Storage, Nmap Files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Рисунок 1. Трёхуровневая архитектура системы</w:t>
      </w:r>
    </w:p>
    <w:p>
      <w:pPr>
        <w:pStyle w:val="Heading2"/>
      </w:pPr>
      <w:r>
        <w:t xml:space="preserve">2.2. Data Layer — Слой конфигураций</w:t>
      </w:r>
    </w:p>
    <w:p>
      <w:pPr>
        <w:spacing w:after="150"/>
      </w:pPr>
      <w:r>
        <w:t xml:space="preserve">Data Layer является фундаментом системы и содержит всю базу знаний приложения. Этот слой полностью декларативен и состоит из TypeScript/JSON конфигурационных файлов. Ключевое преимущество использования TypeScript для конфигов — статическая типизация и автодополнение в IDE, что существенно снижает порог входа для ИБ-специалистов. Конфигурации делятся на несколько категорий: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Configs</w:t>
      </w:r>
      <w:r>
        <w:t xml:space="preserve"> — определения сервисов: порты, regex-паттерны для детектирования версий, рекомендации по атакам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Vulnerability Configs</w:t>
      </w:r>
      <w:r>
        <w:t xml:space="preserve"> — маппинг CVE, NSE-скриптов и эксплойтов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Attack Technique Configs</w:t>
      </w:r>
      <w:r>
        <w:t xml:space="preserve"> — чек-листы атак, инструменты, команды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Rules</w:t>
      </w:r>
      <w:r>
        <w:t xml:space="preserve"> — правила детектирования AD, DNS-зон, сетевой инфраструктуры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UI Rendering Configs</w:t>
      </w:r>
      <w:r>
        <w:t xml:space="preserve"> — шаблоны отображения, иконки, цветовые схемы</w:t>
      </w:r>
    </w:p>
    <w:p>
      <w:pPr>
        <w:pStyle w:val="Heading2"/>
      </w:pPr>
      <w:r>
        <w:t xml:space="preserve">2.3. Engine Layer — Движок обработки</w:t>
      </w:r>
    </w:p>
    <w:p>
      <w:pPr>
        <w:spacing w:after="150"/>
      </w:pPr>
      <w:r>
        <w:t xml:space="preserve">Engine Layer представляет собой набор stateless-функций, которые преобразуют сырые данные Nmap в структурированную информацию, используя конфигурации из Data Layer. Этот слой не содержит бизнес-логики как таковой — он является исполнительным механизмом, который применяет правила из конфигов к входным данным. Основные компоненты движка: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NmapParser</w:t>
      </w:r>
      <w:r>
        <w:t xml:space="preserve"> — парсинг XML/GNMAP в унифицированный формат ParsedScan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ServiceMatcher</w:t>
      </w:r>
      <w:r>
        <w:t xml:space="preserve"> — сопоставление сервисов с конфигами по портам, версиям, regex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VulnerabilityMapper</w:t>
      </w:r>
      <w:r>
        <w:t xml:space="preserve"> — маппинг CVE и NSE-скриптов на техники атак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RecommendationEngine</w:t>
      </w:r>
      <w:r>
        <w:t xml:space="preserve"> — генерация рекомендаций на основе матчинга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OtherHandler</w:t>
      </w:r>
      <w:r>
        <w:t xml:space="preserve"> — перехват и логирование неизвестных сервисов</w:t>
      </w:r>
    </w:p>
    <w:p>
      <w:pPr>
        <w:pStyle w:val="Heading2"/>
      </w:pPr>
      <w:r>
        <w:t xml:space="preserve">2.4. Presentation Layer — Слой представления</w:t>
      </w:r>
    </w:p>
    <w:p>
      <w:pPr>
        <w:spacing w:after="150"/>
      </w:pPr>
      <w:r>
        <w:t xml:space="preserve">Presentation Layer отвечает исключительно за визуализацию данных, полученных от Engine Layer. Ключевой принцип — компоненты не знают о бизнес-логике и не принимают решений о том, что отображать. Все решения принимаются на уровне конфигов и движка, а компоненты лишь рендерят переданные им данные. Это достигается через паттерн Component Factory, который динамически создаёт UI-компоненты на основе типа данных и конфигурации отображения.</w:t>
      </w:r>
    </w:p>
    <w:p>
      <w:pPr>
        <w:spacing w:after="200"/>
      </w:pPr>
      <w:r>
        <w:t xml:space="preserve">Важно отметить, что Presentation Layer включает в себя не только React-компоненты, но и Zustand-стор для управления состоянием приложения. Стор хранит результаты работы движка, но не содержит логики их получения — вся логика инкапсулирована в Engine Layer. Это обеспечивает чистоту архитектуры и возможность легкого тестирования каждого слоя независимо.</w:t>
      </w:r>
    </w:p>
    <w:p>
      <w:pPr>
        <w:pStyle w:val="Heading1"/>
      </w:pPr>
      <w:r>
        <w:t xml:space="preserve">3. Схема данных (Data Model)</w:t>
      </w:r>
    </w:p>
    <w:p>
      <w:pPr>
        <w:spacing w:after="150"/>
      </w:pPr>
      <w:r>
        <w:t xml:space="preserve">Схема данных является ядром Configuration-Driven архитектуры. Правильно спроектированные TypeScript-интерфейсы обеспечивают типобезопасность, автодополнение в IDE и самодокументируемость конфигураций. Ниже представлены ключевые интерфейсы с подробными комментариями по каждому полю.</w:t>
      </w:r>
    </w:p>
    <w:p>
      <w:pPr>
        <w:pStyle w:val="Heading2"/>
      </w:pPr>
      <w:r>
        <w:t xml:space="preserve">3.1. Базовые типы</w:t>
      </w:r>
    </w:p>
    <w:p>
      <w:pPr>
        <w:spacing w:after="100"/>
      </w:pPr>
      <w:r>
        <w:rPr>
          <w:sz w:val="22"/>
          <w:szCs w:val="22"/>
        </w:rPr>
        <w:t xml:space="preserve">Базовые типы определяют общие конструкции, используемые во всей системе. Они включают типы для приоритетов, категорий, условий триггеров и результатов матчинга.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// core/types.ts</w:t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type Priority = 'CRITICAL' | 'HIGH' | 'MEDIUM' | 'LOW' | 'INFO';</w:t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type Protocol = 'tcp' | 'udp';</w:t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type PortState = 'open' | 'filtered' | 'closed';</w:t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interface TriggerCondition {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ports?: number[];           // Список портов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services?: string[];        // Nmap service names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products?: string[];        // Product names (nginx, Apache)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versionRegex?: string;      // Regex для версии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nseScripts?: string[];      // Требуемые NSE скрипты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cvePatterns?: string[];     // CVE паттерны (CVE-2019-*)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bannerPatterns?: string[];  // Паттерны в баннере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osMatch?: string;           // Совпадение по ОС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1. Базовые типы для системы конфигураций</w:t>
      </w:r>
    </w:p>
    <w:p>
      <w:pPr>
        <w:pStyle w:val="Heading2"/>
      </w:pPr>
      <w:r>
        <w:t xml:space="preserve">3.2. Конфигурация сервиса (ServiceConfig)</w:t>
      </w:r>
    </w:p>
    <w:p>
      <w:pPr>
        <w:spacing w:after="150"/>
      </w:pPr>
      <w:r>
        <w:t xml:space="preserve">ServiceConfig является основным типом конфигурации. Он описывает всё, что система должна знать о сервисе: как его детектировать, какую опасность он представляет, какие техники атак применимы, и как визуализировать информацию о нём. Структура спроектирована так, чтобы ИБ-специалист мог добавить новый сервис, просто создав новый файл с экспортом объекта ServiceConfig.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// configs/services/types.ts</w:t>
            </w:r>
          </w:p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export interface ServiceConfig {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id: string;                    // Уникальный ID: "smb", "http"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name: string;                  // Человекочитаемое название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category: string;              // Категория: "remote_access"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description: string;           // Описание сервиса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triggers: TriggerCondition[];  // Условия детектирования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defaultPriority: Priority;     // Дефолтный приоритет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riskScore: number;             // 1-10, влияет на приоритеты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techniques: AttackTechnique[]; // Техники атак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references: Reference[];       // Ссылки на CVE, эксплойты</w:t>
            </w:r>
          </w:p>
          <w:p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  uiConfig: UIConfig;            // Настройки отображения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2. Интерфейс ServiceConfig</w:t>
      </w:r>
    </w:p>
    <w:p>
      <w:pPr>
        <w:pStyle w:val="Heading2"/>
      </w:pPr>
      <w:r>
        <w:t xml:space="preserve">3.3. Пример конфигурации для SMB</w:t>
      </w:r>
    </w:p>
    <w:p>
      <w:pPr>
        <w:spacing w:after="150"/>
      </w:pPr>
      <w:r>
        <w:t xml:space="preserve">Ниже представлен полный пример конфигурации для SMB-сервиса. Этот конфиг демонстрирует все возможности системы: множественные триггеры для детектирования, богатый набор техник атак с шаблонами команд, CVE-референсы и настройки UI. Обратите внимание на использование плейсхолдеров {ip}, {domain}, {user} — движок автоматически подставляет реальные значения при генерации команд.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// configs/services/smb.ts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import { ServiceConfig } from './types';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const smbConfig: ServiceConfig =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id: 'smb',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name: 'SMB / Windows Sharing',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category: 'file_sharing',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description: 'Server Message Block protocol for file/printer sharing.'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triggers: [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{ ports: [445, 139], services: ['microsoft-ds', 'netbios-ssn']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{ bannerPatterns: ['SMB', 'Windows NT'] }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defaultPriority: 'HIGH',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riskScore: 8,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techniques: [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id: 'smb-enum',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name: 'SMB Enumeration',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description: 'Enumerate shares, users, sessions',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tools: ['crackmapexec', 'enum4linux-ng', 'smbclient'],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commands: [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'crackmapexec smb {ip} --shares',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'crackmapexec smb {ip} --users',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'enum4linux-ng -A {ip}',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'smbclient -L //{ip} -N'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],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priority: 'MEDIUM'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id: 'smb-vuln-ms17-010',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name: 'EternalBlue (MS17-010)',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description: 'RCE via SMBv1 vulnerability',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trigger: { nseScripts: ['smb-vuln-ms17-010']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commands: [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'nmap --script smb-vuln-ms17-010 -p445 {ip}',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'use exploit/windows/smb/ms17_010_eternalblue'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],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priority: 'CRITICAL'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],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uiConfig: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icon: 'folder-network',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color: '#f59e0b',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tags: ['SMB', 'Windows', 'File Sharing']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};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3. Полная конфигурация для SMB-сервиса</w:t>
      </w:r>
    </w:p>
    <w:p>
      <w:pPr>
        <w:pStyle w:val="Heading1"/>
      </w:pPr>
      <w:r>
        <w:t xml:space="preserve">4. Динамический UI: Component Factory Pattern</w:t>
      </w:r>
    </w:p>
    <w:p>
      <w:pPr>
        <w:spacing w:after="150"/>
      </w:pPr>
      <w:r>
        <w:t xml:space="preserve">Динамический рендеринг UI на основе конфигураций — ключевой элемент архитектуры. Идея заключается в том, что React-компоненты не содержат логики принятия решений о том, что отображать. Вместо этого используется паттерн Component Factory, который на основе типа данных и конфигурации создаёт соответствующие компоненты.</w:t>
      </w:r>
    </w:p>
    <w:p>
      <w:pPr>
        <w:pStyle w:val="Heading2"/>
      </w:pPr>
      <w:r>
        <w:t xml:space="preserve">4.1. Архитектура Component Factory</w:t>
      </w:r>
    </w:p>
    <w:p>
      <w:pPr>
        <w:spacing w:after="150"/>
      </w:pPr>
      <w:r>
        <w:t xml:space="preserve">Component Factory — это центральный модуль, который регистрирует компоненты для различных типов данных и динамически создаёт их при рендеринге. Фабрика принимает на вход данные и конфигурацию UI, а возвращает готовый React-элемент. Это позволяет добавлять новые типы отображения без изменения существующих компонентов — достаточно зарегистрировать новый компонент в фабрике.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// ui/factory/ComponentFactory.tsx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type ComponentType = 'service-card' | 'technique-list' | 'cve-badge' | 'command-block';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const componentRegistry = new Map&lt;ComponentType, React.FC&lt;any&gt;&gt;();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function registerComponent(type: ComponentType, component: React.FC)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componentRegistry.set(type, component);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function createComponent(type: ComponentType, props: any)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const Component = componentRegistry.get(type);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if (!Component) return null;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return &lt;Component {...props} /&gt;;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4. Базовая реализация Component Factory</w:t>
      </w:r>
    </w:p>
    <w:p>
      <w:pPr>
        <w:pStyle w:val="Heading2"/>
      </w:pPr>
      <w:r>
        <w:t xml:space="preserve">4.2. Конфигурируемый рендеринг рекомендаций</w:t>
      </w:r>
    </w:p>
    <w:p>
      <w:pPr>
        <w:spacing w:after="150"/>
      </w:pPr>
      <w:r>
        <w:t xml:space="preserve">Рекомендации — ключевой элемент UI пентест-ассистента. Они должны отображаться динамически на основе конфигураций и поддерживать различные форматы: списки команд, ссылки на инструменты, CWE/CVE референсы. Конфигурация рендеринга позволяет определить, как именно будет выглядеть каждая рекомендация без изменения React-компонентов.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// configs/ui/recommendation-ui.ts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const recommendationUIConfig = {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layout: 'accordion',          // accordion | cards | list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groupBy: 'category',          // category | priority | host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sortPriorities: ['CRITICAL', 'HIGH', 'MEDIUM', 'LOW'],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showCounts: true,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commandFormat: 'copyable',   // copyable | terminal | markdown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priorityColors: {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CRITICAL: { bg: '#fef2f2', text: '#dc2626', icon: 'alert-octagon'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HIGH:     { bg: '#fff7ed', text: '#ea580c', icon: 'alert-triangle'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MEDIUM:   { bg: '#fefce8', text: '#ca8a04', icon: 'alert-circle' },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LOW:      { bg: '#f0fdf4', text: '#16a34a', icon: 'info' }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}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};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5. Конфигурация UI для рекомендаций</w:t>
      </w:r>
    </w:p>
    <w:p>
      <w:pPr>
        <w:pStyle w:val="Heading1"/>
      </w:pPr>
      <w:r>
        <w:t xml:space="preserve">5. Алгоритм маппинга и обработка "Other"</w:t>
      </w:r>
    </w:p>
    <w:p>
      <w:pPr>
        <w:spacing w:after="150"/>
      </w:pPr>
      <w:r>
        <w:t xml:space="preserve">Одной из ключевых особенностей системы является интеллектуальная обработка неизвестных сервисов. Когда Nmap находит сервис, для которого нет конфигурации, система не должна просто игнорировать его. Вместо этого неизвестные сервисы попадают в специальную категорию "Other", где они логируются с полным контекстом для последующего анализа и создания новых конфигураций.</w:t>
      </w:r>
    </w:p>
    <w:p>
      <w:pPr>
        <w:pStyle w:val="Heading2"/>
      </w:pPr>
      <w:r>
        <w:t xml:space="preserve">5.1. Алгоритм ServiceMatcher</w:t>
      </w:r>
    </w:p>
    <w:p>
      <w:pPr>
        <w:spacing w:after="150"/>
      </w:pPr>
      <w:r>
        <w:t xml:space="preserve">ServiceMatcher — это ядро системы матчинга. Он принимает распарсенные данные Nmap и конфигурации сервисов, а возвращает список MatchedService объектов, каждый из которых содержит информацию о сервисе, уровень уверенности в матче и применимые техники атак. Алгоритм работает в несколько этапов: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Прямой матчинг по портам</w:t>
      </w:r>
      <w:r>
        <w:t xml:space="preserve"> — проверка совпадения номера порта с определёнными в конфиге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Матчинг по имени сервиса</w:t>
      </w:r>
      <w:r>
        <w:t xml:space="preserve"> — сравнение с Nmap service name (http, ssh, mysql)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Regex-матчинг версии</w:t>
      </w:r>
      <w:r>
        <w:t xml:space="preserve"> — применение регулярных выражений к product/version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NSE-скрипт матчинг</w:t>
      </w:r>
      <w:r>
        <w:t xml:space="preserve"> — проверка наличия определённых NSE скриптов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Fallback в "Other"</w:t>
      </w:r>
      <w:r>
        <w:t xml:space="preserve"> — если ни один матч не найден</w:t>
      </w:r>
    </w:p>
    <w:p>
      <w:pPr>
        <w:pStyle w:val="Heading2"/>
      </w:pPr>
      <w:r>
        <w:t xml:space="preserve">5.2. Реализация OtherHandler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// engine/OtherHandler.ts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interface UncategorizedEntry {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timestamp: string;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port: number;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protocol: Protocol;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service: string;          // Nmap service name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product?: string;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version?: string;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banner?: string;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nseScripts?: { name: string; output: string }[];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hostIp: string;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scanId: string;           // ID сканирования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frequency: number;        // Сколько раз встречено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6. Интерфейс для неклассифицированных сервисов</w:t>
      </w:r>
    </w:p>
    <w:p>
      <w:pPr>
        <w:spacing w:after="200"/>
      </w:pPr>
      <w:r>
        <w:t xml:space="preserve">OtherHandler сохраняет все неклассифицированные сервисы в IndexedDB с полным контекстом. Это позволяет ИБ-специалисту проанализировать "слепые зоны" базы знаний и добавить новые конфигурации. Поле frequency отслеживает, как часто встречается данный сервис, что помогает приоритизировать работу над новыми конфигами — сервисы с высокой частотой появления следует добавить в первую очередь.</w:t>
      </w:r>
    </w:p>
    <w:p>
      <w:pPr>
        <w:pStyle w:val="Heading1"/>
      </w:pPr>
      <w:r>
        <w:t xml:space="preserve">6. Хранение состояния для Offline-режима</w:t>
      </w:r>
    </w:p>
    <w:p>
      <w:pPr>
        <w:spacing w:after="150"/>
      </w:pPr>
      <w:r>
        <w:t xml:space="preserve">Полностью offline-режим работы накладывает специфические требования к хранению данных. Система должна обеспечивать персистентность между сессиями, быстрый доступ к результатам предыдущих сканирований и возможность экспорта/импорта данных. Рассмотрим оптимальные решения для каждого типа данных.</w:t>
      </w:r>
    </w:p>
    <w:p>
      <w:pPr>
        <w:pStyle w:val="Heading2"/>
      </w:pPr>
      <w:r>
        <w:t xml:space="preserve">6.1. IndexedDB как основное хранилище</w:t>
      </w:r>
    </w:p>
    <w:p>
      <w:pPr>
        <w:spacing w:after="150"/>
      </w:pPr>
      <w:r>
        <w:t xml:space="preserve">IndexedDB является оптимальным выбором для offline-приложения на веб-стеке. Это транзакционная NoSQL база данных, встроенная в браузер, которая поддерживает индексы, транзакции и хранение бинарных данных. Для Electron/Tauri-приложений IndexedDB доступна через WebView, что делает решение универсальным. Рекомендуемая структура хранилищ: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Хранилище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Данные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Индексы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scans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Результаты Nmap сканирований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timestamp, filename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unclassified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Unknown сервисы для анализа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service, port, frequency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userConfigs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Пользовательские конфиги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id, category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sessionState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UI state, фильтры, настройки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key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 Структура IndexedDB хранилищ</w:t>
      </w:r>
    </w:p>
    <w:p>
      <w:pPr>
        <w:pStyle w:val="Heading2"/>
      </w:pPr>
      <w:r>
        <w:t xml:space="preserve">6.2. Абстракция Storage Layer</w:t>
      </w:r>
    </w:p>
    <w:p>
      <w:pPr>
        <w:spacing w:after="150"/>
      </w:pPr>
      <w:r>
        <w:t xml:space="preserve">Для обеспечения переносимости между платформами (браузер, Electron, Tauri) рекомендуется создать абстрактный Storage Layer с унифицированным API. Это позволит в будущем заменить IndexedDB на SQLite (для Tauri) или файловую систему (для Electron) без изменения бизнес-логики.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spacing w:before="10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// storage/StorageAdapter.ts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export interface StorageAdapter {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get&lt;T&gt;(store: string, key: string): Promise&lt;T | null&gt;;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getAll&lt;T&gt;(store: string): Promise&lt;T[]&gt;;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put&lt;T&gt;(store: string, data: T, key?: string): Promise&lt;void&gt;;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delete(store: string, key: string): Promise&lt;void&gt;;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query&lt;T&gt;(store: string, index: string, range: IDBKeyRange): Promise&lt;T[]&gt;;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exportAll(): Promise&lt;BackupData&gt;;</w:t>
            </w:r>
          </w:p>
          <w:p>
            <w:r>
              <w:rPr>
                <w:rFonts w:ascii="Consolas" w:cs="Consolas" w:eastAsia="Consolas" w:hAnsi="Consolas"/>
                <w:color w:val="A5B4FC"/>
                <w:sz w:val="16"/>
                <w:szCs w:val="16"/>
              </w:rPr>
              <w:t xml:space="preserve">  importAll(data: BackupData): Promise&lt;void&gt;;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Листинг 7. Интерфейс StorageAdapter</w:t>
      </w:r>
    </w:p>
    <w:p>
      <w:pPr>
        <w:pStyle w:val="Heading1"/>
      </w:pPr>
      <w:r>
        <w:t xml:space="preserve">7. Roadmap имплементации</w:t>
      </w:r>
    </w:p>
    <w:p>
      <w:pPr>
        <w:spacing w:after="150"/>
      </w:pPr>
      <w:r>
        <w:t xml:space="preserve">Реализация Configuration-Driven архитектуры требует планомерного подхода. Ниже представлен рекомендуемый порядок действий, разбитый на фазы. Каждая фаза заканчивается работающим прототипом, что позволяет итеративно развивать систему.</w:t>
      </w:r>
    </w:p>
    <w:p>
      <w:pPr>
        <w:pStyle w:val="Heading2"/>
      </w:pPr>
      <w:r>
        <w:t xml:space="preserve">Фаза 1: Foundation (1-2 недели)</w:t>
      </w:r>
    </w:p>
    <w:p>
      <w:pPr>
        <w:pStyle w:val="ListParagraph"/>
        <w:numPr>
          <w:ilvl w:val="0"/>
          <w:numId w:val="5"/>
        </w:numPr>
      </w:pPr>
      <w:r>
        <w:t xml:space="preserve">Определить TypeScript интерфейсы для всех конфигураций</w:t>
      </w:r>
    </w:p>
    <w:p>
      <w:pPr>
        <w:pStyle w:val="ListParagraph"/>
        <w:numPr>
          <w:ilvl w:val="0"/>
          <w:numId w:val="5"/>
        </w:numPr>
      </w:pPr>
      <w:r>
        <w:t xml:space="preserve">Создать структуру директорий для конфигов</w:t>
      </w:r>
    </w:p>
    <w:p>
      <w:pPr>
        <w:pStyle w:val="ListParagraph"/>
        <w:numPr>
          <w:ilvl w:val="0"/>
          <w:numId w:val="5"/>
        </w:numPr>
      </w:pPr>
      <w:r>
        <w:t xml:space="preserve">Реализовать базовый StorageAdapter на IndexedDB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Мигрировать существующий парсер Nmap на новый формат</w:t>
      </w:r>
    </w:p>
    <w:p>
      <w:pPr>
        <w:pStyle w:val="Heading2"/>
      </w:pPr>
      <w:r>
        <w:t xml:space="preserve">Фаза 2: Engine Layer (2-3 недели)</w:t>
      </w:r>
    </w:p>
    <w:p>
      <w:pPr>
        <w:pStyle w:val="ListParagraph"/>
        <w:numPr>
          <w:ilvl w:val="0"/>
          <w:numId w:val="6"/>
        </w:numPr>
      </w:pPr>
      <w:r>
        <w:t xml:space="preserve">Реализовать ServiceMatcher с поддержкой всех типов триггеров</w:t>
      </w:r>
    </w:p>
    <w:p>
      <w:pPr>
        <w:pStyle w:val="ListParagraph"/>
        <w:numPr>
          <w:ilvl w:val="0"/>
          <w:numId w:val="6"/>
        </w:numPr>
      </w:pPr>
      <w:r>
        <w:t xml:space="preserve">Создать OtherHandler и систему логирования unknown сервисов</w:t>
      </w:r>
    </w:p>
    <w:p>
      <w:pPr>
        <w:pStyle w:val="ListParagraph"/>
        <w:numPr>
          <w:ilvl w:val="0"/>
          <w:numId w:val="6"/>
        </w:numPr>
      </w:pPr>
      <w:r>
        <w:t xml:space="preserve">Разработать RecommendationEngine на основе конфигов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Добавить модульные тесты для всех компонентов движка</w:t>
      </w:r>
    </w:p>
    <w:p>
      <w:pPr>
        <w:pStyle w:val="Heading2"/>
      </w:pPr>
      <w:r>
        <w:t xml:space="preserve">Фаза 3: Configuration Migration (1-2 недели)</w:t>
      </w:r>
    </w:p>
    <w:p>
      <w:pPr>
        <w:pStyle w:val="ListParagraph"/>
        <w:numPr>
          <w:ilvl w:val="0"/>
          <w:numId w:val="7"/>
        </w:numPr>
      </w:pPr>
      <w:r>
        <w:t xml:space="preserve">Вынести SERVICE_CATEGORIES из analyzer.ts в конфиги</w:t>
      </w:r>
    </w:p>
    <w:p>
      <w:pPr>
        <w:pStyle w:val="ListParagraph"/>
        <w:numPr>
          <w:ilvl w:val="0"/>
          <w:numId w:val="7"/>
        </w:numPr>
      </w:pPr>
      <w:r>
        <w:t xml:space="preserve">Создать конфигурации для основных сервисов (SMB, HTTP, SSH, RDP, MSSQL, AD)</w:t>
      </w:r>
    </w:p>
    <w:p>
      <w:pPr>
        <w:pStyle w:val="ListParagraph"/>
        <w:numPr>
          <w:ilvl w:val="0"/>
          <w:numId w:val="7"/>
        </w:numPr>
      </w:pPr>
      <w:r>
        <w:t xml:space="preserve">Перенести generateRecommendations в конфиг-ориентированный формат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Удалить hardcoded логику из кода приложения</w:t>
      </w:r>
    </w:p>
    <w:p>
      <w:pPr>
        <w:pStyle w:val="Heading2"/>
      </w:pPr>
      <w:r>
        <w:t xml:space="preserve">Фаза 4: Dynamic UI (2-3 недели)</w:t>
      </w:r>
    </w:p>
    <w:p>
      <w:pPr>
        <w:pStyle w:val="ListParagraph"/>
        <w:numPr>
          <w:ilvl w:val="0"/>
          <w:numId w:val="8"/>
        </w:numPr>
      </w:pPr>
      <w:r>
        <w:t xml:space="preserve">Реализовать Component Factory</w:t>
      </w:r>
    </w:p>
    <w:p>
      <w:pPr>
        <w:pStyle w:val="ListParagraph"/>
        <w:numPr>
          <w:ilvl w:val="0"/>
          <w:numId w:val="8"/>
        </w:numPr>
      </w:pPr>
      <w:r>
        <w:t xml:space="preserve">Создать конфигурируемые компоненты для рекомендаций</w:t>
      </w:r>
    </w:p>
    <w:p>
      <w:pPr>
        <w:pStyle w:val="ListParagraph"/>
        <w:numPr>
          <w:ilvl w:val="0"/>
          <w:numId w:val="8"/>
        </w:numPr>
      </w:pPr>
      <w:r>
        <w:t xml:space="preserve">Добавить UI для просмотра "Other" сервисов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Реализовать экспорт/импорт конфигураций через UI</w:t>
      </w:r>
    </w:p>
    <w:p>
      <w:pPr>
        <w:pStyle w:val="Heading2"/>
      </w:pPr>
      <w:r>
        <w:t xml:space="preserve">Фаза 5: Polish &amp; Documentation (1-2 недели)</w:t>
      </w:r>
    </w:p>
    <w:p>
      <w:pPr>
        <w:pStyle w:val="ListParagraph"/>
        <w:numPr>
          <w:ilvl w:val="0"/>
          <w:numId w:val="9"/>
        </w:numPr>
      </w:pPr>
      <w:r>
        <w:t xml:space="preserve">Написать документацию для ИБ-специалистов по созданию конфигов</w:t>
      </w:r>
    </w:p>
    <w:p>
      <w:pPr>
        <w:pStyle w:val="ListParagraph"/>
        <w:numPr>
          <w:ilvl w:val="0"/>
          <w:numId w:val="9"/>
        </w:numPr>
      </w:pPr>
      <w:r>
        <w:t xml:space="preserve">Создать шаблоны конфигураций для популярных сервисов</w:t>
      </w:r>
    </w:p>
    <w:p>
      <w:pPr>
        <w:pStyle w:val="ListParagraph"/>
        <w:numPr>
          <w:ilvl w:val="0"/>
          <w:numId w:val="9"/>
        </w:numPr>
      </w:pPr>
      <w:r>
        <w:t xml:space="preserve">Оптимизировать производительность для больших сканов</w:t>
      </w:r>
    </w:p>
    <w:p>
      <w:pPr>
        <w:pStyle w:val="ListParagraph"/>
        <w:numPr>
          <w:ilvl w:val="0"/>
          <w:numId w:val="9"/>
        </w:numPr>
      </w:pPr>
      <w:r>
        <w:t xml:space="preserve">Финальное тестирование и подготовка к релизу</w:t>
      </w:r>
    </w:p>
    <w:p>
      <w:pPr>
        <w:pStyle w:val="Heading1"/>
        <w:spacing w:before="400"/>
      </w:pPr>
      <w:r>
        <w:t xml:space="preserve">Заключение</w:t>
      </w:r>
    </w:p>
    <w:p>
      <w:pPr>
        <w:spacing w:after="200"/>
      </w:pPr>
      <w:r>
        <w:t xml:space="preserve">Предложенная Configuration-Driven архитектура обеспечивает полную отделимость базы знаний от кода приложения. ИБ-специалисты получают возможность расширять систему без участия разработчиков, просто создавая новые TypeScript-конфигурации. Трёхуровневая архитектура (Data → Engine → Presentation) обеспечивает чистое разделение ответственности, а паттерн Component Factory позволяет динамически рендерить UI на основе конфигураций. Система обработки "Other" сервисов гарантирует, что никакие данные не теряются, а слепые зоны базы знаний легко идентифицируются для последующего расширения.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—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Pentest Assistant — Architecture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2026-03-14T16:37:20.437Z</dcterms:created>
  <dcterms:modified xsi:type="dcterms:W3CDTF">2026-03-14T16:37:20.437Z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