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ASSET REVERSION AND FORWARD COMMITMENT AGREEMENT</w:t>
      </w:r>
    </w:p>
    <w:p>
      <w:pPr>
        <w:spacing w:after="60"/>
        <w:jc w:val="center"/>
      </w:pPr>
      <w:r>
        <w:rPr>
          <w:rFonts w:ascii="Times New Roman" w:cs="Times New Roman" w:eastAsia="Times New Roman" w:hAnsi="Times New Roman"/>
          <w:i/>
          <w:iCs/>
          <w:sz w:val="22"/>
          <w:szCs w:val="22"/>
        </w:rPr>
        <w:t xml:space="preserve">Social Gear Media LLC and SPLT INC — Legacy Mold &amp; Retained Channels; Transfer Upon SBA Loan Repayment</w:t>
      </w:r>
    </w:p>
    <w:p>
      <w:pPr>
        <w:spacing w:after="240"/>
        <w:jc w:val="center"/>
      </w:pPr>
      <w:r>
        <w:rPr>
          <w:rFonts w:ascii="Times New Roman" w:cs="Times New Roman" w:eastAsia="Times New Roman" w:hAnsi="Times New Roman"/>
          <w:b/>
          <w:bCs/>
          <w:color w:val="CC0000"/>
          <w:sz w:val="20"/>
          <w:szCs w:val="20"/>
        </w:rPr>
        <w:t xml:space="preserve">DRAFT — PREPARED 7/3/2026 FOR ATTORNEY REVIEW — NOT LEGAL ADVICE</w:t>
      </w:r>
    </w:p>
    <w:p>
      <w:pPr>
        <w:spacing w:after="120"/>
        <w:jc w:val="both"/>
      </w:pPr>
      <w:r>
        <w:rPr>
          <w:rFonts w:ascii="Times New Roman" w:cs="Times New Roman" w:eastAsia="Times New Roman" w:hAnsi="Times New Roman"/>
          <w:sz w:val="22"/>
          <w:szCs w:val="22"/>
        </w:rPr>
        <w:t xml:space="preserve">This Asset Reversion and Forward Commitment Agreement (this "Agreement") is entered into effective as of July 1, 2026 (the "Effective Date"), by and between SOCIAL GEAR MEDIA LLC, a California limited liability company ("SGM"), and SPLT INC, a Delaware corporation ("SPLT"). The parties are under common ownership.</w:t>
      </w:r>
    </w:p>
    <w:p>
      <w:pPr>
        <w:spacing w:after="100" w:before="220"/>
      </w:pPr>
      <w:r>
        <w:rPr>
          <w:rFonts w:ascii="Times New Roman" w:cs="Times New Roman" w:eastAsia="Times New Roman" w:hAnsi="Times New Roman"/>
          <w:b/>
          <w:bCs/>
          <w:sz w:val="22"/>
          <w:szCs w:val="22"/>
        </w:rPr>
        <w:t xml:space="preserve">RECITALS</w:t>
      </w:r>
    </w:p>
    <w:p>
      <w:pPr>
        <w:spacing w:after="120"/>
        <w:jc w:val="both"/>
      </w:pPr>
      <w:r>
        <w:rPr>
          <w:rFonts w:ascii="Times New Roman" w:cs="Times New Roman" w:eastAsia="Times New Roman" w:hAnsi="Times New Roman"/>
          <w:sz w:val="22"/>
          <w:szCs w:val="22"/>
        </w:rPr>
        <w:t xml:space="preserve">A. SGM owns the legacy injection tooling used to produce Splitflask product (the "Legacy Mold") and operates the Macy's and Walmart retail channels (the "Retained Channels"). SGM is the borrower under an SBA COVID EIDL loan of original principal $404,200 (the "SBA Loan"), which is secured by a blanket lien on SGM's business assets and personally guaranteed by the parties' common owner.</w:t>
      </w:r>
    </w:p>
    <w:p>
      <w:pPr>
        <w:spacing w:after="120"/>
        <w:jc w:val="both"/>
      </w:pPr>
      <w:r>
        <w:rPr>
          <w:rFonts w:ascii="Times New Roman" w:cs="Times New Roman" w:eastAsia="Times New Roman" w:hAnsi="Times New Roman"/>
          <w:sz w:val="22"/>
          <w:szCs w:val="22"/>
        </w:rPr>
        <w:t xml:space="preserve">B. SGM will retain and operate the Legacy Mold and Retained Channels to generate revenue to service the SBA Loan, under a limited license from SPLT of even date. The parties intend that, once the SBA Loan is repaid, these assets consolidate into SPLT.</w:t>
      </w:r>
    </w:p>
    <w:p>
      <w:pPr>
        <w:spacing w:after="120"/>
        <w:jc w:val="both"/>
      </w:pPr>
      <w:r>
        <w:rPr>
          <w:rFonts w:ascii="Times New Roman" w:cs="Times New Roman" w:eastAsia="Times New Roman" w:hAnsi="Times New Roman"/>
          <w:sz w:val="22"/>
          <w:szCs w:val="22"/>
        </w:rPr>
        <w:t xml:space="preserve">C. The parties enter this Agreement so that the future transfer is a binding, documented commitment rather than an expectation — a matter of importance to SPLT's investors.</w:t>
      </w:r>
    </w:p>
    <w:p>
      <w:pPr>
        <w:spacing w:after="100" w:before="220"/>
      </w:pPr>
      <w:r>
        <w:rPr>
          <w:rFonts w:ascii="Times New Roman" w:cs="Times New Roman" w:eastAsia="Times New Roman" w:hAnsi="Times New Roman"/>
          <w:b/>
          <w:bCs/>
          <w:sz w:val="22"/>
          <w:szCs w:val="22"/>
        </w:rPr>
        <w:t xml:space="preserve">1. BINDING FORWARD COMMITMENT</w:t>
      </w:r>
    </w:p>
    <w:p>
      <w:pPr>
        <w:spacing w:after="120"/>
        <w:jc w:val="both"/>
      </w:pPr>
      <w:r>
        <w:rPr>
          <w:rFonts w:ascii="Times New Roman" w:cs="Times New Roman" w:eastAsia="Times New Roman" w:hAnsi="Times New Roman"/>
          <w:sz w:val="22"/>
          <w:szCs w:val="22"/>
        </w:rPr>
        <w:t xml:space="preserve">SGM irrevocably commits to sell, assign, and transfer to SPLT, and SPLT commits to acquire, the Legacy Mold and the Retained Channels (including all related accounts, listings, vendor relationships, and goodwill) automatically and without further negotiation upon the Trigger Event defined below. This commitment is binding as of the Effective Date and runs with the assets; SGM shall not sell, encumber (except the existing SBA lien), or transfer the assets to any third party in the interim.</w:t>
      </w:r>
    </w:p>
    <w:p>
      <w:pPr>
        <w:spacing w:after="100" w:before="220"/>
      </w:pPr>
      <w:r>
        <w:rPr>
          <w:rFonts w:ascii="Times New Roman" w:cs="Times New Roman" w:eastAsia="Times New Roman" w:hAnsi="Times New Roman"/>
          <w:b/>
          <w:bCs/>
          <w:sz w:val="22"/>
          <w:szCs w:val="22"/>
        </w:rPr>
        <w:t xml:space="preserve">2. TRIGGER EVENT</w:t>
      </w:r>
    </w:p>
    <w:p>
      <w:pPr>
        <w:spacing w:after="120"/>
        <w:jc w:val="both"/>
      </w:pPr>
      <w:r>
        <w:rPr>
          <w:rFonts w:ascii="Times New Roman" w:cs="Times New Roman" w:eastAsia="Times New Roman" w:hAnsi="Times New Roman"/>
          <w:sz w:val="22"/>
          <w:szCs w:val="22"/>
        </w:rPr>
        <w:t xml:space="preserve">The "Trigger Event" is the payment in full or discharge of the SBA Loan and the corresponding release of the SBA's lien on the assets. SGM shall notify SPLT and provide the SBA payoff/lien-release documentation within ten (10) days.</w:t>
      </w:r>
    </w:p>
    <w:p>
      <w:pPr>
        <w:spacing w:after="100" w:before="220"/>
      </w:pPr>
      <w:r>
        <w:rPr>
          <w:rFonts w:ascii="Times New Roman" w:cs="Times New Roman" w:eastAsia="Times New Roman" w:hAnsi="Times New Roman"/>
          <w:b/>
          <w:bCs/>
          <w:sz w:val="22"/>
          <w:szCs w:val="22"/>
        </w:rPr>
        <w:t xml:space="preserve">3. CONSIDERATION</w:t>
      </w:r>
    </w:p>
    <w:p>
      <w:pPr>
        <w:spacing w:after="120"/>
        <w:jc w:val="both"/>
      </w:pPr>
      <w:r>
        <w:rPr>
          <w:rFonts w:ascii="Times New Roman" w:cs="Times New Roman" w:eastAsia="Times New Roman" w:hAnsi="Times New Roman"/>
          <w:sz w:val="22"/>
          <w:szCs w:val="22"/>
        </w:rPr>
        <w:t xml:space="preserve">[SELECT WITH COUNSEL/CPA: (a) nominal consideration ($[__]), the parties acknowledging the assets will by then be substantially depreciated and the commitment was bargained for as part of SPLT's overall capitalization; or (b) fair market value as of the Trigger Event, determined by [method].] The parties acknowledge tax consequences may attach to the transfer and will consult their advisors.</w:t>
      </w:r>
    </w:p>
    <w:p>
      <w:pPr>
        <w:spacing w:after="100" w:before="220"/>
      </w:pPr>
      <w:r>
        <w:rPr>
          <w:rFonts w:ascii="Times New Roman" w:cs="Times New Roman" w:eastAsia="Times New Roman" w:hAnsi="Times New Roman"/>
          <w:b/>
          <w:bCs/>
          <w:sz w:val="22"/>
          <w:szCs w:val="22"/>
        </w:rPr>
        <w:t xml:space="preserve">4. SBA COMPLIANCE — NO PRESENT TRANSFER</w:t>
      </w:r>
    </w:p>
    <w:p>
      <w:pPr>
        <w:spacing w:after="120"/>
        <w:jc w:val="both"/>
      </w:pPr>
      <w:r>
        <w:rPr>
          <w:rFonts w:ascii="Times New Roman" w:cs="Times New Roman" w:eastAsia="Times New Roman" w:hAnsi="Times New Roman"/>
          <w:sz w:val="22"/>
          <w:szCs w:val="22"/>
        </w:rPr>
        <w:t xml:space="preserve">The parties acknowledge and intend that NO sale, assignment, or transfer of any SBA collateral occurs on or before the Trigger Event. Title, possession, and control of the Legacy Mold and Retained Channels remain wholly with SGM until the SBA Loan is discharged and the lien released. This Agreement creates only a future obligation contingent on lien release and does not violate the SBA Loan's covenant against transfer of collateral. [CONFIRM with SBA loan documents and counsel that a binding executory commitment contingent on payoff is permissible; if any doubt, disclose to SBA.]</w:t>
      </w:r>
    </w:p>
    <w:p>
      <w:pPr>
        <w:spacing w:after="100" w:before="220"/>
      </w:pPr>
      <w:r>
        <w:rPr>
          <w:rFonts w:ascii="Times New Roman" w:cs="Times New Roman" w:eastAsia="Times New Roman" w:hAnsi="Times New Roman"/>
          <w:b/>
          <w:bCs/>
          <w:sz w:val="22"/>
          <w:szCs w:val="22"/>
        </w:rPr>
        <w:t xml:space="preserve">5. INTERIM COVENANTS</w:t>
      </w:r>
    </w:p>
    <w:p>
      <w:pPr>
        <w:spacing w:after="120"/>
        <w:jc w:val="both"/>
      </w:pPr>
      <w:r>
        <w:rPr>
          <w:rFonts w:ascii="Times New Roman" w:cs="Times New Roman" w:eastAsia="Times New Roman" w:hAnsi="Times New Roman"/>
          <w:sz w:val="22"/>
          <w:szCs w:val="22"/>
        </w:rPr>
        <w:t xml:space="preserve">Until the Trigger Event, SGM shall: keep the SBA Loan current; maintain the Legacy Mold in working condition; operate the Retained Channels in the ordinary course; and not take any action that would impair the value of the assets to SPLT.</w:t>
      </w:r>
    </w:p>
    <w:p>
      <w:pPr>
        <w:spacing w:after="100" w:before="220"/>
      </w:pPr>
      <w:r>
        <w:rPr>
          <w:rFonts w:ascii="Times New Roman" w:cs="Times New Roman" w:eastAsia="Times New Roman" w:hAnsi="Times New Roman"/>
          <w:b/>
          <w:bCs/>
          <w:sz w:val="22"/>
          <w:szCs w:val="22"/>
        </w:rPr>
        <w:t xml:space="preserve">6. FURTHER ASSURANCES</w:t>
      </w:r>
    </w:p>
    <w:p>
      <w:pPr>
        <w:spacing w:after="120"/>
        <w:jc w:val="both"/>
      </w:pPr>
      <w:r>
        <w:rPr>
          <w:rFonts w:ascii="Times New Roman" w:cs="Times New Roman" w:eastAsia="Times New Roman" w:hAnsi="Times New Roman"/>
          <w:sz w:val="22"/>
          <w:szCs w:val="22"/>
        </w:rPr>
        <w:t xml:space="preserve">Upon the Trigger Event, each party shall execute a bill of sale, channel-transfer documentation, and any other instruments reasonably necessary to vest the assets in SPLT free and clear.</w:t>
      </w:r>
    </w:p>
    <w:p>
      <w:pPr>
        <w:spacing w:after="100" w:before="220"/>
      </w:pPr>
      <w:r>
        <w:rPr>
          <w:rFonts w:ascii="Times New Roman" w:cs="Times New Roman" w:eastAsia="Times New Roman" w:hAnsi="Times New Roman"/>
          <w:b/>
          <w:bCs/>
          <w:sz w:val="22"/>
          <w:szCs w:val="22"/>
        </w:rPr>
        <w:t xml:space="preserve">7. INVESTOR RELIANCE</w:t>
      </w:r>
    </w:p>
    <w:p>
      <w:pPr>
        <w:spacing w:after="120"/>
        <w:jc w:val="both"/>
      </w:pPr>
      <w:r>
        <w:rPr>
          <w:rFonts w:ascii="Times New Roman" w:cs="Times New Roman" w:eastAsia="Times New Roman" w:hAnsi="Times New Roman"/>
          <w:sz w:val="22"/>
          <w:szCs w:val="22"/>
        </w:rPr>
        <w:t xml:space="preserve">The parties acknowledge that SPLT's investors are relying on this forward commitment as part of SPLT's asset base and that this Agreement is intended to be enforceable for their benefit.</w:t>
      </w:r>
    </w:p>
    <w:p>
      <w:pPr>
        <w:spacing w:after="100" w:before="220"/>
      </w:pPr>
      <w:r>
        <w:rPr>
          <w:rFonts w:ascii="Times New Roman" w:cs="Times New Roman" w:eastAsia="Times New Roman" w:hAnsi="Times New Roman"/>
          <w:b/>
          <w:bCs/>
          <w:sz w:val="22"/>
          <w:szCs w:val="22"/>
        </w:rPr>
        <w:t xml:space="preserve">8. GENERAL</w:t>
      </w:r>
    </w:p>
    <w:p>
      <w:pPr>
        <w:spacing w:after="120"/>
        <w:jc w:val="both"/>
      </w:pPr>
      <w:r>
        <w:rPr>
          <w:rFonts w:ascii="Times New Roman" w:cs="Times New Roman" w:eastAsia="Times New Roman" w:hAnsi="Times New Roman"/>
          <w:sz w:val="22"/>
          <w:szCs w:val="22"/>
        </w:rPr>
        <w:t xml:space="preserve">Entire agreement as to its subject matter; governed by California law; counterparts and electronic signatures permitted. Interested-party transaction approved by the common owner and to be recorded in SPLT's minutes.</w:t>
      </w:r>
    </w:p>
    <w:p>
      <w:pPr>
        <w:spacing w:after="120" w:before="360"/>
      </w:pPr>
      <w:r>
        <w:rPr>
          <w:rFonts w:ascii="Times New Roman" w:cs="Times New Roman" w:eastAsia="Times New Roman" w:hAnsi="Times New Roman"/>
          <w:sz w:val="22"/>
          <w:szCs w:val="22"/>
        </w:rPr>
        <w:t xml:space="preserve">IN WITNESS WHEREOF, the parties execute this agreement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2026-07-04T06:02:49.452Z</dcterms:created>
  <dcterms:modified xsi:type="dcterms:W3CDTF">2026-07-04T06:02:49.452Z</dcterms:modified>
</cp:coreProperties>
</file>

<file path=docProps/custom.xml><?xml version="1.0" encoding="utf-8"?>
<Properties xmlns="http://schemas.openxmlformats.org/officeDocument/2006/custom-properties" xmlns:vt="http://schemas.openxmlformats.org/officeDocument/2006/docPropsVTypes"/>
</file>