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sz w:val="30"/>
          <w:szCs w:val="30"/>
        </w:rPr>
        <w:t xml:space="preserve">Re: 2024 Form 1120-S Amendment — Social Gear Media LLC (EIN 83-3077502)</w:t>
      </w:r>
    </w:p>
    <w:p>
      <w:pPr>
        <w:spacing w:after="200"/>
      </w:pPr>
      <w:r>
        <w:rPr>
          <w:rFonts w:ascii="Calibri" w:cs="Calibri" w:eastAsia="Calibri" w:hAnsi="Calibri"/>
          <w:i/>
          <w:iCs/>
          <w:color w:val="555555"/>
          <w:sz w:val="20"/>
          <w:szCs w:val="20"/>
        </w:rPr>
        <w:t xml:space="preserve">From: Arize Nwosu, Managing Member  |  Date: July ___, 2026  |  Enclosures: 3 workbooks</w:t>
      </w:r>
    </w:p>
    <w:p>
      <w:pPr>
        <w:spacing w:after="120"/>
        <w:jc w:val="both"/>
      </w:pPr>
      <w:r>
        <w:rPr>
          <w:rFonts w:ascii="Calibri" w:cs="Calibri" w:eastAsia="Calibri" w:hAnsi="Calibri"/>
          <w:b/>
          <w:bCs/>
          <w:sz w:val="22"/>
          <w:szCs w:val="22"/>
        </w:rPr>
        <w:t xml:space="preserve">TJ — </w:t>
      </w:r>
      <w:r>
        <w:rPr>
          <w:rFonts w:ascii="Calibri" w:cs="Calibri" w:eastAsia="Calibri" w:hAnsi="Calibri"/>
          <w:sz w:val="22"/>
          <w:szCs w:val="22"/>
        </w:rPr>
        <w:t xml:space="preserve">Here is everything you need to amend Social Gear Media's 2024 S-corp return. I've done a complete bank-based reconstruction of the year, so the amendment figures are already computed and tie to the Wells Fargo statements to the penny. This letter is the roadmap; the enclosed workbooks are the support. My goal is for you to be able to execute quickly without a back-and-forth. Where I've made a judgment call, I say so; where I need your professional sign-off, I flag it explicitly.</w:t>
      </w:r>
    </w:p>
    <w:p>
      <w:pPr>
        <w:spacing w:after="100" w:before="240"/>
      </w:pPr>
      <w:r>
        <w:rPr>
          <w:rFonts w:ascii="Calibri" w:cs="Calibri" w:eastAsia="Calibri" w:hAnsi="Calibri"/>
          <w:b/>
          <w:bCs/>
          <w:sz w:val="24"/>
          <w:szCs w:val="24"/>
        </w:rPr>
        <w:t xml:space="preserve">1. Why the return needs amending</w:t>
      </w:r>
    </w:p>
    <w:p>
      <w:pPr>
        <w:spacing w:after="120"/>
        <w:jc w:val="both"/>
      </w:pPr>
      <w:r>
        <w:rPr>
          <w:rFonts w:ascii="Calibri" w:cs="Calibri" w:eastAsia="Calibri" w:hAnsi="Calibri"/>
          <w:sz w:val="22"/>
          <w:szCs w:val="22"/>
        </w:rPr>
        <w:t xml:space="preserve">The originally filed 2024 return was prepared from an internal bookkeeping P&amp;L that turned out to be incomplete on both the income and expense sides. It was not built from the bank statements. When I reconstructed the full year from the actual Wells Fargo activity, both revenue and cost of goods sold were materially understated. The good news is that they were understated by roughly similar amounts, so the correction largely offsets and does not create a significant tax liability — but the return needs to be right, especially with investor due diligence underway.</w:t>
      </w:r>
    </w:p>
    <w:p>
      <w:pPr>
        <w:spacing w:after="100" w:before="240"/>
      </w:pPr>
      <w:r>
        <w:rPr>
          <w:rFonts w:ascii="Calibri" w:cs="Calibri" w:eastAsia="Calibri" w:hAnsi="Calibri"/>
          <w:b/>
          <w:bCs/>
          <w:sz w:val="24"/>
          <w:szCs w:val="24"/>
        </w:rPr>
        <w:t xml:space="preserve">2. The two changes (both traced to the bank)</w:t>
      </w:r>
    </w:p>
    <w:p>
      <w:pPr>
        <w:spacing w:after="120"/>
        <w:jc w:val="both"/>
      </w:pPr>
      <w:r>
        <w:rPr>
          <w:rFonts w:ascii="Calibri" w:cs="Calibri" w:eastAsia="Calibri" w:hAnsi="Calibri"/>
          <w:b/>
          <w:bCs/>
          <w:sz w:val="22"/>
          <w:szCs w:val="22"/>
        </w:rPr>
        <w:t xml:space="preserve">Gross receipts (Line 1a): $418,990 → $560,938 (+$141,948). </w:t>
      </w:r>
      <w:r>
        <w:rPr>
          <w:rFonts w:ascii="Calibri" w:cs="Calibri" w:eastAsia="Calibri" w:hAnsi="Calibri"/>
          <w:sz w:val="22"/>
          <w:szCs w:val="22"/>
        </w:rPr>
        <w:t xml:space="preserve">I classified all 906 deposit lines across the twelve 2024 statements. The $560,938 is Splitflask sales revenue, reported NET of platform fees (i.e., the actual cash that hit the account). I intentionally did not gross-up for marketplace fees — net ties exactly to the bank and is the cleaner figure to defend. Detail is in the Deposit Classification workbook.</w:t>
      </w:r>
    </w:p>
    <w:p>
      <w:pPr>
        <w:spacing w:after="120"/>
        <w:jc w:val="both"/>
      </w:pPr>
      <w:r>
        <w:rPr>
          <w:rFonts w:ascii="Calibri" w:cs="Calibri" w:eastAsia="Calibri" w:hAnsi="Calibri"/>
          <w:b/>
          <w:bCs/>
          <w:sz w:val="22"/>
          <w:szCs w:val="22"/>
        </w:rPr>
        <w:t xml:space="preserve">Cost of goods sold (Line 2 / Form 1125-A): $270,032 → $393,532 (+$123,500). </w:t>
      </w:r>
      <w:r>
        <w:rPr>
          <w:rFonts w:ascii="Calibri" w:cs="Calibri" w:eastAsia="Calibri" w:hAnsi="Calibri"/>
          <w:sz w:val="22"/>
          <w:szCs w:val="22"/>
        </w:rPr>
        <w:t xml:space="preserve">Bank-verified factory purchases (Kangdao, Tuowei Baina, Wangbuliao Leather, Zunhuang freight, Alibaba, Uline) totaled $455,932 for the year. Amended COGS = $455,932 purchases minus $62,400 ending inventory = $393,532.</w:t>
      </w:r>
    </w:p>
    <w:p>
      <w:pPr>
        <w:spacing w:after="120"/>
        <w:jc w:val="both"/>
      </w:pPr>
      <w:r>
        <w:rPr>
          <w:rFonts w:ascii="Calibri" w:cs="Calibri" w:eastAsia="Calibri" w:hAnsi="Calibri"/>
          <w:b/>
          <w:bCs/>
          <w:sz w:val="22"/>
          <w:szCs w:val="22"/>
        </w:rPr>
        <w:t xml:space="preserve">Net effect: </w:t>
      </w:r>
      <w:r>
        <w:rPr>
          <w:rFonts w:ascii="Calibri" w:cs="Calibri" w:eastAsia="Calibri" w:hAnsi="Calibri"/>
          <w:sz w:val="22"/>
          <w:szCs w:val="22"/>
        </w:rPr>
        <w:t xml:space="preserve">ordinary loss moves from ($33,351) to approximately ($14,903) — a swing of about +$18,448. It remains a passthrough loss, so I don't expect cash tax due, but please confirm against my shareholder basis and the interplay with my 1040.</w:t>
      </w:r>
    </w:p>
    <w:p>
      <w:pPr>
        <w:spacing w:after="100" w:before="240"/>
      </w:pPr>
      <w:r>
        <w:rPr>
          <w:rFonts w:ascii="Calibri" w:cs="Calibri" w:eastAsia="Calibri" w:hAnsi="Calibri"/>
          <w:b/>
          <w:bCs/>
          <w:sz w:val="24"/>
          <w:szCs w:val="24"/>
        </w:rPr>
        <w:t xml:space="preserve">3. How I'd like COGS handled (one important mechanic)</w:t>
      </w:r>
    </w:p>
    <w:p>
      <w:pPr>
        <w:spacing w:after="120"/>
        <w:jc w:val="both"/>
      </w:pPr>
      <w:r>
        <w:rPr>
          <w:rFonts w:ascii="Calibri" w:cs="Calibri" w:eastAsia="Calibri" w:hAnsi="Calibri"/>
          <w:b/>
          <w:bCs/>
          <w:sz w:val="22"/>
          <w:szCs w:val="22"/>
        </w:rPr>
        <w:t xml:space="preserve">Please REPLACE the COGS line rather than adding to it. </w:t>
      </w:r>
      <w:r>
        <w:rPr>
          <w:rFonts w:ascii="Calibri" w:cs="Calibri" w:eastAsia="Calibri" w:hAnsi="Calibri"/>
          <w:sz w:val="22"/>
          <w:szCs w:val="22"/>
        </w:rPr>
        <w:t xml:space="preserve">Rebuild Form 1125-A from the bottom up: Purchases $455,932, ending inventory $62,400, COGS $393,532. Do not add the $123,500 increment on top of the old $270,032. The reason: the original $270,032 was entered entirely on Line 5 'Other costs' and, per the P&amp;L I originally gave you, was the sum of two buckets ('Materials &amp; Supplies $150,577' + 'Other business expenses $119,455'). Rebuilding from source avoids any ambiguity about what that original figure contained.</w:t>
      </w:r>
    </w:p>
    <w:p>
      <w:pPr>
        <w:spacing w:after="100" w:before="240"/>
      </w:pPr>
      <w:r>
        <w:rPr>
          <w:rFonts w:ascii="Calibri" w:cs="Calibri" w:eastAsia="Calibri" w:hAnsi="Calibri"/>
          <w:b/>
          <w:bCs/>
          <w:sz w:val="24"/>
          <w:szCs w:val="24"/>
        </w:rPr>
        <w:t xml:space="preserve">4. Ending inventory — my support and where I need your method call</w:t>
      </w:r>
    </w:p>
    <w:p>
      <w:pPr>
        <w:spacing w:after="120"/>
        <w:jc w:val="both"/>
      </w:pPr>
      <w:r>
        <w:rPr>
          <w:rFonts w:ascii="Calibri" w:cs="Calibri" w:eastAsia="Calibri" w:hAnsi="Calibri"/>
          <w:b/>
          <w:bCs/>
          <w:sz w:val="22"/>
          <w:szCs w:val="22"/>
        </w:rPr>
        <w:t xml:space="preserve">The $62,400 is 6,000 units × $10.40 landed cost ($9.60 product + $1.30 freight). </w:t>
      </w:r>
      <w:r>
        <w:rPr>
          <w:rFonts w:ascii="Calibri" w:cs="Calibri" w:eastAsia="Calibri" w:hAnsi="Calibri"/>
          <w:sz w:val="22"/>
          <w:szCs w:val="22"/>
        </w:rPr>
        <w:t xml:space="preserve">The 6,000-unit count is supported by a physical inventory photo dated December 24, 2024. Two notes for you: (a) the photo predates year-end by one week of holiday sales, so true 12/31 inventory may be slightly lower, which would only increase the deduction; and (b) please apply whatever inventory valuation method is consistent with the books (FIFO or weighted average). If you'd prefer a system figure, I can pull a year-end on-hand report from Veeqo to corroborate — tell me if you want it.</w:t>
      </w:r>
    </w:p>
    <w:p>
      <w:pPr>
        <w:spacing w:after="100" w:before="240"/>
      </w:pPr>
      <w:r>
        <w:rPr>
          <w:rFonts w:ascii="Calibri" w:cs="Calibri" w:eastAsia="Calibri" w:hAnsi="Calibri"/>
          <w:b/>
          <w:bCs/>
          <w:sz w:val="24"/>
          <w:szCs w:val="24"/>
        </w:rPr>
        <w:t xml:space="preserve">5. What I did NOT change, on purpose</w:t>
      </w:r>
    </w:p>
    <w:p>
      <w:pPr>
        <w:spacing w:after="120"/>
        <w:jc w:val="both"/>
      </w:pPr>
      <w:r>
        <w:rPr>
          <w:rFonts w:ascii="Calibri" w:cs="Calibri" w:eastAsia="Calibri" w:hAnsi="Calibri"/>
          <w:b/>
          <w:bCs/>
          <w:sz w:val="22"/>
          <w:szCs w:val="22"/>
        </w:rPr>
        <w:t xml:space="preserve">Other deductions (Line 20), filed at $107,380 — I left alone. </w:t>
      </w:r>
      <w:r>
        <w:rPr>
          <w:rFonts w:ascii="Calibri" w:cs="Calibri" w:eastAsia="Calibri" w:hAnsi="Calibri"/>
          <w:sz w:val="22"/>
          <w:szCs w:val="22"/>
        </w:rPr>
        <w:t xml:space="preserve">My bank reconstruction of non-COGS operating expenses (software/subscriptions, legal &amp; professional, commissions, rents, taxes, bank charges, office) came to about $107,983 — essentially identical to what was filed. So the original return captured operating expenses correctly; it only missed revenue and COGS. I flagged this as 'HOLD' in the summary tab for your confirmation, but I don't believe Line 20 needs to move. Rents (Line 11) is the one small exception — the bank shows ~$30,241 of warehouse rent vs. $22,500 filed; your call whether to true that up.</w:t>
      </w:r>
    </w:p>
    <w:p>
      <w:pPr>
        <w:spacing w:after="100" w:before="240"/>
      </w:pPr>
      <w:r>
        <w:rPr>
          <w:rFonts w:ascii="Calibri" w:cs="Calibri" w:eastAsia="Calibri" w:hAnsi="Calibri"/>
          <w:b/>
          <w:bCs/>
          <w:sz w:val="24"/>
          <w:szCs w:val="24"/>
        </w:rPr>
        <w:t xml:space="preserve">6. Items I need your professional judgment on before filing</w:t>
      </w:r>
    </w:p>
    <w:p>
      <w:pPr>
        <w:spacing w:after="100"/>
      </w:pPr>
      <w:r>
        <w:rPr>
          <w:rFonts w:ascii="Calibri" w:cs="Calibri" w:eastAsia="Calibri" w:hAnsi="Calibri"/>
          <w:b/>
          <w:bCs/>
          <w:sz w:val="22"/>
          <w:szCs w:val="22"/>
        </w:rPr>
        <w:t xml:space="preserve">1.  </w:t>
      </w:r>
      <w:r>
        <w:rPr>
          <w:rFonts w:ascii="Calibri" w:cs="Calibri" w:eastAsia="Calibri" w:hAnsi="Calibri"/>
          <w:b/>
          <w:bCs/>
          <w:sz w:val="22"/>
          <w:szCs w:val="22"/>
        </w:rPr>
        <w:t xml:space="preserve">Wire timing / accrual. </w:t>
      </w:r>
      <w:r>
        <w:rPr>
          <w:rFonts w:ascii="Calibri" w:cs="Calibri" w:eastAsia="Calibri" w:hAnsi="Calibri"/>
          <w:sz w:val="22"/>
          <w:szCs w:val="22"/>
        </w:rPr>
        <w:t xml:space="preserve">Confirm the $455,932 of factory wires were all for goods received in 2024. If any Q4 wire was a prepayment for product that arrived in 2025, that portion should shift to 2025 inventory/COGS.</w:t>
      </w:r>
    </w:p>
    <w:p>
      <w:pPr>
        <w:spacing w:after="100"/>
      </w:pPr>
      <w:r>
        <w:rPr>
          <w:rFonts w:ascii="Calibri" w:cs="Calibri" w:eastAsia="Calibri" w:hAnsi="Calibri"/>
          <w:b/>
          <w:bCs/>
          <w:sz w:val="22"/>
          <w:szCs w:val="22"/>
        </w:rPr>
        <w:t xml:space="preserve">2.  </w:t>
      </w:r>
      <w:r>
        <w:rPr>
          <w:rFonts w:ascii="Calibri" w:cs="Calibri" w:eastAsia="Calibri" w:hAnsi="Calibri"/>
          <w:b/>
          <w:bCs/>
          <w:sz w:val="22"/>
          <w:szCs w:val="22"/>
        </w:rPr>
        <w:t xml:space="preserve">Interest split (Line 13, $9,528). </w:t>
      </w:r>
      <w:r>
        <w:rPr>
          <w:rFonts w:ascii="Calibri" w:cs="Calibri" w:eastAsia="Calibri" w:hAnsi="Calibri"/>
          <w:sz w:val="22"/>
          <w:szCs w:val="22"/>
        </w:rPr>
        <w:t xml:space="preserve">The SBA EIDL and Tesla payments include principal and interest; only interest is deductible. Confirm the filed figure already reflects interest-only.</w:t>
      </w:r>
    </w:p>
    <w:p>
      <w:pPr>
        <w:spacing w:after="100"/>
      </w:pPr>
      <w:r>
        <w:rPr>
          <w:rFonts w:ascii="Calibri" w:cs="Calibri" w:eastAsia="Calibri" w:hAnsi="Calibri"/>
          <w:b/>
          <w:bCs/>
          <w:sz w:val="22"/>
          <w:szCs w:val="22"/>
        </w:rPr>
        <w:t xml:space="preserve">3.  </w:t>
      </w:r>
      <w:r>
        <w:rPr>
          <w:rFonts w:ascii="Calibri" w:cs="Calibri" w:eastAsia="Calibri" w:hAnsi="Calibri"/>
          <w:b/>
          <w:bCs/>
          <w:sz w:val="22"/>
          <w:szCs w:val="22"/>
        </w:rPr>
        <w:t xml:space="preserve">Amex. </w:t>
      </w:r>
      <w:r>
        <w:rPr>
          <w:rFonts w:ascii="Calibri" w:cs="Calibri" w:eastAsia="Calibri" w:hAnsi="Calibri"/>
          <w:sz w:val="22"/>
          <w:szCs w:val="22"/>
        </w:rPr>
        <w:t xml:space="preserve">The account paid American Express ~$23,676 in 2024, but the Amex card made no purchases that year — those payments retired a pre-2024 balance. I've treated them as non-deductible financing, not a 2024 expense. Confirm you agree.</w:t>
      </w:r>
    </w:p>
    <w:p>
      <w:pPr>
        <w:spacing w:after="100"/>
      </w:pPr>
      <w:r>
        <w:rPr>
          <w:rFonts w:ascii="Calibri" w:cs="Calibri" w:eastAsia="Calibri" w:hAnsi="Calibri"/>
          <w:b/>
          <w:bCs/>
          <w:sz w:val="22"/>
          <w:szCs w:val="22"/>
        </w:rPr>
        <w:t xml:space="preserve">4.  </w:t>
      </w:r>
      <w:r>
        <w:rPr>
          <w:rFonts w:ascii="Calibri" w:cs="Calibri" w:eastAsia="Calibri" w:hAnsi="Calibri"/>
          <w:b/>
          <w:bCs/>
          <w:sz w:val="22"/>
          <w:szCs w:val="22"/>
        </w:rPr>
        <w:t xml:space="preserve">Capitalization. </w:t>
      </w:r>
      <w:r>
        <w:rPr>
          <w:rFonts w:ascii="Calibri" w:cs="Calibri" w:eastAsia="Calibri" w:hAnsi="Calibri"/>
          <w:sz w:val="22"/>
          <w:szCs w:val="22"/>
        </w:rPr>
        <w:t xml:space="preserve">A few professional-services items are large (PatentYogi, Cgl). Some patent costs may be capitalizable rather than currently deductible — your call.</w:t>
      </w:r>
    </w:p>
    <w:p>
      <w:pPr>
        <w:spacing w:after="100" w:before="240"/>
      </w:pPr>
      <w:r>
        <w:rPr>
          <w:rFonts w:ascii="Calibri" w:cs="Calibri" w:eastAsia="Calibri" w:hAnsi="Calibri"/>
          <w:b/>
          <w:bCs/>
          <w:sz w:val="24"/>
          <w:szCs w:val="24"/>
        </w:rPr>
        <w:t xml:space="preserve">7. Scope — what this amendment is and isn't</w:t>
      </w:r>
    </w:p>
    <w:p>
      <w:pPr>
        <w:spacing w:after="120"/>
        <w:jc w:val="both"/>
      </w:pPr>
      <w:r>
        <w:rPr>
          <w:rFonts w:ascii="Calibri" w:cs="Calibri" w:eastAsia="Calibri" w:hAnsi="Calibri"/>
          <w:b/>
          <w:bCs/>
          <w:sz w:val="22"/>
          <w:szCs w:val="22"/>
        </w:rPr>
        <w:t xml:space="preserve">This is Social Gear Media only. </w:t>
      </w:r>
      <w:r>
        <w:rPr>
          <w:rFonts w:ascii="Calibri" w:cs="Calibri" w:eastAsia="Calibri" w:hAnsi="Calibri"/>
          <w:sz w:val="22"/>
          <w:szCs w:val="22"/>
        </w:rPr>
        <w:t xml:space="preserve">Cyberbrands LLC is a separate business with its own stores, its own bank account, and its own Schedule C ($139,613) — it is NOT part of this amendment and its revenue is not SGM's. I also excluded consulting receipts (Teslarati, Shaed, Munro — about $65,349) that ran through the SGM account but are not Splitflask sales, along with all inter-account transfers, founder/family loans, and refunds. Those exclusions are itemized in the deposit workbook.</w:t>
      </w:r>
    </w:p>
    <w:p>
      <w:pPr>
        <w:spacing w:after="100" w:before="240"/>
      </w:pPr>
      <w:r>
        <w:rPr>
          <w:rFonts w:ascii="Calibri" w:cs="Calibri" w:eastAsia="Calibri" w:hAnsi="Calibri"/>
          <w:b/>
          <w:bCs/>
          <w:sz w:val="24"/>
          <w:szCs w:val="24"/>
        </w:rPr>
        <w:t xml:space="preserve">8. Enclosures</w:t>
      </w:r>
    </w:p>
    <w:p>
      <w:pPr>
        <w:pStyle w:val="ListParagraph"/>
        <w:numPr>
          <w:ilvl w:val="0"/>
          <w:numId w:val="1"/>
        </w:numPr>
        <w:spacing w:after="80"/>
        <w:ind w:left="360"/>
      </w:pPr>
      <w:r>
        <w:rPr>
          <w:rFonts w:ascii="Calibri" w:cs="Calibri" w:eastAsia="Calibri" w:hAnsi="Calibri"/>
          <w:b/>
          <w:bCs/>
          <w:sz w:val="22"/>
          <w:szCs w:val="22"/>
        </w:rPr>
        <w:t xml:space="preserve">SGM_2024_1120S_Amendment_Packet_FINAL.xlsx</w:t>
      </w:r>
      <w:r>
        <w:rPr>
          <w:rFonts w:ascii="Calibri" w:cs="Calibri" w:eastAsia="Calibri" w:hAnsi="Calibri"/>
          <w:sz w:val="22"/>
          <w:szCs w:val="22"/>
        </w:rPr>
        <w:t xml:space="preserve"> — the filing roadmap: line-by-line as-filed vs. amended, revenue support, COGS/inventory, expense detail, and reconciliation.</w:t>
      </w:r>
    </w:p>
    <w:p>
      <w:pPr>
        <w:pStyle w:val="ListParagraph"/>
        <w:numPr>
          <w:ilvl w:val="0"/>
          <w:numId w:val="1"/>
        </w:numPr>
        <w:spacing w:after="80"/>
        <w:ind w:left="360"/>
      </w:pPr>
      <w:r>
        <w:rPr>
          <w:rFonts w:ascii="Calibri" w:cs="Calibri" w:eastAsia="Calibri" w:hAnsi="Calibri"/>
          <w:b/>
          <w:bCs/>
          <w:sz w:val="22"/>
          <w:szCs w:val="22"/>
        </w:rPr>
        <w:t xml:space="preserve">SGM_2024_Deposit_Classification_Schedule_v4.xlsx</w:t>
      </w:r>
      <w:r>
        <w:rPr>
          <w:rFonts w:ascii="Calibri" w:cs="Calibri" w:eastAsia="Calibri" w:hAnsi="Calibri"/>
          <w:sz w:val="22"/>
          <w:szCs w:val="22"/>
        </w:rPr>
        <w:t xml:space="preserve"> — all 906 deposits classified; ties to $895,754.12 of total deposits.</w:t>
      </w:r>
    </w:p>
    <w:p>
      <w:pPr>
        <w:pStyle w:val="ListParagraph"/>
        <w:numPr>
          <w:ilvl w:val="0"/>
          <w:numId w:val="1"/>
        </w:numPr>
        <w:spacing w:after="80"/>
        <w:ind w:left="360"/>
      </w:pPr>
      <w:r>
        <w:rPr>
          <w:rFonts w:ascii="Calibri" w:cs="Calibri" w:eastAsia="Calibri" w:hAnsi="Calibri"/>
          <w:b/>
          <w:bCs/>
          <w:sz w:val="22"/>
          <w:szCs w:val="22"/>
        </w:rPr>
        <w:t xml:space="preserve">SGM_2024_Expense_Reconstruction_CPA_Packet.xlsx</w:t>
      </w:r>
      <w:r>
        <w:rPr>
          <w:rFonts w:ascii="Calibri" w:cs="Calibri" w:eastAsia="Calibri" w:hAnsi="Calibri"/>
          <w:sz w:val="22"/>
          <w:szCs w:val="22"/>
        </w:rPr>
        <w:t xml:space="preserve"> — full 12-month expense reconstruction; ties to $888,555 of debits within $10.</w:t>
      </w:r>
    </w:p>
    <w:p>
      <w:pPr>
        <w:spacing w:after="120"/>
        <w:jc w:val="both"/>
      </w:pPr>
      <w:r>
        <w:rPr>
          <w:rFonts w:ascii="Calibri" w:cs="Calibri" w:eastAsia="Calibri" w:hAnsi="Calibri"/>
          <w:sz w:val="22"/>
          <w:szCs w:val="22"/>
        </w:rPr>
        <w:t xml:space="preserve">Everything ties to the bank statements you have on file. If anything is unclear I'm a phone call away, but I've tried to make this turnkey. Thanks for turning it quickly.</w:t>
      </w:r>
    </w:p>
    <w:p>
      <w:pPr>
        <w:spacing w:before="300"/>
      </w:pPr>
      <w:r>
        <w:rPr>
          <w:rFonts w:ascii="Calibri" w:cs="Calibri" w:eastAsia="Calibri" w:hAnsi="Calibri"/>
          <w:sz w:val="22"/>
          <w:szCs w:val="22"/>
        </w:rPr>
        <w:t xml:space="preserve">— Arize</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2026-07-06T05:02:46.339Z</dcterms:created>
  <dcterms:modified xsi:type="dcterms:W3CDTF">2026-07-06T05:02:46.357Z</dcterms:modified>
</cp:coreProperties>
</file>

<file path=docProps/custom.xml><?xml version="1.0" encoding="utf-8"?>
<Properties xmlns="http://schemas.openxmlformats.org/officeDocument/2006/custom-properties" xmlns:vt="http://schemas.openxmlformats.org/officeDocument/2006/docPropsVTypes"/>
</file>