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ASSIGNMENT AND ASSUMPTION MEMORANDUM</w:t>
      </w:r>
    </w:p>
    <w:p>
      <w:pPr>
        <w:spacing w:after="60"/>
        <w:jc w:val="center"/>
      </w:pPr>
      <w:r>
        <w:rPr>
          <w:rFonts w:ascii="Times New Roman" w:cs="Times New Roman" w:eastAsia="Times New Roman" w:hAnsi="Times New Roman"/>
          <w:i/>
          <w:iCs/>
          <w:sz w:val="22"/>
          <w:szCs w:val="22"/>
        </w:rPr>
        <w:t xml:space="preserve">Kickstarter Campaign Proceeds and Fulfillment Obligations</w:t>
      </w:r>
    </w:p>
    <w:p>
      <w:pPr>
        <w:spacing w:after="240"/>
        <w:jc w:val="center"/>
      </w:pPr>
      <w:r>
        <w:rPr>
          <w:rFonts w:ascii="Times New Roman" w:cs="Times New Roman" w:eastAsia="Times New Roman" w:hAnsi="Times New Roman"/>
          <w:b/>
          <w:bCs/>
          <w:color w:val="CC0000"/>
          <w:sz w:val="20"/>
          <w:szCs w:val="20"/>
        </w:rPr>
        <w:t xml:space="preserve">DRAFT — PREPARED 7/2/2026 FOR ATTORNEY REVIEW — NOT LEGAL ADVICE</w:t>
      </w:r>
    </w:p>
    <w:p>
      <w:pPr>
        <w:spacing w:after="120"/>
        <w:jc w:val="both"/>
      </w:pPr>
      <w:r>
        <w:rPr>
          <w:rFonts w:ascii="Times New Roman" w:cs="Times New Roman" w:eastAsia="Times New Roman" w:hAnsi="Times New Roman"/>
          <w:sz w:val="22"/>
          <w:szCs w:val="22"/>
        </w:rPr>
        <w:t xml:space="preserve">This Assignment and Assumption Memorandum (this "Memorandum") is entered into effective as of April 25, 2025 (the "Effective Date"), by and between CYBERBRANDS LLC, a [California] limited liability company ("Assignor"), and SPLT INC, a Delaware corporation ("Assignee"). The parties are under common ownership.</w:t>
      </w:r>
    </w:p>
    <w:p>
      <w:pPr>
        <w:spacing w:after="100" w:before="220"/>
      </w:pPr>
      <w:r>
        <w:rPr>
          <w:rFonts w:ascii="Times New Roman" w:cs="Times New Roman" w:eastAsia="Times New Roman" w:hAnsi="Times New Roman"/>
          <w:b/>
          <w:bCs/>
          <w:sz w:val="22"/>
          <w:szCs w:val="22"/>
        </w:rPr>
        <w:t xml:space="preserve">RECITALS</w:t>
      </w:r>
    </w:p>
    <w:p>
      <w:pPr>
        <w:spacing w:after="120"/>
        <w:jc w:val="both"/>
      </w:pPr>
      <w:r>
        <w:rPr>
          <w:rFonts w:ascii="Times New Roman" w:cs="Times New Roman" w:eastAsia="Times New Roman" w:hAnsi="Times New Roman"/>
          <w:sz w:val="22"/>
          <w:szCs w:val="22"/>
        </w:rPr>
        <w:t xml:space="preserve">A. A crowdfunding campaign for the Splitflask product, titled [CAMPAIGN TITLE], was conducted on Kickstarter through an account held in the name of Assignor ("Cyber Brands"). Gross pledges of approximately $54,682.90 were raised.</w:t>
      </w:r>
    </w:p>
    <w:p>
      <w:pPr>
        <w:spacing w:after="120"/>
        <w:jc w:val="both"/>
      </w:pPr>
      <w:r>
        <w:rPr>
          <w:rFonts w:ascii="Times New Roman" w:cs="Times New Roman" w:eastAsia="Times New Roman" w:hAnsi="Times New Roman"/>
          <w:sz w:val="22"/>
          <w:szCs w:val="22"/>
        </w:rPr>
        <w:t xml:space="preserve">B. Net campaign payouts were transferred from Assignor to Assignee in a series of transfers between April 25, 2025 and December 19, 2025 (aggregating approximately $54,386, the difference from gross pledges reflecting platform/processing fees and timing), the largest being $49,562.44 on April 25, 2025, each identifiable in Assignee's Wells Fargo account records as "Cyber Brands Kickstarte" deposits.</w:t>
      </w:r>
    </w:p>
    <w:p>
      <w:pPr>
        <w:spacing w:after="120"/>
        <w:jc w:val="both"/>
      </w:pPr>
      <w:r>
        <w:rPr>
          <w:rFonts w:ascii="Times New Roman" w:cs="Times New Roman" w:eastAsia="Times New Roman" w:hAnsi="Times New Roman"/>
          <w:sz w:val="22"/>
          <w:szCs w:val="22"/>
        </w:rPr>
        <w:t xml:space="preserve">C. The Splitflask product, brand, and backer fulfillment operations belong to Assignee. The parties wish to confirm that the campaign was conducted for the benefit of Assignee.</w:t>
      </w:r>
    </w:p>
    <w:p>
      <w:pPr>
        <w:spacing w:after="100" w:before="220"/>
      </w:pPr>
      <w:r>
        <w:rPr>
          <w:rFonts w:ascii="Times New Roman" w:cs="Times New Roman" w:eastAsia="Times New Roman" w:hAnsi="Times New Roman"/>
          <w:b/>
          <w:bCs/>
          <w:sz w:val="22"/>
          <w:szCs w:val="22"/>
        </w:rPr>
        <w:t xml:space="preserve">1. ASSIGNMENT</w:t>
      </w:r>
    </w:p>
    <w:p>
      <w:pPr>
        <w:spacing w:after="120"/>
        <w:jc w:val="both"/>
      </w:pPr>
      <w:r>
        <w:rPr>
          <w:rFonts w:ascii="Times New Roman" w:cs="Times New Roman" w:eastAsia="Times New Roman" w:hAnsi="Times New Roman"/>
          <w:sz w:val="22"/>
          <w:szCs w:val="22"/>
        </w:rPr>
        <w:t xml:space="preserve">Assignor assigns, transfers, and confirms to Assignee all right, title, and interest in and to the campaign, its proceeds, and all related backer data and platform account rights relating to the campaign, effective as of the Effective Date. Assignor confirms it has retained no campaign proceeds other than amounts consumed by platform and processing fees.</w:t>
      </w:r>
    </w:p>
    <w:p>
      <w:pPr>
        <w:spacing w:after="100" w:before="220"/>
      </w:pPr>
      <w:r>
        <w:rPr>
          <w:rFonts w:ascii="Times New Roman" w:cs="Times New Roman" w:eastAsia="Times New Roman" w:hAnsi="Times New Roman"/>
          <w:b/>
          <w:bCs/>
          <w:sz w:val="22"/>
          <w:szCs w:val="22"/>
        </w:rPr>
        <w:t xml:space="preserve">2. ASSUMPTION</w:t>
      </w:r>
    </w:p>
    <w:p>
      <w:pPr>
        <w:spacing w:after="120"/>
        <w:jc w:val="both"/>
      </w:pPr>
      <w:r>
        <w:rPr>
          <w:rFonts w:ascii="Times New Roman" w:cs="Times New Roman" w:eastAsia="Times New Roman" w:hAnsi="Times New Roman"/>
          <w:sz w:val="22"/>
          <w:szCs w:val="22"/>
        </w:rPr>
        <w:t xml:space="preserve">Assignee assumes and agrees to perform all obligations to campaign backers, including reward fulfillment, refunds (if any), and backer communications. As of late 2025, approximately 13% of rewards had been fulfilled; Assignee carries the remaining obligation as deferred revenue on its books ($45,574.12 as of May 31, 2026) with an estimated remaining fulfillment cost of approximately $15,000.</w:t>
      </w:r>
    </w:p>
    <w:p>
      <w:pPr>
        <w:spacing w:after="100" w:before="220"/>
      </w:pPr>
      <w:r>
        <w:rPr>
          <w:rFonts w:ascii="Times New Roman" w:cs="Times New Roman" w:eastAsia="Times New Roman" w:hAnsi="Times New Roman"/>
          <w:b/>
          <w:bCs/>
          <w:sz w:val="22"/>
          <w:szCs w:val="22"/>
        </w:rPr>
        <w:t xml:space="preserve">3. CONSIDERATION</w:t>
      </w:r>
    </w:p>
    <w:p>
      <w:pPr>
        <w:spacing w:after="120"/>
        <w:jc w:val="both"/>
      </w:pPr>
      <w:r>
        <w:rPr>
          <w:rFonts w:ascii="Times New Roman" w:cs="Times New Roman" w:eastAsia="Times New Roman" w:hAnsi="Times New Roman"/>
          <w:sz w:val="22"/>
          <w:szCs w:val="22"/>
        </w:rPr>
        <w:t xml:space="preserve">The consideration for the assignment is Assignee's assumption of the fulfillment obligations. No other consideration is or was payable between the parties.</w:t>
      </w:r>
    </w:p>
    <w:p>
      <w:pPr>
        <w:spacing w:after="100" w:before="220"/>
      </w:pPr>
      <w:r>
        <w:rPr>
          <w:rFonts w:ascii="Times New Roman" w:cs="Times New Roman" w:eastAsia="Times New Roman" w:hAnsi="Times New Roman"/>
          <w:b/>
          <w:bCs/>
          <w:sz w:val="22"/>
          <w:szCs w:val="22"/>
        </w:rPr>
        <w:t xml:space="preserve">4. FURTHER ASSURANCES; GENERAL</w:t>
      </w:r>
    </w:p>
    <w:p>
      <w:pPr>
        <w:spacing w:after="120"/>
        <w:jc w:val="both"/>
      </w:pPr>
      <w:r>
        <w:rPr>
          <w:rFonts w:ascii="Times New Roman" w:cs="Times New Roman" w:eastAsia="Times New Roman" w:hAnsi="Times New Roman"/>
          <w:sz w:val="22"/>
          <w:szCs w:val="22"/>
        </w:rPr>
        <w:t xml:space="preserve">Each party shall execute such further documents as reasonably necessary to give effect to this Memorandum, including any platform account transfers permitted by Kickstarter's terms of service. [NOTE: Kickstarter's terms may restrict account transfers — if the account cannot be re-titled, this Memorandum stands as the beneficial-ownership record.] Governed by California law; counterparts and electronic signatures permitted.</w:t>
      </w:r>
    </w:p>
    <w:p>
      <w:pPr>
        <w:spacing w:after="200" w:before="400"/>
      </w:pPr>
      <w:r>
        <w:rPr>
          <w:rFonts w:ascii="Times New Roman" w:cs="Times New Roman" w:eastAsia="Times New Roman" w:hAnsi="Times New Roman"/>
          <w:sz w:val="22"/>
          <w:szCs w:val="22"/>
        </w:rPr>
        <w:t xml:space="preserve">IN WITNESS WHEREOF, the parties have executed this document as of the Effective Date.</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ASSIGNOR: CYBERBRANDS LLC</w:t>
      </w:r>
    </w:p>
    <w:p>
      <w:r>
        <w:rPr>
          <w:rFonts w:ascii="Times New Roman" w:cs="Times New Roman" w:eastAsia="Times New Roman" w:hAnsi="Times New Roman"/>
          <w:sz w:val="22"/>
          <w:szCs w:val="22"/>
        </w:rPr>
        <w:t xml:space="preserve">By: Arize Nwosu, [Manager/Member]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ASSIGNEE: 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2026-07-03T19:15:51.165Z</dcterms:created>
  <dcterms:modified xsi:type="dcterms:W3CDTF">2026-07-03T19:15:51.165Z</dcterms:modified>
</cp:coreProperties>
</file>

<file path=docProps/custom.xml><?xml version="1.0" encoding="utf-8"?>
<Properties xmlns="http://schemas.openxmlformats.org/officeDocument/2006/custom-properties" xmlns:vt="http://schemas.openxmlformats.org/officeDocument/2006/docPropsVTypes"/>
</file>