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23E39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7"/>
          <w:rFonts w:hint="default"/>
          <w:b/>
          <w:bCs/>
          <w:lang w:val="en-US"/>
        </w:rPr>
      </w:pPr>
      <w:r>
        <w:rPr>
          <w:rFonts w:hint="default" w:eastAsia="Arial"/>
          <w:b/>
          <w:bCs/>
          <w:spacing w:val="-2"/>
          <w:sz w:val="22"/>
          <w:szCs w:val="22"/>
          <w:lang w:val="en-US" w:eastAsia="en-US"/>
        </w:rPr>
        <w:t>E</w:t>
      </w:r>
      <w:r>
        <w:rPr>
          <w:rFonts w:eastAsia="Arial"/>
          <w:b/>
          <w:bCs/>
          <w:spacing w:val="-2"/>
          <w:sz w:val="22"/>
          <w:szCs w:val="22"/>
          <w:lang w:val="en-US" w:eastAsia="en-US"/>
        </w:rPr>
        <w:t>x</w:t>
      </w:r>
      <w:r>
        <w:rPr>
          <w:rFonts w:eastAsia="Arial"/>
          <w:b/>
          <w:bCs/>
          <w:sz w:val="22"/>
          <w:szCs w:val="22"/>
          <w:lang w:val="en-US" w:eastAsia="en-US"/>
        </w:rPr>
        <w:t>p</w:t>
      </w:r>
      <w:r>
        <w:rPr>
          <w:rFonts w:eastAsia="Arial"/>
          <w:b/>
          <w:bCs/>
          <w:spacing w:val="1"/>
          <w:sz w:val="22"/>
          <w:szCs w:val="22"/>
          <w:lang w:val="en-US" w:eastAsia="en-US"/>
        </w:rPr>
        <w:t>l</w:t>
      </w:r>
      <w:r>
        <w:rPr>
          <w:rFonts w:eastAsia="Arial"/>
          <w:b/>
          <w:bCs/>
          <w:spacing w:val="-1"/>
          <w:sz w:val="22"/>
          <w:szCs w:val="22"/>
          <w:lang w:val="en-US" w:eastAsia="en-US"/>
        </w:rPr>
        <w:t>i</w:t>
      </w:r>
      <w:r>
        <w:rPr>
          <w:rFonts w:eastAsia="Arial"/>
          <w:b/>
          <w:bCs/>
          <w:sz w:val="22"/>
          <w:szCs w:val="22"/>
          <w:lang w:val="en-US" w:eastAsia="en-US"/>
        </w:rPr>
        <w:t>c</w:t>
      </w:r>
      <w:r>
        <w:rPr>
          <w:rFonts w:eastAsia="Arial"/>
          <w:b/>
          <w:bCs/>
          <w:spacing w:val="-1"/>
          <w:sz w:val="22"/>
          <w:szCs w:val="22"/>
          <w:lang w:val="en-US" w:eastAsia="en-US"/>
        </w:rPr>
        <w:t>i</w:t>
      </w:r>
      <w:r>
        <w:rPr>
          <w:rFonts w:eastAsia="Arial"/>
          <w:b/>
          <w:bCs/>
          <w:sz w:val="22"/>
          <w:szCs w:val="22"/>
          <w:lang w:val="en-US" w:eastAsia="en-US"/>
        </w:rPr>
        <w:t>t</w:t>
      </w:r>
      <w:r>
        <w:rPr>
          <w:rFonts w:eastAsia="Arial"/>
          <w:b/>
          <w:bCs/>
          <w:spacing w:val="2"/>
          <w:sz w:val="22"/>
          <w:szCs w:val="22"/>
          <w:lang w:val="en-US" w:eastAsia="en-US"/>
        </w:rPr>
        <w:t xml:space="preserve"> </w:t>
      </w:r>
      <w:r>
        <w:rPr>
          <w:rFonts w:eastAsia="Arial"/>
          <w:b/>
          <w:bCs/>
          <w:sz w:val="22"/>
          <w:szCs w:val="22"/>
          <w:lang w:val="en-US" w:eastAsia="en-US"/>
        </w:rPr>
        <w:t>pe</w:t>
      </w:r>
      <w:r>
        <w:rPr>
          <w:rFonts w:eastAsia="Arial"/>
          <w:b/>
          <w:bCs/>
          <w:spacing w:val="1"/>
          <w:sz w:val="22"/>
          <w:szCs w:val="22"/>
          <w:lang w:val="en-US" w:eastAsia="en-US"/>
        </w:rPr>
        <w:t>rm</w:t>
      </w:r>
      <w:r>
        <w:rPr>
          <w:rFonts w:eastAsia="Arial"/>
          <w:b/>
          <w:bCs/>
          <w:spacing w:val="-1"/>
          <w:sz w:val="22"/>
          <w:szCs w:val="22"/>
          <w:lang w:val="en-US" w:eastAsia="en-US"/>
        </w:rPr>
        <w:t>i</w:t>
      </w:r>
      <w:r>
        <w:rPr>
          <w:rFonts w:eastAsia="Arial"/>
          <w:b/>
          <w:bCs/>
          <w:sz w:val="22"/>
          <w:szCs w:val="22"/>
          <w:lang w:val="en-US" w:eastAsia="en-US"/>
        </w:rPr>
        <w:t>ss</w:t>
      </w:r>
      <w:r>
        <w:rPr>
          <w:rFonts w:eastAsia="Arial"/>
          <w:b/>
          <w:bCs/>
          <w:spacing w:val="-1"/>
          <w:sz w:val="22"/>
          <w:szCs w:val="22"/>
          <w:lang w:val="en-US" w:eastAsia="en-US"/>
        </w:rPr>
        <w:t>i</w:t>
      </w:r>
      <w:r>
        <w:rPr>
          <w:rFonts w:eastAsia="Arial"/>
          <w:b/>
          <w:bCs/>
          <w:sz w:val="22"/>
          <w:szCs w:val="22"/>
          <w:lang w:val="en-US" w:eastAsia="en-US"/>
        </w:rPr>
        <w:t>on</w:t>
      </w:r>
      <w:r>
        <w:rPr>
          <w:rFonts w:eastAsia="Arial"/>
          <w:b/>
          <w:bCs/>
          <w:spacing w:val="-2"/>
          <w:sz w:val="22"/>
          <w:szCs w:val="22"/>
          <w:lang w:val="en-US" w:eastAsia="en-US"/>
        </w:rPr>
        <w:t xml:space="preserve"> </w:t>
      </w:r>
      <w:r>
        <w:rPr>
          <w:rFonts w:eastAsia="Arial"/>
          <w:b/>
          <w:bCs/>
          <w:spacing w:val="1"/>
          <w:sz w:val="22"/>
          <w:szCs w:val="22"/>
          <w:lang w:val="en-US" w:eastAsia="en-US"/>
        </w:rPr>
        <w:t>t</w:t>
      </w:r>
      <w:r>
        <w:rPr>
          <w:rFonts w:eastAsia="Arial"/>
          <w:b/>
          <w:bCs/>
          <w:sz w:val="22"/>
          <w:szCs w:val="22"/>
          <w:lang w:val="en-US" w:eastAsia="en-US"/>
        </w:rPr>
        <w:t>o</w:t>
      </w:r>
      <w:r>
        <w:rPr>
          <w:rFonts w:eastAsia="Arial"/>
          <w:b/>
          <w:bCs/>
          <w:spacing w:val="-2"/>
          <w:sz w:val="22"/>
          <w:szCs w:val="22"/>
          <w:lang w:val="en-US" w:eastAsia="en-US"/>
        </w:rPr>
        <w:t xml:space="preserve"> </w:t>
      </w:r>
      <w:r>
        <w:rPr>
          <w:rFonts w:eastAsia="Arial"/>
          <w:b/>
          <w:bCs/>
          <w:sz w:val="22"/>
          <w:szCs w:val="22"/>
          <w:lang w:val="en-US" w:eastAsia="en-US"/>
        </w:rPr>
        <w:t xml:space="preserve">use </w:t>
      </w:r>
      <w:r>
        <w:rPr>
          <w:rFonts w:eastAsia="Arial"/>
          <w:b/>
          <w:bCs/>
          <w:spacing w:val="1"/>
          <w:sz w:val="22"/>
          <w:szCs w:val="22"/>
          <w:lang w:val="en-US" w:eastAsia="en-US"/>
        </w:rPr>
        <w:t>t</w:t>
      </w:r>
      <w:r>
        <w:rPr>
          <w:rFonts w:eastAsia="Arial"/>
          <w:b/>
          <w:bCs/>
          <w:sz w:val="22"/>
          <w:szCs w:val="22"/>
          <w:lang w:val="en-US" w:eastAsia="en-US"/>
        </w:rPr>
        <w:t>hese</w:t>
      </w:r>
      <w:r>
        <w:rPr>
          <w:rFonts w:eastAsia="Arial"/>
          <w:b/>
          <w:bCs/>
          <w:spacing w:val="-2"/>
          <w:sz w:val="22"/>
          <w:szCs w:val="22"/>
          <w:lang w:val="en-US" w:eastAsia="en-US"/>
        </w:rPr>
        <w:t xml:space="preserve"> </w:t>
      </w:r>
      <w:r>
        <w:rPr>
          <w:rFonts w:eastAsia="Arial"/>
          <w:b/>
          <w:bCs/>
          <w:spacing w:val="1"/>
          <w:sz w:val="22"/>
          <w:szCs w:val="22"/>
          <w:lang w:val="en-US" w:eastAsia="en-US"/>
        </w:rPr>
        <w:t>m</w:t>
      </w:r>
      <w:r>
        <w:rPr>
          <w:rFonts w:eastAsia="Arial"/>
          <w:b/>
          <w:bCs/>
          <w:sz w:val="22"/>
          <w:szCs w:val="22"/>
          <w:lang w:val="en-US" w:eastAsia="en-US"/>
        </w:rPr>
        <w:t>a</w:t>
      </w:r>
      <w:r>
        <w:rPr>
          <w:rFonts w:eastAsia="Arial"/>
          <w:b/>
          <w:bCs/>
          <w:spacing w:val="1"/>
          <w:sz w:val="22"/>
          <w:szCs w:val="22"/>
          <w:lang w:val="en-US" w:eastAsia="en-US"/>
        </w:rPr>
        <w:t>t</w:t>
      </w:r>
      <w:r>
        <w:rPr>
          <w:rFonts w:eastAsia="Arial"/>
          <w:b/>
          <w:bCs/>
          <w:spacing w:val="-3"/>
          <w:sz w:val="22"/>
          <w:szCs w:val="22"/>
          <w:lang w:val="en-US" w:eastAsia="en-US"/>
        </w:rPr>
        <w:t>e</w:t>
      </w:r>
      <w:r>
        <w:rPr>
          <w:rFonts w:eastAsia="Arial"/>
          <w:b/>
          <w:bCs/>
          <w:spacing w:val="1"/>
          <w:sz w:val="22"/>
          <w:szCs w:val="22"/>
          <w:lang w:val="en-US" w:eastAsia="en-US"/>
        </w:rPr>
        <w:t>r</w:t>
      </w:r>
      <w:r>
        <w:rPr>
          <w:rFonts w:eastAsia="Arial"/>
          <w:b/>
          <w:bCs/>
          <w:spacing w:val="-1"/>
          <w:sz w:val="22"/>
          <w:szCs w:val="22"/>
          <w:lang w:val="en-US" w:eastAsia="en-US"/>
        </w:rPr>
        <w:t>i</w:t>
      </w:r>
      <w:r>
        <w:rPr>
          <w:rFonts w:eastAsia="Arial"/>
          <w:b/>
          <w:bCs/>
          <w:sz w:val="22"/>
          <w:szCs w:val="22"/>
          <w:lang w:val="en-US" w:eastAsia="en-US"/>
        </w:rPr>
        <w:t>a</w:t>
      </w:r>
      <w:r>
        <w:rPr>
          <w:rFonts w:eastAsia="Arial"/>
          <w:b/>
          <w:bCs/>
          <w:spacing w:val="-1"/>
          <w:sz w:val="22"/>
          <w:szCs w:val="22"/>
          <w:lang w:val="en-US" w:eastAsia="en-US"/>
        </w:rPr>
        <w:t>l</w:t>
      </w:r>
      <w:r>
        <w:rPr>
          <w:rFonts w:eastAsia="Arial"/>
          <w:b/>
          <w:bCs/>
          <w:sz w:val="22"/>
          <w:szCs w:val="22"/>
          <w:lang w:val="en-US" w:eastAsia="en-US"/>
        </w:rPr>
        <w:t>s</w:t>
      </w:r>
      <w:bookmarkStart w:id="0" w:name="_GoBack"/>
      <w:bookmarkEnd w:id="0"/>
    </w:p>
    <w:p w14:paraId="6CACD05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1. Atomic Red Team — MIT Licence</w:t>
      </w:r>
    </w:p>
    <w:p w14:paraId="1EE36D6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MIT Licence states:</w:t>
      </w:r>
    </w:p>
    <w:p w14:paraId="1554FF3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4"/>
        </w:rPr>
        <w:t>"Permission is hereby granted, free of charge, to any person obtaining a copy of this software and associated documentation files, to deal in the Software without restriction, including without limitation the rights to use, copy, modify, merge, publish, distribute, sublicense, and/or sell copies of the Software."</w:t>
      </w:r>
    </w:p>
    <w:p w14:paraId="41C7B27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Source: </w:t>
      </w:r>
      <w:r>
        <w:fldChar w:fldCharType="begin"/>
      </w:r>
      <w:r>
        <w:instrText xml:space="preserve"> HYPERLINK "https://github.com/redcanaryco/atomic-red-team/blob/master/LICENSE" </w:instrText>
      </w:r>
      <w:r>
        <w:fldChar w:fldCharType="separate"/>
      </w:r>
      <w:r>
        <w:rPr>
          <w:rStyle w:val="5"/>
        </w:rPr>
        <w:t>https://github.com/redcanaryco/atomic-red-team/blob/master/LICENSE</w:t>
      </w:r>
      <w:r>
        <w:fldChar w:fldCharType="end"/>
      </w:r>
    </w:p>
    <w:p w14:paraId="152AA20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This constitutes explicit, unconditional permission for research use.</w:t>
      </w:r>
    </w:p>
    <w:p w14:paraId="49908587">
      <w:pPr>
        <w:keepNext w:val="0"/>
        <w:keepLines w:val="0"/>
        <w:widowControl/>
        <w:suppressLineNumbers w:val="0"/>
      </w:pPr>
    </w:p>
    <w:p w14:paraId="17BF48A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2. MITRE ATT&amp;CK Framework</w:t>
      </w:r>
    </w:p>
    <w:p w14:paraId="23C5A59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MITRE's usage policy states:</w:t>
      </w:r>
    </w:p>
    <w:p w14:paraId="16884B4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4"/>
        </w:rPr>
        <w:t>"©2021 The MITRE Corporation. This work is reproduced and distributed with the permission of The MITRE Corporation."</w:t>
      </w:r>
      <w:r>
        <w:t xml:space="preserve"> and </w:t>
      </w:r>
      <w:r>
        <w:rPr>
          <w:rStyle w:val="4"/>
        </w:rPr>
        <w:t>"ATT&amp;CK is open and available to any person or organization for use at no charge."</w:t>
      </w:r>
    </w:p>
    <w:p w14:paraId="2D759D9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Source: </w:t>
      </w:r>
      <w:r>
        <w:fldChar w:fldCharType="begin"/>
      </w:r>
      <w:r>
        <w:instrText xml:space="preserve"> HYPERLINK "https://attack.mitre.org/resources/terms-of-use/" </w:instrText>
      </w:r>
      <w:r>
        <w:fldChar w:fldCharType="separate"/>
      </w:r>
      <w:r>
        <w:rPr>
          <w:rStyle w:val="5"/>
        </w:rPr>
        <w:t>https://attack.mitre.org/resources/terms-of-use/</w:t>
      </w:r>
      <w:r>
        <w:fldChar w:fldCharType="end"/>
      </w:r>
    </w:p>
    <w:p w14:paraId="0AA1F520">
      <w:pPr>
        <w:keepNext w:val="0"/>
        <w:keepLines w:val="0"/>
        <w:widowControl/>
        <w:suppressLineNumbers w:val="0"/>
      </w:pPr>
    </w:p>
    <w:p w14:paraId="57D97F1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3. Terraform — Business Source Licence 1.1</w:t>
      </w:r>
    </w:p>
    <w:p w14:paraId="3E118D2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BSL 1.1 explicitly permits use for research, education, and non-production purposes without requiring additional permission from HashiCorp.</w:t>
      </w:r>
    </w:p>
    <w:p w14:paraId="0892E22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Source: </w:t>
      </w:r>
      <w:r>
        <w:fldChar w:fldCharType="begin"/>
      </w:r>
      <w:r>
        <w:instrText xml:space="preserve"> HYPERLINK "https://github.com/hashicorp/terraform/blob/main/LICENSE" </w:instrText>
      </w:r>
      <w:r>
        <w:fldChar w:fldCharType="separate"/>
      </w:r>
      <w:r>
        <w:rPr>
          <w:rStyle w:val="5"/>
        </w:rPr>
        <w:t>https://github.com/hashicorp/terraform/blob/main/LICENSE</w:t>
      </w:r>
      <w:r>
        <w:fldChar w:fldCharType="end"/>
      </w:r>
    </w:p>
    <w:p w14:paraId="69AF8A53">
      <w:pPr>
        <w:keepNext w:val="0"/>
        <w:keepLines w:val="0"/>
        <w:widowControl/>
        <w:suppressLineNumbers w:val="0"/>
      </w:pPr>
    </w:p>
    <w:p w14:paraId="11DA342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4. Microsoft Azure — Penetration Testing Rules of Engagement</w:t>
      </w:r>
    </w:p>
    <w:p w14:paraId="0E6F43A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Microsoft explicitly permits security testing within your own Azure subscription without prior approval for the tools and techniques used in this study.</w:t>
      </w:r>
    </w:p>
    <w:p w14:paraId="5B222F1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Source: </w:t>
      </w:r>
      <w:r>
        <w:fldChar w:fldCharType="begin"/>
      </w:r>
      <w:r>
        <w:instrText xml:space="preserve"> HYPERLINK "https://www.microsoft.com/en-us/msrc/pentest-rules-of-engagement" </w:instrText>
      </w:r>
      <w:r>
        <w:fldChar w:fldCharType="separate"/>
      </w:r>
      <w:r>
        <w:rPr>
          <w:rStyle w:val="5"/>
        </w:rPr>
        <w:t>https://www.microsoft.com/en-us/msrc/pentest-rules-of-engagement</w:t>
      </w:r>
      <w:r>
        <w:fldChar w:fldCharType="end"/>
      </w:r>
    </w:p>
    <w:p w14:paraId="01DFB88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31411D"/>
    <w:rsid w:val="7431411D"/>
    <w:rsid w:val="7DAF3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character" w:styleId="5">
    <w:name w:val="Hyperlink"/>
    <w:basedOn w:val="2"/>
    <w:uiPriority w:val="0"/>
    <w:rPr>
      <w:color w:val="0000FF"/>
      <w:u w:val="single"/>
    </w:rPr>
  </w:style>
  <w:style w:type="paragraph" w:styleId="6">
    <w:name w:val="Normal (Web)"/>
    <w:basedOn w:val="1"/>
    <w:uiPriority w:val="0"/>
    <w:rPr>
      <w:sz w:val="24"/>
      <w:szCs w:val="24"/>
    </w:rPr>
  </w:style>
  <w:style w:type="character" w:styleId="7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2026-06-16T22:56:00Z</dcterms:created>
  <dc:creator>DELL</dc:creator>
  <cp:lastModifiedBy>DELL</cp:lastModifiedBy>
  <dcterms:modified xsi:type="dcterms:W3CDTF">2026-06-16T22:58:33Z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CC7282190BD847F893051BF259B005A2_11</vt:lpwstr>
  </property>
</Properties>
</file>