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3"/>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w:t>
      </w:r>
      <w:r>
        <w:t xml:space="preserve"> </w:t>
      </w:r>
      <w:r>
        <w:rPr>
          <w:rStyle w:val="VerbatimChar"/>
        </w:rPr>
        <w:t xml:space="preserve">let</w:t>
      </w:r>
      <w:r>
        <w:t xml:space="preserve">). The project mentioned above contains the basic desugaring infrastructure. The only thing you have to do is to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&lt;String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String</w:t>
      </w:r>
      <w:r>
        <w:t xml:space="preserve">. If the match is successful the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pStyle w:val="Compact"/>
        <w:numPr>
          <w:numId w:val="1003"/>
          <w:ilvl w:val="0"/>
        </w:numPr>
      </w:pPr>
      <w:r>
        <w:t xml:space="preserve">For simple desugarings as the one above, there is a short-hand notation:</w:t>
      </w:r>
    </w:p>
    <w:p>
      <w:pPr>
        <w:numPr>
          <w:numId w:val="1003"/>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3"/>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3"/>
          <w:ilvl w:val="0"/>
        </w:numPr>
      </w:pPr>
      <w:r>
        <w:t xml:space="preserve">Patterns should comply to the grammar. If you make a mistake, you'll get a parse error in your Rascal program!</w:t>
      </w:r>
    </w:p>
    <w:p>
      <w:pPr>
        <w:numPr>
          <w:numId w:val="1003"/>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 </w:t>
      </w:r>
      <w:r>
        <w:t xml:space="preserve">or ` in patterns, escape them using</w:t>
      </w:r>
      <w:r>
        <w:t xml:space="preserve"> </w:t>
      </w:r>
      <w:r>
        <w:rPr>
          <w:rStyle w:val="VerbatimChar"/>
        </w:rPr>
        <w:t xml:space="preserve">\</w:t>
      </w:r>
      <w:r>
        <w:t xml:space="preserve"> </w:t>
      </w:r>
      <w:r>
        <w:t xml:space="preserve">(backslash).</w:t>
      </w:r>
    </w:p>
    <w:p>
      <w:pPr>
        <w:pStyle w:val="Compact"/>
        <w:numPr>
          <w:numId w:val="1003"/>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Heading4"/>
      </w:pPr>
      <w:bookmarkStart w:id="28" w:name="notes-on-the-javascript-grammar"/>
      <w:bookmarkEnd w:id="28"/>
      <w:r>
        <w:t xml:space="preserve">Notes on the Javascript grammar</w:t>
      </w:r>
    </w:p>
    <w:p>
      <w:r>
        <w:t xml:space="preserve">Grammars are first-class data types in Rascal. A production rule</w:t>
      </w:r>
      <w:r>
        <w:t xml:space="preserve"> </w:t>
      </w:r>
      <w:r>
        <w:rPr>
          <w:rStyle w:val="VerbatimChar"/>
        </w:rPr>
        <w:t xml:space="preserve">syntax S = p_1 | ... | p_n</w:t>
      </w:r>
      <w:r>
        <w:t xml:space="preserve"> </w:t>
      </w:r>
      <w:r>
        <w:t xml:space="preserve">introduces a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4"/>
          <w:ilvl w:val="0"/>
        </w:numPr>
      </w:pPr>
      <w:r>
        <w:t xml:space="preserve">Expressions are captured by the</w:t>
      </w:r>
      <w:r>
        <w:t xml:space="preserve"> </w:t>
      </w:r>
      <w:r>
        <w:rPr>
          <w:rStyle w:val="VerbatimChar"/>
        </w:rPr>
        <w:t xml:space="preserve">Expression</w:t>
      </w:r>
      <w:r>
        <w:t xml:space="preserve"> </w:t>
      </w:r>
      <w:r>
        <w:t xml:space="preserve">non-terminal</w:t>
      </w:r>
    </w:p>
    <w:p>
      <w:pPr>
        <w:pStyle w:val="Compact"/>
        <w:numPr>
          <w:numId w:val="1004"/>
          <w:ilvl w:val="0"/>
        </w:numPr>
      </w:pPr>
      <w:r>
        <w:t xml:space="preserve">Statements are captured by the</w:t>
      </w:r>
      <w:r>
        <w:t xml:space="preserve"> </w:t>
      </w:r>
      <w:r>
        <w:rPr>
          <w:rStyle w:val="VerbatimChar"/>
        </w:rPr>
        <w:t xml:space="preserve">Statement</w:t>
      </w:r>
      <w:r>
        <w:t xml:space="preserve"> </w:t>
      </w:r>
      <w:r>
        <w:t xml:space="preserve">non-terminal</w:t>
      </w:r>
    </w:p>
    <w:p>
      <w:pPr>
        <w:pStyle w:val="Compact"/>
        <w:numPr>
          <w:numId w:val="1004"/>
          <w:ilvl w:val="0"/>
        </w:numPr>
      </w:pPr>
      <w:r>
        <w:t xml:space="preserve">String literals are captured by the</w:t>
      </w:r>
      <w:r>
        <w:t xml:space="preserve"> </w:t>
      </w:r>
      <w:r>
        <w:rPr>
          <w:rStyle w:val="VerbatimChar"/>
        </w:rPr>
        <w:t xml:space="preserve">String</w:t>
      </w:r>
      <w:r>
        <w:t xml:space="preserve"> </w:t>
      </w:r>
      <w:r>
        <w:t xml:space="preserve">non-terminal</w:t>
      </w:r>
    </w:p>
    <w:p>
      <w:pPr>
        <w:pStyle w:val="Compact"/>
        <w:numPr>
          <w:numId w:val="1004"/>
          <w:ilvl w:val="0"/>
        </w:numPr>
      </w:pPr>
      <w:r>
        <w:t xml:space="preserve">Identifiers (variables, field names, etc.) are captured by the</w:t>
      </w:r>
      <w:r>
        <w:t xml:space="preserve"> </w:t>
      </w:r>
      <w:r>
        <w:rPr>
          <w:rStyle w:val="VerbatimChar"/>
        </w:rPr>
        <w:t xml:space="preserve">Id</w:t>
      </w:r>
      <w:r>
        <w:t xml:space="preserve"> </w:t>
      </w:r>
      <w:r>
        <w:t xml:space="preserve">non-terminal.</w:t>
      </w:r>
    </w:p>
    <w:p>
      <w:r>
        <w:t xml:space="preserve">For most assignments we provide the necessary syntax extensions up front, so that you can focus on the source-to-source transformations.</w:t>
      </w:r>
    </w:p>
    <w:p>
      <w:pPr>
        <w:pStyle w:val="Heading4"/>
      </w:pPr>
      <w:bookmarkStart w:id="29" w:name="executing-desugarings"/>
      <w:bookmarkEnd w:id="29"/>
      <w:r>
        <w:t xml:space="preserve">Executing desugarings</w:t>
      </w:r>
    </w:p>
    <w:p>
      <w:r>
        <w:t xml:space="preserve">Save Hover doc See output in js file Open html file where see output + input + execution.</w:t>
      </w:r>
    </w:p>
    <w:p>
      <w:pPr>
        <w:pStyle w:val="Heading2"/>
      </w:pPr>
      <w:bookmarkStart w:id="30" w:name="exercises"/>
      <w:bookmarkEnd w:id="30"/>
      <w:r>
        <w:t xml:space="preserve">Exercises</w:t>
      </w:r>
    </w:p>
    <w:p>
      <w:r>
        <w:t xml:space="preserve">Below we use upper-case identifiers in snippets to indicate meta-variables. Lower-case identifiers either represent keywords (e.g.</w:t>
      </w:r>
      <w:r>
        <w:t xml:space="preserve"> </w:t>
      </w:r>
      <w:r>
        <w:rPr>
          <w:rStyle w:val="VerbatimChar"/>
        </w:rPr>
        <w:t xml:space="preserve">unless</w:t>
      </w:r>
      <w:r>
        <w:t xml:space="preserve">) or object-langugae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ruby-style-instance-variables"/>
      <w:bookmarkEnd w:id="32"/>
      <w:r>
        <w:t xml:space="preserve">1 Ruby-style instance variables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pPr>
        <w:pStyle w:val="Heading5"/>
      </w:pPr>
      <w:bookmarkStart w:id="33" w:name="pairs"/>
      <w:bookmarkEnd w:id="33"/>
      <w:r>
        <w:t xml:space="preserve">2 Pairs</w:t>
      </w:r>
    </w:p>
    <w:p>
      <w:r>
        <w:t xml:space="preserve">Javascript has structured literals for objects and arrays, but not for pairs (tuples). Write a transformation that desugars pairs written in between</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to object literals with fields</w:t>
      </w:r>
      <w:r>
        <w:t xml:space="preserve"> </w:t>
      </w:r>
      <w:r>
        <w:rPr>
          <w:rStyle w:val="VerbatimChar"/>
        </w:rPr>
        <w:t xml:space="preserve">_1</w:t>
      </w:r>
      <w:r>
        <w:t xml:space="preserve"> </w:t>
      </w:r>
      <w:r>
        <w:t xml:space="preserve">and</w:t>
      </w:r>
      <w:r>
        <w:t xml:space="preserve"> </w:t>
      </w:r>
      <w:r>
        <w:rPr>
          <w:rStyle w:val="VerbatimChar"/>
        </w:rPr>
        <w:t xml:space="preserve">_2</w:t>
      </w:r>
      <w:r>
        <w:t xml:space="preserve">. IOW:</w:t>
      </w:r>
      <w:r>
        <w:t xml:space="preserve"> </w:t>
      </w:r>
      <w:r>
        <w:rPr>
          <w:rStyle w:val="VerbatimChar"/>
        </w:rPr>
        <w:t xml:space="preserve">&lt;E1, E2&gt;</w:t>
      </w:r>
      <w:r>
        <w:t xml:space="preserve"> </w:t>
      </w:r>
      <w:r>
        <w:t xml:space="preserve">desugars to</w:t>
      </w:r>
      <w:r>
        <w:t xml:space="preserve"> </w:t>
      </w:r>
      <w:r>
        <w:rPr>
          <w:rStyle w:val="VerbatimChar"/>
        </w:rPr>
        <w:t xml:space="preserve">{_1: E1, _2: E2}</w:t>
      </w:r>
      <w:r>
        <w:t xml:space="preserve">.</w:t>
      </w:r>
    </w:p>
    <w:p>
      <w:pPr>
        <w:pStyle w:val="Heading5"/>
      </w:pPr>
      <w:bookmarkStart w:id="34" w:name="todo-statement"/>
      <w:bookmarkEnd w:id="34"/>
      <w:r>
        <w:t xml:space="preserve">3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r>
        <w:rPr>
          <w:i/>
        </w:rPr>
        <w:t xml:space="preserve">Optional</w:t>
      </w:r>
      <w:r>
        <w:t xml:space="preserve">: write the syntax for a "dont" statement (similar to</w:t>
      </w:r>
      <w:r>
        <w:t xml:space="preserve"> </w:t>
      </w:r>
      <w:r>
        <w:rPr>
          <w:rStyle w:val="VerbatimChar"/>
        </w:rPr>
        <w:t xml:space="preserve">todo</w:t>
      </w:r>
      <w:r>
        <w:t xml:space="preserve">)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unless-statement"/>
      <w:bookmarkEnd w:id="35"/>
      <w:r>
        <w:t xml:space="preserve">4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r>
        <w:rPr>
          <w:i/>
        </w:rPr>
        <w:t xml:space="preserve">Optional</w:t>
      </w:r>
      <w:r>
        <w:t xml:space="preserve">: 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6" w:name="assert-statement"/>
      <w:bookmarkEnd w:id="36"/>
      <w:r>
        <w:t xml:space="preserve">5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Rascal string interpolation (using</w:t>
      </w:r>
      <w:r>
        <w:t xml:space="preserve"> </w:t>
      </w:r>
      <w:r>
        <w:rPr>
          <w:rStyle w:val="VerbatimChar"/>
        </w:rPr>
        <w:t xml:space="preserve">&lt;</w:t>
      </w:r>
      <w:r>
        <w:t xml:space="preserve"> </w:t>
      </w:r>
      <w:r>
        <w:t xml:space="preserve">and</w:t>
      </w:r>
      <w:r>
        <w:t xml:space="preserve"> </w:t>
      </w:r>
      <w:r>
        <w:rPr>
          <w:rStyle w:val="VerbatimChar"/>
        </w:rPr>
        <w:t xml:space="preserve">&gt;</w:t>
      </w:r>
      <w:r>
        <w:t xml:space="preserve">) to</w:t>
      </w:r>
      <w:r>
        <w:t xml:space="preserve"> </w:t>
      </w:r>
      <w:r>
        <w:rPr>
          <w:i/>
        </w:rPr>
        <w:t xml:space="preserve">unparse</w:t>
      </w:r>
      <w:r>
        <w:t xml:space="preserve"> </w:t>
      </w:r>
      <w:r>
        <w:t xml:space="preserve">the argument expression into a Rascal string, and then parse it as a Javascript string literal (</w:t>
      </w:r>
      <w:r>
        <w:rPr>
          <w:rStyle w:val="VerbatimChar"/>
        </w:rPr>
        <w:t xml:space="preserve">String</w:t>
      </w:r>
      <w:r>
        <w:t xml:space="preserve">) as follows:</w:t>
      </w:r>
      <w:r>
        <w:t xml:space="preserve"> </w:t>
      </w:r>
      <w:r>
        <w:rPr>
          <w:rStyle w:val="VerbatimChar"/>
        </w:rPr>
        <w:t xml:space="preserve">msg = parse(#String, "\"&lt;e&gt;\"")</w:t>
      </w:r>
      <w:r>
        <w:t xml:space="preserve"> </w:t>
      </w:r>
      <w:r>
        <w:t xml:space="preserve">(assuming</w:t>
      </w:r>
      <w:r>
        <w:t xml:space="preserve"> </w:t>
      </w:r>
      <w:r>
        <w:rPr>
          <w:rStyle w:val="VerbatimChar"/>
        </w:rPr>
        <w:t xml:space="preserve">e</w:t>
      </w:r>
      <w:r>
        <w:t xml:space="preserve"> </w:t>
      </w:r>
      <w:r>
        <w:t xml:space="preserve">is the expression). Now you can use</w:t>
      </w:r>
      <w:r>
        <w:t xml:space="preserve"> </w:t>
      </w:r>
      <w:r>
        <w:rPr>
          <w:rStyle w:val="VerbatimChar"/>
        </w:rPr>
        <w:t xml:space="preserve">msg</w:t>
      </w:r>
      <w:r>
        <w:t xml:space="preserve"> </w:t>
      </w:r>
      <w:r>
        <w:t xml:space="preserve">in the constructed pattern.</w:t>
      </w:r>
    </w:p>
    <w:p>
      <w:r>
        <w:rPr>
          <w:i/>
        </w:rPr>
        <w:t xml:space="preserve">Optional</w:t>
      </w:r>
      <w:r>
        <w:t xml:space="preserve">: Write a similar desugaring for a</w:t>
      </w:r>
      <w:r>
        <w:t xml:space="preserve"> </w:t>
      </w:r>
      <w:r>
        <w:rPr>
          <w:rStyle w:val="VerbatimChar"/>
        </w:rPr>
        <w:t xml:space="preserve">test</w:t>
      </w:r>
      <w:r>
        <w:t xml:space="preserve"> </w:t>
      </w:r>
      <w:r>
        <w:t xml:space="preserve">statement. In this case the syntax could be:</w:t>
      </w:r>
      <w:r>
        <w:t xml:space="preserve"> </w:t>
      </w:r>
      <w:r>
        <w:rPr>
          <w:rStyle w:val="VerbatimChar"/>
        </w:rPr>
        <w:t xml:space="preserve">test Expression should be Expression;</w:t>
      </w:r>
      <w:r>
        <w:t xml:space="preserve"> </w:t>
      </w:r>
      <w:r>
        <w:t xml:space="preserve">Instead of throwing an exception it evaluates both expressions, tests if they are equal, and prints out a message with expected and actual value if the test failed.</w:t>
      </w:r>
    </w:p>
    <w:p>
      <w:pPr>
        <w:pStyle w:val="Heading3"/>
      </w:pPr>
      <w:bookmarkStart w:id="37" w:name="series-2-introducing-bindings"/>
      <w:bookmarkEnd w:id="37"/>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38" w:name="swap"/>
      <w:bookmarkEnd w:id="38"/>
      <w:r>
        <w:t xml:space="preserve">6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39">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0">
        <w:r>
          <w:rPr>
            <w:rStyle w:val="Link"/>
          </w:rPr>
          <w:t xml:space="preserve">Immediately Invoked Function Expression</w:t>
        </w:r>
      </w:hyperlink>
      <w:r>
        <w:t xml:space="preserve">?</w:t>
      </w:r>
    </w:p>
    <w:p>
      <w:pPr>
        <w:pStyle w:val="Heading5"/>
      </w:pPr>
      <w:bookmarkStart w:id="41" w:name="foreach"/>
      <w:bookmarkEnd w:id="41"/>
      <w:r>
        <w:t xml:space="preserve">7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2">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(X: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 let array = E, i; for (i = 0; i &lt; array.length; i++) S }</w:t>
      </w:r>
    </w:p>
    <w:p>
      <w:r>
        <w:rPr>
          <w:i/>
        </w:rPr>
        <w:t xml:space="preserve">Quiz</w:t>
      </w:r>
      <w:r>
        <w:t xml:space="preserve">: why can't we use the Immediately Invoked Function Expression here, but instead have to rely on ECMAScript 6</w:t>
      </w:r>
      <w:r>
        <w:t xml:space="preserve"> </w:t>
      </w:r>
      <w:r>
        <w:rPr>
          <w:rStyle w:val="VerbatimChar"/>
        </w:rPr>
        <w:t xml:space="preserve">let</w:t>
      </w:r>
      <w:r>
        <w:t xml:space="preserve"> </w:t>
      </w:r>
      <w:r>
        <w:t xml:space="preserve">to introduce a variable?</w:t>
      </w:r>
    </w:p>
    <w:p>
      <w:r>
        <w:rPr>
          <w:i/>
        </w:rPr>
        <w:t xml:space="preserve">Quiz</w:t>
      </w:r>
      <w:r>
        <w:t xml:space="preserve">: why do we need to assign the expression</w:t>
      </w:r>
      <w:r>
        <w:t xml:space="preserve"> </w:t>
      </w:r>
      <w:r>
        <w:rPr>
          <w:rStyle w:val="VerbatimChar"/>
        </w:rPr>
        <w:t xml:space="preserve">E</w:t>
      </w:r>
      <w:r>
        <w:t xml:space="preserve"> </w:t>
      </w:r>
      <w:r>
        <w:t xml:space="preserve">to a local variable (</w:t>
      </w:r>
      <w:r>
        <w:rPr>
          <w:rStyle w:val="VerbatimChar"/>
        </w:rPr>
        <w:t xml:space="preserve">array</w:t>
      </w:r>
      <w:r>
        <w:t xml:space="preserve">) first?</w:t>
      </w:r>
    </w:p>
    <w:p>
      <w:pPr>
        <w:pStyle w:val="Heading5"/>
      </w:pPr>
      <w:bookmarkStart w:id="43" w:name="fat-arrow-functions"/>
      <w:bookmarkEnd w:id="43"/>
      <w:r>
        <w:t xml:space="preserve">8 Fat arrow functions</w:t>
      </w:r>
    </w:p>
    <w:p>
      <w:r>
        <w:t xml:space="preserve">ECMACScript 6 introduced</w:t>
      </w:r>
      <w:r>
        <w:t xml:space="preserve"> </w:t>
      </w:r>
      <w:hyperlink r:id="rId44">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variable</w:t>
      </w:r>
      <w:r>
        <w:t xml:space="preserve"> </w:t>
      </w:r>
      <w:r>
        <w:rPr>
          <w:rStyle w:val="VerbatimChar"/>
        </w:rPr>
        <w:t xml:space="preserve">E'</w:t>
      </w:r>
      <w:r>
        <w:t xml:space="preserve"> </w:t>
      </w:r>
      <w:r>
        <w:t xml:space="preserve">is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an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f55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9e83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en.wikipedia.org/wiki/Hygienic_macro" TargetMode="External" /><Relationship Type="http://schemas.openxmlformats.org/officeDocument/2006/relationships/hyperlink" Id="rId40" Target="http://en.wikipedia.org/wiki/Immediately-invoked_function_expression" TargetMode="External" /><Relationship Type="http://schemas.openxmlformats.org/officeDocument/2006/relationships/hyperlink" Id="rId42"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4"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39" Target="http://en.wikipedia.org/wiki/Hygienic_macro" TargetMode="External" /><Relationship Type="http://schemas.openxmlformats.org/officeDocument/2006/relationships/hyperlink" Id="rId40" Target="http://en.wikipedia.org/wiki/Immediately-invoked_function_expression" TargetMode="External" /><Relationship Type="http://schemas.openxmlformats.org/officeDocument/2006/relationships/hyperlink" Id="rId42"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4"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