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34A59" w14:textId="77777777" w:rsidR="003249DA" w:rsidRPr="003249DA" w:rsidRDefault="003249DA" w:rsidP="003249DA">
      <w:pPr>
        <w:pStyle w:val="Title"/>
        <w:rPr>
          <w:rFonts w:eastAsia="Times New Roman"/>
        </w:rPr>
      </w:pPr>
      <w:r>
        <w:rPr>
          <w:rFonts w:eastAsia="Times New Roman"/>
        </w:rPr>
        <w:t>The synth</w:t>
      </w:r>
      <w:r w:rsidRPr="003249DA">
        <w:rPr>
          <w:rFonts w:eastAsia="Times New Roman"/>
        </w:rPr>
        <w:t>_runner Package: Utilities to Automate Synthetic Control Estimation Using synth</w:t>
      </w:r>
    </w:p>
    <w:p w14:paraId="0C47ED89" w14:textId="77777777" w:rsidR="001B4ABC" w:rsidRDefault="001B4ABC" w:rsidP="00525280">
      <w:pPr>
        <w:spacing w:before="156" w:after="84" w:line="240" w:lineRule="auto"/>
        <w:outlineLvl w:val="1"/>
        <w:rPr>
          <w:rFonts w:ascii="Times New Roman" w:eastAsia="Times New Roman" w:hAnsi="Times New Roman" w:cs="Times New Roman"/>
          <w:b/>
          <w:bCs/>
          <w:sz w:val="24"/>
          <w:szCs w:val="24"/>
        </w:rPr>
      </w:pPr>
    </w:p>
    <w:p w14:paraId="3E7052E6" w14:textId="77777777" w:rsidR="00525280" w:rsidRPr="00525280" w:rsidRDefault="00525280" w:rsidP="00525280">
      <w:pPr>
        <w:spacing w:before="156" w:after="84" w:line="240" w:lineRule="auto"/>
        <w:outlineLvl w:val="1"/>
        <w:rPr>
          <w:rFonts w:ascii="Times New Roman" w:eastAsia="Times New Roman" w:hAnsi="Times New Roman" w:cs="Times New Roman"/>
          <w:b/>
          <w:bCs/>
          <w:vanish/>
          <w:sz w:val="24"/>
          <w:szCs w:val="24"/>
        </w:rPr>
      </w:pPr>
      <w:r w:rsidRPr="00525280">
        <w:rPr>
          <w:rFonts w:ascii="Times New Roman" w:eastAsia="Times New Roman" w:hAnsi="Times New Roman" w:cs="Times New Roman"/>
          <w:b/>
          <w:bCs/>
          <w:vanish/>
          <w:sz w:val="24"/>
          <w:szCs w:val="24"/>
        </w:rPr>
        <w:t>Contact Author: Brian Quistorff. We thank the Inter-American Development Bank for financial support.</w:t>
      </w:r>
    </w:p>
    <w:p w14:paraId="762908E2" w14:textId="7500A1A4" w:rsidR="001B4ABC" w:rsidRPr="00525280" w:rsidRDefault="00525280" w:rsidP="001B4ABC">
      <w:pPr>
        <w:spacing w:line="240" w:lineRule="auto"/>
        <w:rPr>
          <w:rFonts w:ascii="Times New Roman" w:eastAsia="Times New Roman" w:hAnsi="Times New Roman" w:cs="Times New Roman"/>
          <w:sz w:val="24"/>
          <w:szCs w:val="24"/>
        </w:rPr>
      </w:pPr>
      <w:r w:rsidRPr="00525280">
        <w:rPr>
          <w:rFonts w:ascii="Times New Roman" w:eastAsia="Times New Roman" w:hAnsi="Times New Roman" w:cs="Times New Roman"/>
          <w:sz w:val="24"/>
          <w:szCs w:val="24"/>
        </w:rPr>
        <w:t>The Synthe</w:t>
      </w:r>
      <w:r w:rsidR="00770AB1">
        <w:rPr>
          <w:rFonts w:ascii="Times New Roman" w:eastAsia="Times New Roman" w:hAnsi="Times New Roman" w:cs="Times New Roman"/>
          <w:sz w:val="24"/>
          <w:szCs w:val="24"/>
        </w:rPr>
        <w:t>tic Control</w:t>
      </w:r>
      <w:r w:rsidR="00A06C55">
        <w:rPr>
          <w:rFonts w:ascii="Times New Roman" w:eastAsia="Times New Roman" w:hAnsi="Times New Roman" w:cs="Times New Roman"/>
          <w:sz w:val="24"/>
          <w:szCs w:val="24"/>
        </w:rPr>
        <w:t xml:space="preserve"> Method</w:t>
      </w:r>
      <w:r w:rsidR="00770AB1">
        <w:rPr>
          <w:rFonts w:ascii="Times New Roman" w:eastAsia="Times New Roman" w:hAnsi="Times New Roman" w:cs="Times New Roman"/>
          <w:sz w:val="24"/>
          <w:szCs w:val="24"/>
        </w:rPr>
        <w:t>ology</w:t>
      </w:r>
      <w:r w:rsidR="00A06C55">
        <w:rPr>
          <w:rFonts w:ascii="Times New Roman" w:eastAsia="Times New Roman" w:hAnsi="Times New Roman" w:cs="Times New Roman"/>
          <w:sz w:val="24"/>
          <w:szCs w:val="24"/>
        </w:rPr>
        <w:t xml:space="preserve"> (SCM) (</w:t>
      </w:r>
      <w:r w:rsidR="00A06C55" w:rsidRPr="00D55638">
        <w:rPr>
          <w:rFonts w:ascii="Times New Roman" w:eastAsia="Times New Roman" w:hAnsi="Times New Roman" w:cs="Times New Roman"/>
          <w:sz w:val="24"/>
          <w:szCs w:val="24"/>
        </w:rPr>
        <w:t>Abadie and Gardeazabal, 2003</w:t>
      </w:r>
      <w:r w:rsidRPr="00525280">
        <w:rPr>
          <w:rFonts w:ascii="Times New Roman" w:eastAsia="Times New Roman" w:hAnsi="Times New Roman" w:cs="Times New Roman"/>
          <w:sz w:val="24"/>
          <w:szCs w:val="24"/>
        </w:rPr>
        <w:t xml:space="preserve">, </w:t>
      </w:r>
      <w:r w:rsidR="00A06C55" w:rsidRPr="00D55638">
        <w:rPr>
          <w:rFonts w:ascii="Times New Roman" w:eastAsia="Times New Roman" w:hAnsi="Times New Roman" w:cs="Times New Roman"/>
          <w:sz w:val="24"/>
          <w:szCs w:val="24"/>
        </w:rPr>
        <w:t>Abadie et al., 2010</w:t>
      </w:r>
      <w:r w:rsidR="00A06C55">
        <w:rPr>
          <w:rFonts w:ascii="Times New Roman" w:eastAsia="Times New Roman" w:hAnsi="Times New Roman" w:cs="Times New Roman"/>
          <w:sz w:val="24"/>
          <w:szCs w:val="24"/>
        </w:rPr>
        <w:t>, hereafter ADH)</w:t>
      </w:r>
      <w:r w:rsidRPr="00525280">
        <w:rPr>
          <w:rFonts w:ascii="Times New Roman" w:eastAsia="Times New Roman" w:hAnsi="Times New Roman" w:cs="Times New Roman"/>
          <w:sz w:val="24"/>
          <w:szCs w:val="24"/>
        </w:rPr>
        <w:t xml:space="preserve"> is a data-drive approach to small-sample comparative case-studies for estimating treatment effects. Similar to a difference-in-differ</w:t>
      </w:r>
      <w:r w:rsidR="00770AB1">
        <w:rPr>
          <w:rFonts w:ascii="Times New Roman" w:eastAsia="Times New Roman" w:hAnsi="Times New Roman" w:cs="Times New Roman"/>
          <w:sz w:val="24"/>
          <w:szCs w:val="24"/>
        </w:rPr>
        <w:t xml:space="preserve">ences design, </w:t>
      </w:r>
      <w:r w:rsidR="00DB6C4C">
        <w:rPr>
          <w:rFonts w:ascii="Times New Roman" w:eastAsia="Times New Roman" w:hAnsi="Times New Roman" w:cs="Times New Roman"/>
          <w:sz w:val="24"/>
          <w:szCs w:val="24"/>
        </w:rPr>
        <w:t>SCM</w:t>
      </w:r>
      <w:r w:rsidRPr="00525280">
        <w:rPr>
          <w:rFonts w:ascii="Times New Roman" w:eastAsia="Times New Roman" w:hAnsi="Times New Roman" w:cs="Times New Roman"/>
          <w:sz w:val="24"/>
          <w:szCs w:val="24"/>
        </w:rPr>
        <w:t xml:space="preserve"> exploits the differences in treated and untreated units across the event of interest. However, in contrast to a difference-in-differences design, </w:t>
      </w:r>
      <w:r w:rsidR="00DB6C4C">
        <w:rPr>
          <w:rFonts w:ascii="Times New Roman" w:eastAsia="Times New Roman" w:hAnsi="Times New Roman" w:cs="Times New Roman"/>
          <w:sz w:val="24"/>
          <w:szCs w:val="24"/>
        </w:rPr>
        <w:t>SCM</w:t>
      </w:r>
      <w:r w:rsidRPr="00525280">
        <w:rPr>
          <w:rFonts w:ascii="Times New Roman" w:eastAsia="Times New Roman" w:hAnsi="Times New Roman" w:cs="Times New Roman"/>
          <w:sz w:val="24"/>
          <w:szCs w:val="24"/>
        </w:rPr>
        <w:t xml:space="preserve"> does not give all untreated units the same weight in the comparison. Instead, it generates a weighted average of the untreated units that closely matches the treated unit over the pre-treatment period</w:t>
      </w:r>
      <w:r w:rsidR="001B4ABC">
        <w:rPr>
          <w:rFonts w:ascii="Times New Roman" w:eastAsia="Times New Roman" w:hAnsi="Times New Roman" w:cs="Times New Roman"/>
          <w:sz w:val="24"/>
          <w:szCs w:val="24"/>
        </w:rPr>
        <w:t xml:space="preserve"> and uses that as the counterfactual. </w:t>
      </w:r>
      <w:r w:rsidR="00233B5F">
        <w:rPr>
          <w:rFonts w:ascii="Times New Roman" w:eastAsia="Times New Roman" w:hAnsi="Times New Roman" w:cs="Times New Roman"/>
          <w:sz w:val="24"/>
          <w:szCs w:val="24"/>
        </w:rPr>
        <w:t xml:space="preserve">Along with their paper, </w:t>
      </w:r>
      <w:r w:rsidR="00A06C55">
        <w:rPr>
          <w:rFonts w:ascii="Times New Roman" w:eastAsia="Times New Roman" w:hAnsi="Times New Roman" w:cs="Times New Roman"/>
          <w:sz w:val="24"/>
          <w:szCs w:val="24"/>
        </w:rPr>
        <w:t>ADH</w:t>
      </w:r>
      <w:r w:rsidR="001B4ABC" w:rsidRPr="00525280">
        <w:rPr>
          <w:rFonts w:ascii="Times New Roman" w:eastAsia="Times New Roman" w:hAnsi="Times New Roman" w:cs="Times New Roman"/>
          <w:sz w:val="24"/>
          <w:szCs w:val="24"/>
        </w:rPr>
        <w:t xml:space="preserve"> released the </w:t>
      </w:r>
      <w:r w:rsidR="00CE4034">
        <w:rPr>
          <w:rFonts w:ascii="Times New Roman" w:eastAsia="Times New Roman" w:hAnsi="Times New Roman" w:cs="Times New Roman"/>
          <w:sz w:val="24"/>
          <w:szCs w:val="24"/>
        </w:rPr>
        <w:t>-</w:t>
      </w:r>
      <w:r w:rsidR="001B4ABC" w:rsidRPr="00CE4034">
        <w:rPr>
          <w:rFonts w:ascii="Times New Roman" w:eastAsia="Times New Roman" w:hAnsi="Times New Roman" w:cs="Times New Roman"/>
          <w:sz w:val="24"/>
          <w:szCs w:val="24"/>
        </w:rPr>
        <w:t>synth</w:t>
      </w:r>
      <w:r w:rsidR="00CE4034">
        <w:rPr>
          <w:rFonts w:ascii="Times New Roman" w:eastAsia="Times New Roman" w:hAnsi="Times New Roman" w:cs="Times New Roman"/>
          <w:sz w:val="24"/>
          <w:szCs w:val="24"/>
        </w:rPr>
        <w:t>-</w:t>
      </w:r>
      <w:r w:rsidR="001B4ABC" w:rsidRPr="00525280">
        <w:rPr>
          <w:rFonts w:ascii="Times New Roman" w:eastAsia="Times New Roman" w:hAnsi="Times New Roman" w:cs="Times New Roman"/>
          <w:sz w:val="24"/>
          <w:szCs w:val="24"/>
        </w:rPr>
        <w:t xml:space="preserve"> Stata command for single estimations. Th</w:t>
      </w:r>
      <w:r w:rsidR="001B4ABC">
        <w:rPr>
          <w:rFonts w:ascii="Times New Roman" w:eastAsia="Times New Roman" w:hAnsi="Times New Roman" w:cs="Times New Roman"/>
          <w:sz w:val="24"/>
          <w:szCs w:val="24"/>
        </w:rPr>
        <w:t>is blog post details the new module</w:t>
      </w:r>
      <w:r w:rsidR="001B4ABC" w:rsidRPr="00525280">
        <w:rPr>
          <w:rFonts w:ascii="Times New Roman" w:eastAsia="Times New Roman" w:hAnsi="Times New Roman" w:cs="Times New Roman"/>
          <w:sz w:val="24"/>
          <w:szCs w:val="24"/>
        </w:rPr>
        <w:t xml:space="preserve"> </w:t>
      </w:r>
      <w:r w:rsidR="00CE4034">
        <w:rPr>
          <w:rFonts w:ascii="Times New Roman" w:eastAsia="Times New Roman" w:hAnsi="Times New Roman" w:cs="Times New Roman"/>
          <w:sz w:val="24"/>
          <w:szCs w:val="24"/>
        </w:rPr>
        <w:t>-</w:t>
      </w:r>
      <w:r w:rsidR="001B4ABC" w:rsidRPr="00CE4034">
        <w:rPr>
          <w:rFonts w:ascii="Times New Roman" w:eastAsia="Times New Roman" w:hAnsi="Times New Roman" w:cs="Times New Roman"/>
          <w:sz w:val="24"/>
          <w:szCs w:val="24"/>
        </w:rPr>
        <w:t>synth_runner</w:t>
      </w:r>
      <w:r w:rsidR="00CE4034">
        <w:rPr>
          <w:rFonts w:ascii="Times New Roman" w:eastAsia="Times New Roman" w:hAnsi="Times New Roman" w:cs="Times New Roman"/>
          <w:sz w:val="24"/>
          <w:szCs w:val="24"/>
        </w:rPr>
        <w:t>-</w:t>
      </w:r>
      <w:r w:rsidR="001B4ABC" w:rsidRPr="00525280">
        <w:rPr>
          <w:rFonts w:ascii="Times New Roman" w:eastAsia="Times New Roman" w:hAnsi="Times New Roman" w:cs="Times New Roman"/>
          <w:sz w:val="24"/>
          <w:szCs w:val="24"/>
        </w:rPr>
        <w:t xml:space="preserve"> </w:t>
      </w:r>
      <w:r w:rsidR="001B4ABC">
        <w:rPr>
          <w:rFonts w:ascii="Times New Roman" w:eastAsia="Times New Roman" w:hAnsi="Times New Roman" w:cs="Times New Roman"/>
          <w:sz w:val="24"/>
          <w:szCs w:val="24"/>
        </w:rPr>
        <w:t>that builds on top of the previous command</w:t>
      </w:r>
      <w:r w:rsidR="001B4ABC" w:rsidRPr="00525280">
        <w:rPr>
          <w:rFonts w:ascii="Times New Roman" w:eastAsia="Times New Roman" w:hAnsi="Times New Roman" w:cs="Times New Roman"/>
          <w:sz w:val="24"/>
          <w:szCs w:val="24"/>
        </w:rPr>
        <w:t xml:space="preserve"> to help conduct multiple estimations, inference, diagnostics, and generate visualizations of results.</w:t>
      </w:r>
    </w:p>
    <w:p w14:paraId="1F46C34F" w14:textId="320075A3" w:rsidR="001B4ABC" w:rsidRDefault="001B4ABC" w:rsidP="0052528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take a look at the example used in </w:t>
      </w:r>
      <w:r w:rsidR="00A06C55">
        <w:rPr>
          <w:rFonts w:ascii="Times New Roman" w:eastAsia="Times New Roman" w:hAnsi="Times New Roman" w:cs="Times New Roman"/>
          <w:sz w:val="24"/>
          <w:szCs w:val="24"/>
        </w:rPr>
        <w:t>ADH</w:t>
      </w:r>
      <w:r>
        <w:rPr>
          <w:rFonts w:ascii="Times New Roman" w:eastAsia="Times New Roman" w:hAnsi="Times New Roman" w:cs="Times New Roman"/>
          <w:sz w:val="24"/>
          <w:szCs w:val="24"/>
        </w:rPr>
        <w:t xml:space="preserve"> in which they estimate the effect of Proposition 99 in California on cigarette sales. The proposition passed in 1988 and increased the tax on cigarettes and instituted several other restrictions on tobacco.</w:t>
      </w:r>
      <w:r w:rsidR="00233B5F">
        <w:rPr>
          <w:rFonts w:ascii="Times New Roman" w:eastAsia="Times New Roman" w:hAnsi="Times New Roman" w:cs="Times New Roman"/>
          <w:sz w:val="24"/>
          <w:szCs w:val="24"/>
        </w:rPr>
        <w:t xml:space="preserve"> </w:t>
      </w:r>
      <w:r w:rsidR="00EA3DF3">
        <w:rPr>
          <w:rFonts w:ascii="Times New Roman" w:eastAsia="Times New Roman" w:hAnsi="Times New Roman" w:cs="Times New Roman"/>
          <w:sz w:val="24"/>
          <w:szCs w:val="24"/>
        </w:rPr>
        <w:t>F</w:t>
      </w:r>
      <w:r w:rsidR="00233B5F">
        <w:rPr>
          <w:rFonts w:ascii="Times New Roman" w:eastAsia="Times New Roman" w:hAnsi="Times New Roman" w:cs="Times New Roman"/>
          <w:sz w:val="24"/>
          <w:szCs w:val="24"/>
        </w:rPr>
        <w:t>irst</w:t>
      </w:r>
      <w:r w:rsidR="00EA3DF3">
        <w:rPr>
          <w:rFonts w:ascii="Times New Roman" w:eastAsia="Times New Roman" w:hAnsi="Times New Roman" w:cs="Times New Roman"/>
          <w:sz w:val="24"/>
          <w:szCs w:val="24"/>
        </w:rPr>
        <w:t xml:space="preserve">, have a look at </w:t>
      </w:r>
      <w:r w:rsidR="00233B5F">
        <w:rPr>
          <w:rFonts w:ascii="Times New Roman" w:eastAsia="Times New Roman" w:hAnsi="Times New Roman" w:cs="Times New Roman"/>
          <w:sz w:val="24"/>
          <w:szCs w:val="24"/>
        </w:rPr>
        <w:t>the state trends in per-capita cigarette sales.</w:t>
      </w:r>
    </w:p>
    <w:p w14:paraId="78BF7541" w14:textId="3B85B634" w:rsidR="001B4ABC" w:rsidRDefault="00D55638" w:rsidP="00233B5F">
      <w:pPr>
        <w:spacing w:line="240" w:lineRule="auto"/>
        <w:jc w:val="center"/>
        <w:rPr>
          <w:rFonts w:ascii="Times New Roman" w:eastAsia="Times New Roman" w:hAnsi="Times New Roman" w:cs="Times New Roman"/>
          <w:sz w:val="24"/>
          <w:szCs w:val="24"/>
        </w:rPr>
      </w:pPr>
      <w:r>
        <w:pict w14:anchorId="4AF036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pt;height:181.5pt;mso-position-horizontal:center;mso-position-horizontal-relative:text;mso-position-vertical:absolute;mso-position-vertical-relative:text" o:allowoverlap="f">
            <v:imagedata r:id="rId6" o:title="cigsale1_raw"/>
          </v:shape>
        </w:pict>
      </w:r>
    </w:p>
    <w:p w14:paraId="64022A5C" w14:textId="1581752A" w:rsidR="00D065DD" w:rsidRDefault="00FF0FFA" w:rsidP="0052528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 is graphed along with states that did not enact large tobacco regulations or change their tobacco tax rates. These 38 other states are termed “donors”</w:t>
      </w:r>
      <w:r w:rsidR="00EA3DF3">
        <w:rPr>
          <w:rFonts w:ascii="Times New Roman" w:eastAsia="Times New Roman" w:hAnsi="Times New Roman" w:cs="Times New Roman"/>
          <w:sz w:val="24"/>
          <w:szCs w:val="24"/>
        </w:rPr>
        <w:t xml:space="preserve"> as they can potential be used to form the counterfactual</w:t>
      </w:r>
      <w:r>
        <w:rPr>
          <w:rFonts w:ascii="Times New Roman" w:eastAsia="Times New Roman" w:hAnsi="Times New Roman" w:cs="Times New Roman"/>
          <w:sz w:val="24"/>
          <w:szCs w:val="24"/>
        </w:rPr>
        <w:t xml:space="preserve">. </w:t>
      </w:r>
      <w:r w:rsidR="00233B5F">
        <w:rPr>
          <w:rFonts w:ascii="Times New Roman" w:eastAsia="Times New Roman" w:hAnsi="Times New Roman" w:cs="Times New Roman"/>
          <w:sz w:val="24"/>
          <w:szCs w:val="24"/>
        </w:rPr>
        <w:t xml:space="preserve">As one can see, California looks quite different than most </w:t>
      </w:r>
      <w:r w:rsidR="00C60E53">
        <w:rPr>
          <w:rFonts w:ascii="Times New Roman" w:eastAsia="Times New Roman" w:hAnsi="Times New Roman" w:cs="Times New Roman"/>
          <w:sz w:val="24"/>
          <w:szCs w:val="24"/>
        </w:rPr>
        <w:t xml:space="preserve">of these </w:t>
      </w:r>
      <w:r w:rsidR="00233B5F">
        <w:rPr>
          <w:rFonts w:ascii="Times New Roman" w:eastAsia="Times New Roman" w:hAnsi="Times New Roman" w:cs="Times New Roman"/>
          <w:sz w:val="24"/>
          <w:szCs w:val="24"/>
        </w:rPr>
        <w:t xml:space="preserve">other states during the pre-treatment period. A simple difference-in-differences strategy would therefore not be appropriate as the parallel trends assumption is not satisfied. </w:t>
      </w:r>
      <w:r w:rsidR="00540926">
        <w:rPr>
          <w:rFonts w:ascii="Times New Roman" w:eastAsia="Times New Roman" w:hAnsi="Times New Roman" w:cs="Times New Roman"/>
          <w:sz w:val="24"/>
          <w:szCs w:val="24"/>
        </w:rPr>
        <w:t xml:space="preserve">Instead of using the untreated states equally, </w:t>
      </w:r>
      <w:r w:rsidR="00233B5F">
        <w:rPr>
          <w:rFonts w:ascii="Times New Roman" w:eastAsia="Times New Roman" w:hAnsi="Times New Roman" w:cs="Times New Roman"/>
          <w:sz w:val="24"/>
          <w:szCs w:val="24"/>
        </w:rPr>
        <w:t xml:space="preserve">SCM </w:t>
      </w:r>
      <w:r w:rsidR="00540926">
        <w:rPr>
          <w:rFonts w:ascii="Times New Roman" w:eastAsia="Times New Roman" w:hAnsi="Times New Roman" w:cs="Times New Roman"/>
          <w:sz w:val="24"/>
          <w:szCs w:val="24"/>
        </w:rPr>
        <w:t>finds an optimal weight over t</w:t>
      </w:r>
      <w:r w:rsidR="00EA3DF3">
        <w:rPr>
          <w:rFonts w:ascii="Times New Roman" w:eastAsia="Times New Roman" w:hAnsi="Times New Roman" w:cs="Times New Roman"/>
          <w:sz w:val="24"/>
          <w:szCs w:val="24"/>
        </w:rPr>
        <w:t>he untreated states</w:t>
      </w:r>
      <w:r w:rsidR="00540926">
        <w:rPr>
          <w:rFonts w:ascii="Times New Roman" w:eastAsia="Times New Roman" w:hAnsi="Times New Roman" w:cs="Times New Roman"/>
          <w:sz w:val="24"/>
          <w:szCs w:val="24"/>
        </w:rPr>
        <w:t xml:space="preserve"> to construct a counterfactual. </w:t>
      </w:r>
      <w:r w:rsidR="00D065DD">
        <w:rPr>
          <w:rFonts w:ascii="Times New Roman" w:eastAsia="Times New Roman" w:hAnsi="Times New Roman" w:cs="Times New Roman"/>
          <w:sz w:val="24"/>
          <w:szCs w:val="24"/>
        </w:rPr>
        <w:t xml:space="preserve">The weights are found so that </w:t>
      </w:r>
      <w:r w:rsidR="00DB6C4C">
        <w:rPr>
          <w:rFonts w:ascii="Times New Roman" w:eastAsia="Times New Roman" w:hAnsi="Times New Roman" w:cs="Times New Roman"/>
          <w:sz w:val="24"/>
          <w:szCs w:val="24"/>
        </w:rPr>
        <w:t xml:space="preserve">the </w:t>
      </w:r>
      <w:r w:rsidR="00D065DD">
        <w:rPr>
          <w:rFonts w:ascii="Times New Roman" w:eastAsia="Times New Roman" w:hAnsi="Times New Roman" w:cs="Times New Roman"/>
          <w:sz w:val="24"/>
          <w:szCs w:val="24"/>
        </w:rPr>
        <w:t>counterfactual’s pre-treatment outcome</w:t>
      </w:r>
      <w:r w:rsidR="00DB6C4C">
        <w:rPr>
          <w:rFonts w:ascii="Times New Roman" w:eastAsia="Times New Roman" w:hAnsi="Times New Roman" w:cs="Times New Roman"/>
          <w:sz w:val="24"/>
          <w:szCs w:val="24"/>
        </w:rPr>
        <w:t>s</w:t>
      </w:r>
      <w:r w:rsidR="00D065DD">
        <w:rPr>
          <w:rFonts w:ascii="Times New Roman" w:eastAsia="Times New Roman" w:hAnsi="Times New Roman" w:cs="Times New Roman"/>
          <w:sz w:val="24"/>
          <w:szCs w:val="24"/>
        </w:rPr>
        <w:t xml:space="preserve"> (and </w:t>
      </w:r>
      <w:r w:rsidR="00D065DD">
        <w:rPr>
          <w:rFonts w:ascii="Times New Roman" w:eastAsia="Times New Roman" w:hAnsi="Times New Roman" w:cs="Times New Roman"/>
          <w:sz w:val="24"/>
          <w:szCs w:val="24"/>
        </w:rPr>
        <w:lastRenderedPageBreak/>
        <w:t>any other important pre-treatment variable</w:t>
      </w:r>
      <w:r w:rsidR="00DB6C4C">
        <w:rPr>
          <w:rFonts w:ascii="Times New Roman" w:eastAsia="Times New Roman" w:hAnsi="Times New Roman" w:cs="Times New Roman"/>
          <w:sz w:val="24"/>
          <w:szCs w:val="24"/>
        </w:rPr>
        <w:t>s) match</w:t>
      </w:r>
      <w:r w:rsidR="00D065DD">
        <w:rPr>
          <w:rFonts w:ascii="Times New Roman" w:eastAsia="Times New Roman" w:hAnsi="Times New Roman" w:cs="Times New Roman"/>
          <w:sz w:val="24"/>
          <w:szCs w:val="24"/>
        </w:rPr>
        <w:t xml:space="preserve"> that of the treated unit</w:t>
      </w:r>
      <w:r w:rsidR="00ED0987">
        <w:rPr>
          <w:rFonts w:ascii="Times New Roman" w:eastAsia="Times New Roman" w:hAnsi="Times New Roman" w:cs="Times New Roman"/>
          <w:sz w:val="24"/>
          <w:szCs w:val="24"/>
        </w:rPr>
        <w:t>.</w:t>
      </w:r>
      <w:r w:rsidR="00D065DD">
        <w:rPr>
          <w:rFonts w:ascii="Times New Roman" w:eastAsia="Times New Roman" w:hAnsi="Times New Roman" w:cs="Times New Roman"/>
          <w:sz w:val="24"/>
          <w:szCs w:val="24"/>
        </w:rPr>
        <w:t xml:space="preserve"> </w:t>
      </w:r>
      <w:r w:rsidR="00A06C55">
        <w:rPr>
          <w:rFonts w:ascii="Times New Roman" w:eastAsia="Times New Roman" w:hAnsi="Times New Roman" w:cs="Times New Roman"/>
          <w:sz w:val="24"/>
          <w:szCs w:val="24"/>
        </w:rPr>
        <w:t>Below</w:t>
      </w:r>
      <w:r w:rsidR="00ED0987">
        <w:rPr>
          <w:rFonts w:ascii="Times New Roman" w:eastAsia="Times New Roman" w:hAnsi="Times New Roman" w:cs="Times New Roman"/>
          <w:sz w:val="24"/>
          <w:szCs w:val="24"/>
        </w:rPr>
        <w:t xml:space="preserve"> is </w:t>
      </w:r>
      <w:r w:rsidR="00A06C55">
        <w:rPr>
          <w:rFonts w:ascii="Times New Roman" w:eastAsia="Times New Roman" w:hAnsi="Times New Roman" w:cs="Times New Roman"/>
          <w:sz w:val="24"/>
          <w:szCs w:val="24"/>
        </w:rPr>
        <w:t>the estimate</w:t>
      </w:r>
      <w:r w:rsidR="00DB6C4C">
        <w:rPr>
          <w:rFonts w:ascii="Times New Roman" w:eastAsia="Times New Roman" w:hAnsi="Times New Roman" w:cs="Times New Roman"/>
          <w:sz w:val="24"/>
          <w:szCs w:val="24"/>
        </w:rPr>
        <w:t>d counterfactual</w:t>
      </w:r>
      <w:r w:rsidR="00ED0987">
        <w:rPr>
          <w:rFonts w:ascii="Times New Roman" w:eastAsia="Times New Roman" w:hAnsi="Times New Roman" w:cs="Times New Roman"/>
          <w:sz w:val="24"/>
          <w:szCs w:val="24"/>
        </w:rPr>
        <w:t xml:space="preserve"> for California</w:t>
      </w:r>
      <w:r w:rsidR="00542AA4">
        <w:rPr>
          <w:rFonts w:ascii="Times New Roman" w:eastAsia="Times New Roman" w:hAnsi="Times New Roman" w:cs="Times New Roman"/>
          <w:sz w:val="24"/>
          <w:szCs w:val="24"/>
        </w:rPr>
        <w:t>.</w:t>
      </w:r>
    </w:p>
    <w:p w14:paraId="421FED0E" w14:textId="4AEFE7E7" w:rsidR="00D065DD" w:rsidRDefault="00D55638" w:rsidP="00D065DD">
      <w:pPr>
        <w:spacing w:line="240" w:lineRule="auto"/>
        <w:jc w:val="center"/>
        <w:rPr>
          <w:rFonts w:ascii="Times New Roman" w:eastAsia="Times New Roman" w:hAnsi="Times New Roman" w:cs="Times New Roman"/>
          <w:sz w:val="24"/>
          <w:szCs w:val="24"/>
        </w:rPr>
      </w:pPr>
      <w:r>
        <w:pict w14:anchorId="00359F8F">
          <v:shape id="_x0000_i1026" type="#_x0000_t75" style="width:250pt;height:181.5pt;mso-position-horizontal:center;mso-position-horizontal-relative:text;mso-position-vertical:absolute;mso-position-vertical-relative:text" o:allowoverlap="f">
            <v:imagedata r:id="rId7" o:title="cigsale1_tc"/>
          </v:shape>
        </w:pict>
      </w:r>
    </w:p>
    <w:p w14:paraId="5DD5FF8F" w14:textId="54D5550F" w:rsidR="00ED0987" w:rsidRDefault="00025EEF" w:rsidP="0052528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sees that the counterfactual matches California well during the pre-treatment period. In the post-treatment period, however, California is much lower than its counterfactual. </w:t>
      </w:r>
      <w:r w:rsidR="00CE4034">
        <w:rPr>
          <w:rFonts w:ascii="Times New Roman" w:eastAsia="Times New Roman" w:hAnsi="Times New Roman" w:cs="Times New Roman"/>
          <w:sz w:val="24"/>
          <w:szCs w:val="24"/>
        </w:rPr>
        <w:t xml:space="preserve">The estimated effect is then the difference between the treated unit and its synthetic control for the post-treatment period. </w:t>
      </w:r>
      <w:r w:rsidR="00A335A1">
        <w:rPr>
          <w:rFonts w:ascii="Times New Roman" w:eastAsia="Times New Roman" w:hAnsi="Times New Roman" w:cs="Times New Roman"/>
          <w:sz w:val="24"/>
          <w:szCs w:val="24"/>
        </w:rPr>
        <w:t>Below is the difference between California and its counterfactual.</w:t>
      </w:r>
    </w:p>
    <w:p w14:paraId="75BA0A1B" w14:textId="0DAA9F02" w:rsidR="00ED0987" w:rsidRDefault="00D55638" w:rsidP="00ED0987">
      <w:pPr>
        <w:spacing w:line="240" w:lineRule="auto"/>
        <w:jc w:val="center"/>
        <w:rPr>
          <w:rFonts w:ascii="Times New Roman" w:eastAsia="Times New Roman" w:hAnsi="Times New Roman" w:cs="Times New Roman"/>
          <w:sz w:val="24"/>
          <w:szCs w:val="24"/>
        </w:rPr>
      </w:pPr>
      <w:r>
        <w:pict w14:anchorId="0D8623DD">
          <v:shape id="_x0000_i1027" type="#_x0000_t75" style="width:250pt;height:181.5pt;mso-position-horizontal:center;mso-position-horizontal-relative:text;mso-position-vertical:absolute;mso-position-vertical-relative:text" o:allowoverlap="f">
            <v:imagedata r:id="rId8" o:title="cigsale1_effect"/>
          </v:shape>
        </w:pict>
      </w:r>
    </w:p>
    <w:p w14:paraId="0BAE042F" w14:textId="52061051" w:rsidR="00EA3DF3" w:rsidRDefault="00EA3DF3" w:rsidP="0052528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ADH show that if weights can be found so</w:t>
      </w:r>
      <w:r w:rsidR="00A335A1">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the counterfactual matches well the treated unit in the pre-treatment period then the estimated effect will be unbiased even in the presence of unobserved confounders that ta</w:t>
      </w:r>
      <w:r w:rsidR="00A335A1">
        <w:rPr>
          <w:rFonts w:ascii="Times New Roman" w:eastAsia="Times New Roman" w:hAnsi="Times New Roman" w:cs="Times New Roman"/>
          <w:sz w:val="24"/>
          <w:szCs w:val="24"/>
        </w:rPr>
        <w:t>ke a factor structure. The allowed factor structure</w:t>
      </w:r>
      <w:r>
        <w:rPr>
          <w:rFonts w:ascii="Times New Roman" w:eastAsia="Times New Roman" w:hAnsi="Times New Roman" w:cs="Times New Roman"/>
          <w:sz w:val="24"/>
          <w:szCs w:val="24"/>
        </w:rPr>
        <w:t xml:space="preserve"> is more general than the standard panel estimation framework where unobserved confounders are limited to time-invariant characteristics. In SCM</w:t>
      </w:r>
      <w:r w:rsidR="00A335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factor structure can accommodate units on different time trends. </w:t>
      </w:r>
    </w:p>
    <w:p w14:paraId="34D3EDC6" w14:textId="78F8BB29" w:rsidR="00ED0987" w:rsidRDefault="00D065DD" w:rsidP="0052528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inference, SCM conducts a series of in-place placebo tests. For each of the untreated units, temporarily assume that </w:t>
      </w:r>
      <w:r w:rsidR="00272FF6">
        <w:rPr>
          <w:rFonts w:ascii="Times New Roman" w:eastAsia="Times New Roman" w:hAnsi="Times New Roman" w:cs="Times New Roman"/>
          <w:sz w:val="24"/>
          <w:szCs w:val="24"/>
        </w:rPr>
        <w:t xml:space="preserve">it received </w:t>
      </w:r>
      <w:r>
        <w:rPr>
          <w:rFonts w:ascii="Times New Roman" w:eastAsia="Times New Roman" w:hAnsi="Times New Roman" w:cs="Times New Roman"/>
          <w:sz w:val="24"/>
          <w:szCs w:val="24"/>
        </w:rPr>
        <w:t xml:space="preserve">treatment at the same time and construct a synthetic control for </w:t>
      </w:r>
      <w:r w:rsidR="00272FF6">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using the rest of the untreated units. Collect the placebo effects (differences between units and their synthetic controls) to get a distribution against which </w:t>
      </w:r>
      <w:r w:rsidR="00A335A1">
        <w:rPr>
          <w:rFonts w:ascii="Times New Roman" w:eastAsia="Times New Roman" w:hAnsi="Times New Roman" w:cs="Times New Roman"/>
          <w:sz w:val="24"/>
          <w:szCs w:val="24"/>
        </w:rPr>
        <w:t>one</w:t>
      </w:r>
      <w:bookmarkStart w:id="0" w:name="_GoBack"/>
      <w:bookmarkEnd w:id="0"/>
      <w:r>
        <w:rPr>
          <w:rFonts w:ascii="Times New Roman" w:eastAsia="Times New Roman" w:hAnsi="Times New Roman" w:cs="Times New Roman"/>
          <w:sz w:val="24"/>
          <w:szCs w:val="24"/>
        </w:rPr>
        <w:t xml:space="preserve"> can gauge the relative size of the main effect. </w:t>
      </w:r>
    </w:p>
    <w:p w14:paraId="41559661" w14:textId="4F5E5E4E" w:rsidR="00ED0987" w:rsidRDefault="00A335A1" w:rsidP="00ED0987">
      <w:pPr>
        <w:spacing w:line="240" w:lineRule="auto"/>
        <w:jc w:val="center"/>
        <w:rPr>
          <w:rFonts w:ascii="Times New Roman" w:eastAsia="Times New Roman" w:hAnsi="Times New Roman" w:cs="Times New Roman"/>
          <w:sz w:val="24"/>
          <w:szCs w:val="24"/>
        </w:rPr>
      </w:pPr>
      <w:r>
        <w:lastRenderedPageBreak/>
        <w:pict w14:anchorId="18B2388F">
          <v:shape id="_x0000_i1028" type="#_x0000_t75" style="width:250pt;height:181.5pt;mso-position-horizontal:center;mso-position-horizontal-relative:text;mso-position-vertical:absolute;mso-position-vertical-relative:text" o:allowoverlap="f">
            <v:imagedata r:id="rId9" o:title="cigsale1_effects"/>
          </v:shape>
        </w:pict>
      </w:r>
    </w:p>
    <w:p w14:paraId="0B76CBBA" w14:textId="6FC6CC76" w:rsidR="00540926" w:rsidRDefault="00565D1C" w:rsidP="0052528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calculate</w:t>
      </w:r>
      <w:r w:rsidR="00D065DD">
        <w:rPr>
          <w:rFonts w:ascii="Times New Roman" w:eastAsia="Times New Roman" w:hAnsi="Times New Roman" w:cs="Times New Roman"/>
          <w:sz w:val="24"/>
          <w:szCs w:val="24"/>
        </w:rPr>
        <w:t xml:space="preserve"> a </w:t>
      </w:r>
      <w:r w:rsidR="00D065DD" w:rsidRPr="00542AA4">
        <w:rPr>
          <w:rFonts w:ascii="Times New Roman" w:eastAsia="Times New Roman" w:hAnsi="Times New Roman" w:cs="Times New Roman"/>
          <w:i/>
          <w:sz w:val="24"/>
          <w:szCs w:val="24"/>
        </w:rPr>
        <w:t>p</w:t>
      </w:r>
      <w:r w:rsidR="00D065DD">
        <w:rPr>
          <w:rFonts w:ascii="Times New Roman" w:eastAsia="Times New Roman" w:hAnsi="Times New Roman" w:cs="Times New Roman"/>
          <w:sz w:val="24"/>
          <w:szCs w:val="24"/>
        </w:rPr>
        <w:t>-value</w:t>
      </w:r>
      <w:r>
        <w:rPr>
          <w:rFonts w:ascii="Times New Roman" w:eastAsia="Times New Roman" w:hAnsi="Times New Roman" w:cs="Times New Roman"/>
          <w:sz w:val="24"/>
          <w:szCs w:val="24"/>
        </w:rPr>
        <w:t xml:space="preserve"> for each post-treatment effect</w:t>
      </w:r>
      <w:r w:rsidR="00D065DD">
        <w:rPr>
          <w:rFonts w:ascii="Times New Roman" w:eastAsia="Times New Roman" w:hAnsi="Times New Roman" w:cs="Times New Roman"/>
          <w:sz w:val="24"/>
          <w:szCs w:val="24"/>
        </w:rPr>
        <w:t xml:space="preserve">, find the share of placebo </w:t>
      </w:r>
      <w:r>
        <w:rPr>
          <w:rFonts w:ascii="Times New Roman" w:eastAsia="Times New Roman" w:hAnsi="Times New Roman" w:cs="Times New Roman"/>
          <w:sz w:val="24"/>
          <w:szCs w:val="24"/>
        </w:rPr>
        <w:t>effects</w:t>
      </w:r>
      <w:r w:rsidR="00D065DD">
        <w:rPr>
          <w:rFonts w:ascii="Times New Roman" w:eastAsia="Times New Roman" w:hAnsi="Times New Roman" w:cs="Times New Roman"/>
          <w:sz w:val="24"/>
          <w:szCs w:val="24"/>
        </w:rPr>
        <w:t xml:space="preserve"> that are as large as the main effect. If many placebo effects are as large as the main effect (i.e. the </w:t>
      </w:r>
      <w:r w:rsidR="00D065DD" w:rsidRPr="00272FF6">
        <w:rPr>
          <w:rFonts w:ascii="Times New Roman" w:eastAsia="Times New Roman" w:hAnsi="Times New Roman" w:cs="Times New Roman"/>
          <w:i/>
          <w:sz w:val="24"/>
          <w:szCs w:val="24"/>
        </w:rPr>
        <w:t>p</w:t>
      </w:r>
      <w:r w:rsidR="00D065DD">
        <w:rPr>
          <w:rFonts w:ascii="Times New Roman" w:eastAsia="Times New Roman" w:hAnsi="Times New Roman" w:cs="Times New Roman"/>
          <w:sz w:val="24"/>
          <w:szCs w:val="24"/>
        </w:rPr>
        <w:t>-value is high) than it is likely that the main effect was observed by chance.</w:t>
      </w:r>
      <w:r>
        <w:rPr>
          <w:rFonts w:ascii="Times New Roman" w:eastAsia="Times New Roman" w:hAnsi="Times New Roman" w:cs="Times New Roman"/>
          <w:sz w:val="24"/>
          <w:szCs w:val="24"/>
        </w:rPr>
        <w:t xml:space="preserve"> </w:t>
      </w:r>
      <w:r w:rsidR="00272FF6">
        <w:rPr>
          <w:rFonts w:ascii="Times New Roman" w:eastAsia="Times New Roman" w:hAnsi="Times New Roman" w:cs="Times New Roman"/>
          <w:sz w:val="24"/>
          <w:szCs w:val="24"/>
        </w:rPr>
        <w:t>As one can see in the distribution of differences above, post-</w:t>
      </w:r>
      <w:r>
        <w:rPr>
          <w:rFonts w:ascii="Times New Roman" w:eastAsia="Times New Roman" w:hAnsi="Times New Roman" w:cs="Times New Roman"/>
          <w:sz w:val="24"/>
          <w:szCs w:val="24"/>
        </w:rPr>
        <w:t>treatment differences will be larger if the pre-treatment match was bad</w:t>
      </w:r>
      <w:r w:rsidR="00272FF6">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common alteration</w:t>
      </w:r>
      <w:r w:rsidR="00272FF6">
        <w:rPr>
          <w:rFonts w:ascii="Times New Roman" w:eastAsia="Times New Roman" w:hAnsi="Times New Roman" w:cs="Times New Roman"/>
          <w:sz w:val="24"/>
          <w:szCs w:val="24"/>
        </w:rPr>
        <w:t xml:space="preserve"> then</w:t>
      </w:r>
      <w:r>
        <w:rPr>
          <w:rFonts w:ascii="Times New Roman" w:eastAsia="Times New Roman" w:hAnsi="Times New Roman" w:cs="Times New Roman"/>
          <w:sz w:val="24"/>
          <w:szCs w:val="24"/>
        </w:rPr>
        <w:t xml:space="preserve"> is to </w:t>
      </w:r>
      <w:r w:rsidR="00272FF6">
        <w:rPr>
          <w:rFonts w:ascii="Times New Roman" w:eastAsia="Times New Roman" w:hAnsi="Times New Roman" w:cs="Times New Roman"/>
          <w:sz w:val="24"/>
          <w:szCs w:val="24"/>
        </w:rPr>
        <w:t>scale</w:t>
      </w:r>
      <w:r>
        <w:rPr>
          <w:rFonts w:ascii="Times New Roman" w:eastAsia="Times New Roman" w:hAnsi="Times New Roman" w:cs="Times New Roman"/>
          <w:sz w:val="24"/>
          <w:szCs w:val="24"/>
        </w:rPr>
        <w:t xml:space="preserve"> each post-treatment effect by </w:t>
      </w:r>
      <w:r w:rsidR="00272FF6">
        <w:rPr>
          <w:rFonts w:ascii="Times New Roman" w:eastAsia="Times New Roman" w:hAnsi="Times New Roman" w:cs="Times New Roman"/>
          <w:sz w:val="24"/>
          <w:szCs w:val="24"/>
        </w:rPr>
        <w:t>a measure of pre-treatment match quality (</w:t>
      </w:r>
      <w:r>
        <w:rPr>
          <w:rFonts w:ascii="Times New Roman" w:eastAsia="Times New Roman" w:hAnsi="Times New Roman" w:cs="Times New Roman"/>
          <w:sz w:val="24"/>
          <w:szCs w:val="24"/>
        </w:rPr>
        <w:t>the</w:t>
      </w:r>
      <w:r w:rsidR="00272FF6">
        <w:rPr>
          <w:rFonts w:ascii="Times New Roman" w:eastAsia="Times New Roman" w:hAnsi="Times New Roman" w:cs="Times New Roman"/>
          <w:sz w:val="24"/>
          <w:szCs w:val="24"/>
        </w:rPr>
        <w:t xml:space="preserve"> pre-treatment</w:t>
      </w:r>
      <w:r>
        <w:rPr>
          <w:rFonts w:ascii="Times New Roman" w:eastAsia="Times New Roman" w:hAnsi="Times New Roman" w:cs="Times New Roman"/>
          <w:sz w:val="24"/>
          <w:szCs w:val="24"/>
        </w:rPr>
        <w:t xml:space="preserve"> root</w:t>
      </w:r>
      <w:r w:rsidR="00272F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mean-squared</w:t>
      </w:r>
      <w:r w:rsidR="00272F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prediction</w:t>
      </w:r>
      <w:r w:rsidR="00272FF6">
        <w:rPr>
          <w:rFonts w:ascii="Times New Roman" w:eastAsia="Times New Roman" w:hAnsi="Times New Roman" w:cs="Times New Roman"/>
          <w:sz w:val="24"/>
          <w:szCs w:val="24"/>
        </w:rPr>
        <w:t xml:space="preserve"> error, RMSPE)</w:t>
      </w:r>
      <w:r>
        <w:rPr>
          <w:rFonts w:ascii="Times New Roman" w:eastAsia="Times New Roman" w:hAnsi="Times New Roman" w:cs="Times New Roman"/>
          <w:sz w:val="24"/>
          <w:szCs w:val="24"/>
        </w:rPr>
        <w:t xml:space="preserve">. Comparing those “pseudo </w:t>
      </w:r>
      <w:r w:rsidRPr="00025EEF">
        <w:rPr>
          <w:rFonts w:ascii="Times New Roman" w:eastAsia="Times New Roman" w:hAnsi="Times New Roman" w:cs="Times New Roman"/>
          <w:i/>
          <w:sz w:val="24"/>
          <w:szCs w:val="24"/>
        </w:rPr>
        <w:t>t</w:t>
      </w:r>
      <w:r>
        <w:rPr>
          <w:rFonts w:ascii="Times New Roman" w:eastAsia="Times New Roman" w:hAnsi="Times New Roman" w:cs="Times New Roman"/>
          <w:sz w:val="24"/>
          <w:szCs w:val="24"/>
        </w:rPr>
        <w:t>-statistics”, the following</w:t>
      </w:r>
      <w:r w:rsidR="00EA3DF3">
        <w:rPr>
          <w:rFonts w:ascii="Times New Roman" w:eastAsia="Times New Roman" w:hAnsi="Times New Roman" w:cs="Times New Roman"/>
          <w:sz w:val="24"/>
          <w:szCs w:val="24"/>
        </w:rPr>
        <w:t xml:space="preserve"> are the</w:t>
      </w:r>
      <w:r>
        <w:rPr>
          <w:rFonts w:ascii="Times New Roman" w:eastAsia="Times New Roman" w:hAnsi="Times New Roman" w:cs="Times New Roman"/>
          <w:sz w:val="24"/>
          <w:szCs w:val="24"/>
        </w:rPr>
        <w:t xml:space="preserve"> </w:t>
      </w:r>
      <w:r w:rsidRPr="00025EEF">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for </w:t>
      </w:r>
      <w:r w:rsidR="00272FF6">
        <w:rPr>
          <w:rFonts w:ascii="Times New Roman" w:eastAsia="Times New Roman" w:hAnsi="Times New Roman" w:cs="Times New Roman"/>
          <w:sz w:val="24"/>
          <w:szCs w:val="24"/>
        </w:rPr>
        <w:t>Proposition 99</w:t>
      </w:r>
      <w:r>
        <w:rPr>
          <w:rFonts w:ascii="Times New Roman" w:eastAsia="Times New Roman" w:hAnsi="Times New Roman" w:cs="Times New Roman"/>
          <w:sz w:val="24"/>
          <w:szCs w:val="24"/>
        </w:rPr>
        <w:t>’s effects.</w:t>
      </w:r>
    </w:p>
    <w:p w14:paraId="677252CB" w14:textId="02346012" w:rsidR="00ED0987" w:rsidRDefault="00A335A1" w:rsidP="00ED0987">
      <w:pPr>
        <w:spacing w:line="240" w:lineRule="auto"/>
        <w:jc w:val="center"/>
        <w:rPr>
          <w:rFonts w:ascii="Times New Roman" w:eastAsia="Times New Roman" w:hAnsi="Times New Roman" w:cs="Times New Roman"/>
          <w:sz w:val="24"/>
          <w:szCs w:val="24"/>
        </w:rPr>
      </w:pPr>
      <w:r>
        <w:pict w14:anchorId="073C63A2">
          <v:shape id="_x0000_i1029" type="#_x0000_t75" style="width:250pt;height:181.5pt;mso-position-horizontal:center;mso-position-horizontal-relative:text;mso-position-vertical:absolute;mso-position-vertical-relative:text" o:allowoverlap="f">
            <v:imagedata r:id="rId10" o:title="cigsale2_pval_t"/>
          </v:shape>
        </w:pict>
      </w:r>
    </w:p>
    <w:p w14:paraId="6C5429B9" w14:textId="4FB7FF01" w:rsidR="00643A32" w:rsidRDefault="00A06C55" w:rsidP="00525280">
      <w:pPr>
        <w:spacing w:line="240" w:lineRule="auto"/>
        <w:rPr>
          <w:rFonts w:ascii="Times New Roman" w:eastAsia="Times New Roman" w:hAnsi="Times New Roman" w:cs="Times New Roman"/>
          <w:sz w:val="24"/>
          <w:szCs w:val="24"/>
        </w:rPr>
      </w:pPr>
      <w:r w:rsidRPr="00D55638">
        <w:rPr>
          <w:rFonts w:ascii="Times New Roman" w:eastAsia="Times New Roman" w:hAnsi="Times New Roman" w:cs="Times New Roman"/>
          <w:sz w:val="24"/>
          <w:szCs w:val="24"/>
        </w:rPr>
        <w:t>Cavallo et al. (2013)</w:t>
      </w:r>
      <w:r w:rsidR="00540926">
        <w:rPr>
          <w:rFonts w:ascii="Times New Roman" w:eastAsia="Times New Roman" w:hAnsi="Times New Roman" w:cs="Times New Roman"/>
          <w:sz w:val="24"/>
          <w:szCs w:val="24"/>
        </w:rPr>
        <w:t xml:space="preserve"> </w:t>
      </w:r>
      <w:r w:rsidR="00525280" w:rsidRPr="00525280">
        <w:rPr>
          <w:rFonts w:ascii="Times New Roman" w:eastAsia="Times New Roman" w:hAnsi="Times New Roman" w:cs="Times New Roman"/>
          <w:sz w:val="24"/>
          <w:szCs w:val="24"/>
        </w:rPr>
        <w:t>exten</w:t>
      </w:r>
      <w:r w:rsidR="00565D1C">
        <w:rPr>
          <w:rFonts w:ascii="Times New Roman" w:eastAsia="Times New Roman" w:hAnsi="Times New Roman" w:cs="Times New Roman"/>
          <w:sz w:val="24"/>
          <w:szCs w:val="24"/>
        </w:rPr>
        <w:t>t SCM</w:t>
      </w:r>
      <w:r w:rsidR="00525280" w:rsidRPr="00525280">
        <w:rPr>
          <w:rFonts w:ascii="Times New Roman" w:eastAsia="Times New Roman" w:hAnsi="Times New Roman" w:cs="Times New Roman"/>
          <w:sz w:val="24"/>
          <w:szCs w:val="24"/>
        </w:rPr>
        <w:t xml:space="preserve"> by </w:t>
      </w:r>
      <w:r w:rsidR="00565D1C">
        <w:rPr>
          <w:rFonts w:ascii="Times New Roman" w:eastAsia="Times New Roman" w:hAnsi="Times New Roman" w:cs="Times New Roman"/>
          <w:sz w:val="24"/>
          <w:szCs w:val="24"/>
        </w:rPr>
        <w:t>allowing</w:t>
      </w:r>
      <w:r w:rsidR="00525280" w:rsidRPr="00525280">
        <w:rPr>
          <w:rFonts w:ascii="Times New Roman" w:eastAsia="Times New Roman" w:hAnsi="Times New Roman" w:cs="Times New Roman"/>
          <w:sz w:val="24"/>
          <w:szCs w:val="24"/>
        </w:rPr>
        <w:t xml:space="preserve"> more than one unit to experience treatment and at possibly different times. </w:t>
      </w:r>
      <w:r w:rsidR="00643A32">
        <w:rPr>
          <w:rFonts w:ascii="Times New Roman" w:eastAsia="Times New Roman" w:hAnsi="Times New Roman" w:cs="Times New Roman"/>
          <w:sz w:val="24"/>
          <w:szCs w:val="24"/>
        </w:rPr>
        <w:t>An overall treatment effect is constructed as an average over the treated units</w:t>
      </w:r>
      <w:r w:rsidR="00FE5CC3">
        <w:rPr>
          <w:rFonts w:ascii="Times New Roman" w:eastAsia="Times New Roman" w:hAnsi="Times New Roman" w:cs="Times New Roman"/>
          <w:sz w:val="24"/>
          <w:szCs w:val="24"/>
        </w:rPr>
        <w:t>, with e</w:t>
      </w:r>
      <w:r>
        <w:rPr>
          <w:rFonts w:ascii="Times New Roman" w:eastAsia="Times New Roman" w:hAnsi="Times New Roman" w:cs="Times New Roman"/>
          <w:sz w:val="24"/>
          <w:szCs w:val="24"/>
        </w:rPr>
        <w:t>ffects all rel</w:t>
      </w:r>
      <w:r w:rsidR="00643A32">
        <w:rPr>
          <w:rFonts w:ascii="Times New Roman" w:eastAsia="Times New Roman" w:hAnsi="Times New Roman" w:cs="Times New Roman"/>
          <w:sz w:val="24"/>
          <w:szCs w:val="24"/>
        </w:rPr>
        <w:t xml:space="preserve">ative to their treatment </w:t>
      </w:r>
      <w:r w:rsidR="00A335A1">
        <w:rPr>
          <w:rFonts w:ascii="Times New Roman" w:eastAsia="Times New Roman" w:hAnsi="Times New Roman" w:cs="Times New Roman"/>
          <w:sz w:val="24"/>
          <w:szCs w:val="24"/>
        </w:rPr>
        <w:t>date</w:t>
      </w:r>
      <w:r w:rsidR="00643A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averaging removes noise from the estimate so the same should be done for the comparison distribution when conducting inference. For each treatment</w:t>
      </w:r>
      <w:r w:rsidR="00272F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consider the group of placebo estimates where the never-treated donors are thought of </w:t>
      </w:r>
      <w:r w:rsidR="00272FF6">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experiencing treatment at the treatment period. </w:t>
      </w:r>
      <w:r w:rsidR="00654FCE">
        <w:rPr>
          <w:rFonts w:ascii="Times New Roman" w:eastAsia="Times New Roman" w:hAnsi="Times New Roman" w:cs="Times New Roman"/>
          <w:sz w:val="24"/>
          <w:szCs w:val="24"/>
        </w:rPr>
        <w:t>S</w:t>
      </w:r>
      <w:r>
        <w:rPr>
          <w:rFonts w:ascii="Times New Roman" w:eastAsia="Times New Roman" w:hAnsi="Times New Roman" w:cs="Times New Roman"/>
          <w:sz w:val="24"/>
          <w:szCs w:val="24"/>
        </w:rPr>
        <w:t>elect one placebo effect from each group and t</w:t>
      </w:r>
      <w:r w:rsidR="00272FF6">
        <w:rPr>
          <w:rFonts w:ascii="Times New Roman" w:eastAsia="Times New Roman" w:hAnsi="Times New Roman" w:cs="Times New Roman"/>
          <w:sz w:val="24"/>
          <w:szCs w:val="24"/>
        </w:rPr>
        <w:t>hen t</w:t>
      </w:r>
      <w:r>
        <w:rPr>
          <w:rFonts w:ascii="Times New Roman" w:eastAsia="Times New Roman" w:hAnsi="Times New Roman" w:cs="Times New Roman"/>
          <w:sz w:val="24"/>
          <w:szCs w:val="24"/>
        </w:rPr>
        <w:t>ak</w:t>
      </w:r>
      <w:r w:rsidR="00654FCE">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the average</w:t>
      </w:r>
      <w:r w:rsidR="00654FCE">
        <w:rPr>
          <w:rFonts w:ascii="Times New Roman" w:eastAsia="Times New Roman" w:hAnsi="Times New Roman" w:cs="Times New Roman"/>
          <w:sz w:val="24"/>
          <w:szCs w:val="24"/>
        </w:rPr>
        <w:t xml:space="preserve"> to construct a member of the comparison distribution</w:t>
      </w:r>
      <w:r>
        <w:rPr>
          <w:rFonts w:ascii="Times New Roman" w:eastAsia="Times New Roman" w:hAnsi="Times New Roman" w:cs="Times New Roman"/>
          <w:sz w:val="24"/>
          <w:szCs w:val="24"/>
        </w:rPr>
        <w:t xml:space="preserve">. </w:t>
      </w:r>
      <w:r w:rsidR="00FE5CC3">
        <w:rPr>
          <w:rFonts w:ascii="Times New Roman" w:eastAsia="Times New Roman" w:hAnsi="Times New Roman" w:cs="Times New Roman"/>
          <w:sz w:val="24"/>
          <w:szCs w:val="24"/>
        </w:rPr>
        <w:t>There will be many such averages with t</w:t>
      </w:r>
      <w:r w:rsidR="00654FCE">
        <w:rPr>
          <w:rFonts w:ascii="Times New Roman" w:eastAsia="Times New Roman" w:hAnsi="Times New Roman" w:cs="Times New Roman"/>
          <w:sz w:val="24"/>
          <w:szCs w:val="24"/>
        </w:rPr>
        <w:t>he si</w:t>
      </w:r>
      <w:r w:rsidR="00FE5CC3">
        <w:rPr>
          <w:rFonts w:ascii="Times New Roman" w:eastAsia="Times New Roman" w:hAnsi="Times New Roman" w:cs="Times New Roman"/>
          <w:sz w:val="24"/>
          <w:szCs w:val="24"/>
        </w:rPr>
        <w:t>ze of the comparison group growing</w:t>
      </w:r>
      <w:r w:rsidR="00654FCE">
        <w:rPr>
          <w:rFonts w:ascii="Times New Roman" w:eastAsia="Times New Roman" w:hAnsi="Times New Roman" w:cs="Times New Roman"/>
          <w:sz w:val="24"/>
          <w:szCs w:val="24"/>
        </w:rPr>
        <w:t xml:space="preserve"> exponentially in the number of treatments.</w:t>
      </w:r>
    </w:p>
    <w:p w14:paraId="4C18AF7E" w14:textId="77777777" w:rsidR="00643A32" w:rsidRDefault="00643A32" w:rsidP="00525280">
      <w:pPr>
        <w:spacing w:line="240" w:lineRule="auto"/>
        <w:rPr>
          <w:rFonts w:ascii="Times New Roman" w:eastAsia="Times New Roman" w:hAnsi="Times New Roman" w:cs="Times New Roman"/>
          <w:sz w:val="24"/>
          <w:szCs w:val="24"/>
        </w:rPr>
      </w:pPr>
    </w:p>
    <w:p w14:paraId="6343C827" w14:textId="30019256" w:rsidR="00525280" w:rsidRPr="00525280" w:rsidRDefault="00DE38BA" w:rsidP="00FE5CC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-synth_runner- package also performs</w:t>
      </w:r>
      <w:r w:rsidR="00A4092D">
        <w:rPr>
          <w:rFonts w:ascii="Times New Roman" w:eastAsia="Times New Roman" w:hAnsi="Times New Roman" w:cs="Times New Roman"/>
          <w:sz w:val="24"/>
          <w:szCs w:val="24"/>
        </w:rPr>
        <w:t xml:space="preserve"> several</w:t>
      </w:r>
      <w:r>
        <w:rPr>
          <w:rFonts w:ascii="Times New Roman" w:eastAsia="Times New Roman" w:hAnsi="Times New Roman" w:cs="Times New Roman"/>
          <w:sz w:val="24"/>
          <w:szCs w:val="24"/>
        </w:rPr>
        <w:t xml:space="preserve"> diagnostics </w:t>
      </w:r>
      <w:r w:rsidR="00A335A1">
        <w:rPr>
          <w:rFonts w:ascii="Times New Roman" w:eastAsia="Times New Roman" w:hAnsi="Times New Roman" w:cs="Times New Roman"/>
          <w:sz w:val="24"/>
          <w:szCs w:val="24"/>
        </w:rPr>
        <w:t>used</w:t>
      </w:r>
      <w:r>
        <w:rPr>
          <w:rFonts w:ascii="Times New Roman" w:eastAsia="Times New Roman" w:hAnsi="Times New Roman" w:cs="Times New Roman"/>
          <w:sz w:val="24"/>
          <w:szCs w:val="24"/>
        </w:rPr>
        <w:t xml:space="preserve"> in the aforementioned papers.</w:t>
      </w:r>
      <w:r w:rsidR="00525280" w:rsidRPr="00525280">
        <w:rPr>
          <w:rFonts w:ascii="Times New Roman" w:eastAsia="Times New Roman" w:hAnsi="Times New Roman" w:cs="Times New Roman"/>
          <w:sz w:val="24"/>
          <w:szCs w:val="24"/>
        </w:rPr>
        <w:t xml:space="preserve"> The first is to check if a weighted average of donors is able to approximate the treated unit in the pre-treatment</w:t>
      </w:r>
      <w:r w:rsidR="00FE5CC3">
        <w:rPr>
          <w:rFonts w:ascii="Times New Roman" w:eastAsia="Times New Roman" w:hAnsi="Times New Roman" w:cs="Times New Roman"/>
          <w:sz w:val="24"/>
          <w:szCs w:val="24"/>
        </w:rPr>
        <w:t xml:space="preserve"> period</w:t>
      </w:r>
      <w:r w:rsidR="00525280" w:rsidRPr="00525280">
        <w:rPr>
          <w:rFonts w:ascii="Times New Roman" w:eastAsia="Times New Roman" w:hAnsi="Times New Roman" w:cs="Times New Roman"/>
          <w:sz w:val="24"/>
          <w:szCs w:val="24"/>
        </w:rPr>
        <w:t xml:space="preserve">. This should be satisfied if the treated unit lies within the convex hull of the control units. </w:t>
      </w:r>
      <w:r w:rsidR="00FE5CC3">
        <w:rPr>
          <w:rFonts w:ascii="Times New Roman" w:eastAsia="Times New Roman" w:hAnsi="Times New Roman" w:cs="Times New Roman"/>
          <w:sz w:val="24"/>
          <w:szCs w:val="24"/>
        </w:rPr>
        <w:t xml:space="preserve">-synth_runner- calculates from </w:t>
      </w:r>
      <w:r w:rsidR="00525280" w:rsidRPr="00525280">
        <w:rPr>
          <w:rFonts w:ascii="Times New Roman" w:eastAsia="Times New Roman" w:hAnsi="Times New Roman" w:cs="Times New Roman"/>
          <w:sz w:val="24"/>
          <w:szCs w:val="24"/>
        </w:rPr>
        <w:t>the distribution of pre-treat</w:t>
      </w:r>
      <w:r w:rsidR="00272FF6">
        <w:rPr>
          <w:rFonts w:ascii="Times New Roman" w:eastAsia="Times New Roman" w:hAnsi="Times New Roman" w:cs="Times New Roman"/>
          <w:sz w:val="24"/>
          <w:szCs w:val="24"/>
        </w:rPr>
        <w:t>ment RMSPE</w:t>
      </w:r>
      <w:r w:rsidR="00525280" w:rsidRPr="00525280">
        <w:rPr>
          <w:rFonts w:ascii="Times New Roman" w:eastAsia="Times New Roman" w:hAnsi="Times New Roman" w:cs="Times New Roman"/>
          <w:sz w:val="24"/>
          <w:szCs w:val="24"/>
        </w:rPr>
        <w:t>s</w:t>
      </w:r>
      <w:r w:rsidR="00272FF6">
        <w:rPr>
          <w:rFonts w:ascii="Times New Roman" w:eastAsia="Times New Roman" w:hAnsi="Times New Roman" w:cs="Times New Roman"/>
          <w:sz w:val="24"/>
          <w:szCs w:val="24"/>
        </w:rPr>
        <w:t>,</w:t>
      </w:r>
      <w:r w:rsidR="00525280" w:rsidRPr="00525280">
        <w:rPr>
          <w:rFonts w:ascii="Times New Roman" w:eastAsia="Times New Roman" w:hAnsi="Times New Roman" w:cs="Times New Roman"/>
          <w:sz w:val="24"/>
          <w:szCs w:val="24"/>
        </w:rPr>
        <w:t xml:space="preserve"> what proportion of control units </w:t>
      </w:r>
      <w:r w:rsidR="00272FF6">
        <w:rPr>
          <w:rFonts w:ascii="Times New Roman" w:eastAsia="Times New Roman" w:hAnsi="Times New Roman" w:cs="Times New Roman"/>
          <w:sz w:val="24"/>
          <w:szCs w:val="24"/>
        </w:rPr>
        <w:t>match worse than</w:t>
      </w:r>
      <w:r w:rsidR="00525280" w:rsidRPr="00525280">
        <w:rPr>
          <w:rFonts w:ascii="Times New Roman" w:eastAsia="Times New Roman" w:hAnsi="Times New Roman" w:cs="Times New Roman"/>
          <w:sz w:val="24"/>
          <w:szCs w:val="24"/>
        </w:rPr>
        <w:t xml:space="preserve"> the treated unit.</w:t>
      </w:r>
    </w:p>
    <w:p w14:paraId="634B8A65" w14:textId="70B06239" w:rsidR="006806AC" w:rsidRDefault="00A4092D" w:rsidP="00DE38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diagnostic, is that if one constructs the counterfactual by only matching on </w:t>
      </w:r>
      <w:r w:rsidR="00272FF6">
        <w:rPr>
          <w:rFonts w:ascii="Times New Roman" w:eastAsia="Times New Roman" w:hAnsi="Times New Roman" w:cs="Times New Roman"/>
          <w:sz w:val="24"/>
          <w:szCs w:val="24"/>
        </w:rPr>
        <w:t>the initial</w:t>
      </w:r>
      <w:r>
        <w:rPr>
          <w:rFonts w:ascii="Times New Roman" w:eastAsia="Times New Roman" w:hAnsi="Times New Roman" w:cs="Times New Roman"/>
          <w:sz w:val="24"/>
          <w:szCs w:val="24"/>
        </w:rPr>
        <w:t xml:space="preserve"> part of the pre-treatment period, then the counterfactual should do well to match the rest of the pre-treatment period.</w:t>
      </w:r>
      <w:r w:rsidR="00525280" w:rsidRPr="00525280">
        <w:rPr>
          <w:rFonts w:ascii="Times New Roman" w:eastAsia="Times New Roman" w:hAnsi="Times New Roman" w:cs="Times New Roman"/>
          <w:sz w:val="24"/>
          <w:szCs w:val="24"/>
        </w:rPr>
        <w:t xml:space="preserve"> The initial section of the pre-treatment period is often designated the “training” period with the later part</w:t>
      </w:r>
      <w:r w:rsidR="00272FF6">
        <w:rPr>
          <w:rFonts w:ascii="Times New Roman" w:eastAsia="Times New Roman" w:hAnsi="Times New Roman" w:cs="Times New Roman"/>
          <w:sz w:val="24"/>
          <w:szCs w:val="24"/>
        </w:rPr>
        <w:t xml:space="preserve"> being the “validation” period. As an example, </w:t>
      </w:r>
      <w:r w:rsidRPr="00A4092D">
        <w:rPr>
          <w:rFonts w:ascii="Times New Roman" w:eastAsia="Times New Roman" w:hAnsi="Times New Roman" w:cs="Times New Roman"/>
          <w:sz w:val="24"/>
          <w:szCs w:val="24"/>
        </w:rPr>
        <w:t>Cavallo et al. (2013)</w:t>
      </w:r>
      <w:r>
        <w:rPr>
          <w:rFonts w:ascii="Times New Roman" w:eastAsia="Times New Roman" w:hAnsi="Times New Roman" w:cs="Times New Roman"/>
          <w:sz w:val="24"/>
          <w:szCs w:val="24"/>
        </w:rPr>
        <w:t xml:space="preserve"> </w:t>
      </w:r>
      <w:r w:rsidR="00525280" w:rsidRPr="00525280">
        <w:rPr>
          <w:rFonts w:ascii="Times New Roman" w:eastAsia="Times New Roman" w:hAnsi="Times New Roman" w:cs="Times New Roman"/>
          <w:sz w:val="24"/>
          <w:szCs w:val="24"/>
        </w:rPr>
        <w:t>set aside the first half of the pre-treatment period as the training period.</w:t>
      </w:r>
      <w:r>
        <w:rPr>
          <w:rFonts w:ascii="Times New Roman" w:eastAsia="Times New Roman" w:hAnsi="Times New Roman" w:cs="Times New Roman"/>
          <w:sz w:val="24"/>
          <w:szCs w:val="24"/>
        </w:rPr>
        <w:t xml:space="preserve"> When a training period is used, -synth_runner- will provide the proportion of control units that match worse than the treated unit during the validation period.</w:t>
      </w:r>
    </w:p>
    <w:p w14:paraId="4757ADAE" w14:textId="77777777" w:rsidR="00A335A1" w:rsidRDefault="00A335A1" w:rsidP="00DE38BA">
      <w:pPr>
        <w:spacing w:after="0" w:line="240" w:lineRule="auto"/>
        <w:rPr>
          <w:rFonts w:ascii="Times New Roman" w:eastAsia="Times New Roman" w:hAnsi="Times New Roman" w:cs="Times New Roman"/>
          <w:sz w:val="24"/>
          <w:szCs w:val="24"/>
        </w:rPr>
      </w:pPr>
    </w:p>
    <w:p w14:paraId="254A6B04" w14:textId="77777777" w:rsidR="00A335A1" w:rsidRDefault="00A335A1" w:rsidP="00A335A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Hopefully, this package will be useful for those using this new method. The </w:t>
      </w:r>
      <w:r>
        <w:rPr>
          <w:rFonts w:ascii="Times New Roman" w:eastAsia="Times New Roman" w:hAnsi="Times New Roman" w:cs="Times New Roman"/>
          <w:sz w:val="24"/>
          <w:szCs w:val="24"/>
        </w:rPr>
        <w:t xml:space="preserve">Stata module file may be downloaded from </w:t>
      </w:r>
      <w:hyperlink r:id="rId11" w:history="1">
        <w:r w:rsidRPr="00B30063">
          <w:rPr>
            <w:rStyle w:val="Hyperlink"/>
            <w:rFonts w:ascii="Times New Roman" w:eastAsia="Times New Roman" w:hAnsi="Times New Roman" w:cs="Times New Roman"/>
            <w:sz w:val="24"/>
            <w:szCs w:val="24"/>
          </w:rPr>
          <w:t>here</w:t>
        </w:r>
      </w:hyperlink>
      <w:r>
        <w:rPr>
          <w:rFonts w:ascii="Times New Roman" w:eastAsia="Times New Roman" w:hAnsi="Times New Roman" w:cs="Times New Roman"/>
          <w:sz w:val="24"/>
          <w:szCs w:val="24"/>
        </w:rPr>
        <w:t>.</w:t>
      </w:r>
    </w:p>
    <w:p w14:paraId="7A54A61B" w14:textId="77777777" w:rsidR="00A335A1" w:rsidRDefault="00A335A1" w:rsidP="00A335A1">
      <w:pPr>
        <w:spacing w:after="0" w:line="240" w:lineRule="auto"/>
        <w:rPr>
          <w:rFonts w:ascii="Times New Roman" w:eastAsia="Times New Roman" w:hAnsi="Times New Roman" w:cs="Times New Roman"/>
          <w:sz w:val="24"/>
          <w:szCs w:val="24"/>
        </w:rPr>
      </w:pPr>
    </w:p>
    <w:p w14:paraId="6409226D" w14:textId="32F84AA7" w:rsidR="006806AC" w:rsidRDefault="00B30063" w:rsidP="00A335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Brian Quistorff </w:t>
      </w:r>
    </w:p>
    <w:p w14:paraId="600864C9" w14:textId="3D0F4C42" w:rsidR="00D55638" w:rsidRPr="00525280" w:rsidRDefault="00D55638" w:rsidP="00D55638">
      <w:pPr>
        <w:pStyle w:val="Heading1"/>
        <w:rPr>
          <w:rFonts w:eastAsia="Times New Roman"/>
        </w:rPr>
      </w:pPr>
      <w:r>
        <w:rPr>
          <w:rFonts w:eastAsia="Times New Roman"/>
        </w:rPr>
        <w:t>References</w:t>
      </w:r>
    </w:p>
    <w:p w14:paraId="0A67EFBB" w14:textId="3C90202F" w:rsidR="00D55638" w:rsidRPr="00D55638" w:rsidRDefault="00D55638" w:rsidP="00D55638">
      <w:pPr>
        <w:autoSpaceDE w:val="0"/>
        <w:autoSpaceDN w:val="0"/>
        <w:adjustRightInd w:val="0"/>
        <w:spacing w:after="0" w:line="240" w:lineRule="auto"/>
        <w:ind w:left="720" w:hanging="720"/>
        <w:rPr>
          <w:rFonts w:ascii="Times New Roman" w:eastAsia="Times New Roman" w:hAnsi="Times New Roman" w:cs="Times New Roman"/>
          <w:sz w:val="24"/>
          <w:szCs w:val="24"/>
        </w:rPr>
      </w:pPr>
      <w:r w:rsidRPr="00D55638">
        <w:rPr>
          <w:rFonts w:ascii="Times New Roman" w:eastAsia="Times New Roman" w:hAnsi="Times New Roman" w:cs="Times New Roman"/>
          <w:sz w:val="24"/>
          <w:szCs w:val="24"/>
        </w:rPr>
        <w:t>Alberto Abadie and Javier Gardeazabal. The economic costs of conflict: A case</w:t>
      </w:r>
      <w:r w:rsidRPr="00D55638">
        <w:rPr>
          <w:rFonts w:ascii="Times New Roman" w:eastAsia="Times New Roman" w:hAnsi="Times New Roman" w:cs="Times New Roman"/>
          <w:sz w:val="24"/>
          <w:szCs w:val="24"/>
        </w:rPr>
        <w:t xml:space="preserve"> </w:t>
      </w:r>
      <w:r w:rsidRPr="00D55638">
        <w:rPr>
          <w:rFonts w:ascii="Times New Roman" w:eastAsia="Times New Roman" w:hAnsi="Times New Roman" w:cs="Times New Roman"/>
          <w:sz w:val="24"/>
          <w:szCs w:val="24"/>
        </w:rPr>
        <w:t xml:space="preserve">study of the Basque country. </w:t>
      </w:r>
      <w:r w:rsidRPr="00D55638">
        <w:rPr>
          <w:rFonts w:ascii="Times New Roman" w:eastAsia="Times New Roman" w:hAnsi="Times New Roman" w:cs="Times New Roman"/>
          <w:i/>
          <w:sz w:val="24"/>
          <w:szCs w:val="24"/>
        </w:rPr>
        <w:t>American Economic Review</w:t>
      </w:r>
      <w:r w:rsidRPr="00D55638">
        <w:rPr>
          <w:rFonts w:ascii="Times New Roman" w:eastAsia="Times New Roman" w:hAnsi="Times New Roman" w:cs="Times New Roman"/>
          <w:sz w:val="24"/>
          <w:szCs w:val="24"/>
        </w:rPr>
        <w:t>, 93(1):113–132, Mar</w:t>
      </w:r>
      <w:r w:rsidRPr="00D55638">
        <w:rPr>
          <w:rFonts w:ascii="Times New Roman" w:eastAsia="Times New Roman" w:hAnsi="Times New Roman" w:cs="Times New Roman"/>
          <w:sz w:val="24"/>
          <w:szCs w:val="24"/>
        </w:rPr>
        <w:t xml:space="preserve"> </w:t>
      </w:r>
      <w:r w:rsidRPr="00D55638">
        <w:rPr>
          <w:rFonts w:ascii="Times New Roman" w:eastAsia="Times New Roman" w:hAnsi="Times New Roman" w:cs="Times New Roman"/>
          <w:sz w:val="24"/>
          <w:szCs w:val="24"/>
        </w:rPr>
        <w:t>2003. doi:</w:t>
      </w:r>
      <w:hyperlink r:id="rId12" w:history="1">
        <w:r w:rsidRPr="00D55638">
          <w:rPr>
            <w:rStyle w:val="Hyperlink"/>
            <w:rFonts w:ascii="Times New Roman" w:eastAsia="Times New Roman" w:hAnsi="Times New Roman" w:cs="Times New Roman"/>
            <w:sz w:val="24"/>
            <w:szCs w:val="24"/>
          </w:rPr>
          <w:t>10.1257/000282803321455188</w:t>
        </w:r>
      </w:hyperlink>
      <w:r w:rsidRPr="00D55638">
        <w:rPr>
          <w:rFonts w:ascii="Times New Roman" w:eastAsia="Times New Roman" w:hAnsi="Times New Roman" w:cs="Times New Roman"/>
          <w:sz w:val="24"/>
          <w:szCs w:val="24"/>
        </w:rPr>
        <w:t>.</w:t>
      </w:r>
    </w:p>
    <w:p w14:paraId="7A5E3F9F" w14:textId="38BC65C9" w:rsidR="00D55638" w:rsidRPr="00D55638" w:rsidRDefault="00D55638" w:rsidP="00D55638">
      <w:pPr>
        <w:tabs>
          <w:tab w:val="left" w:pos="180"/>
        </w:tabs>
        <w:autoSpaceDE w:val="0"/>
        <w:autoSpaceDN w:val="0"/>
        <w:adjustRightInd w:val="0"/>
        <w:spacing w:after="0" w:line="240" w:lineRule="auto"/>
        <w:ind w:left="720" w:hanging="720"/>
        <w:rPr>
          <w:rFonts w:ascii="Times New Roman" w:eastAsia="Times New Roman" w:hAnsi="Times New Roman" w:cs="Times New Roman"/>
          <w:sz w:val="24"/>
          <w:szCs w:val="24"/>
        </w:rPr>
      </w:pPr>
      <w:r w:rsidRPr="00D55638">
        <w:rPr>
          <w:rFonts w:ascii="Times New Roman" w:eastAsia="Times New Roman" w:hAnsi="Times New Roman" w:cs="Times New Roman"/>
          <w:sz w:val="24"/>
          <w:szCs w:val="24"/>
        </w:rPr>
        <w:t>Alberto Abadie, Alexis Diamond, and Jens Hainmue</w:t>
      </w:r>
      <w:r w:rsidRPr="00D55638">
        <w:rPr>
          <w:rFonts w:ascii="Times New Roman" w:eastAsia="Times New Roman" w:hAnsi="Times New Roman" w:cs="Times New Roman"/>
          <w:sz w:val="24"/>
          <w:szCs w:val="24"/>
        </w:rPr>
        <w:t xml:space="preserve">ller. Synthetic control methods </w:t>
      </w:r>
      <w:r w:rsidRPr="00D55638">
        <w:rPr>
          <w:rFonts w:ascii="Times New Roman" w:eastAsia="Times New Roman" w:hAnsi="Times New Roman" w:cs="Times New Roman"/>
          <w:sz w:val="24"/>
          <w:szCs w:val="24"/>
        </w:rPr>
        <w:t>for comparative case studies: Estimating the effect of California’s Tobacco</w:t>
      </w:r>
      <w:r w:rsidRPr="00D55638">
        <w:rPr>
          <w:rFonts w:ascii="Times New Roman" w:eastAsia="Times New Roman" w:hAnsi="Times New Roman" w:cs="Times New Roman"/>
          <w:sz w:val="24"/>
          <w:szCs w:val="24"/>
        </w:rPr>
        <w:t xml:space="preserve"> </w:t>
      </w:r>
      <w:r w:rsidRPr="00D55638">
        <w:rPr>
          <w:rFonts w:ascii="Times New Roman" w:eastAsia="Times New Roman" w:hAnsi="Times New Roman" w:cs="Times New Roman"/>
          <w:sz w:val="24"/>
          <w:szCs w:val="24"/>
        </w:rPr>
        <w:t xml:space="preserve">Control Program. </w:t>
      </w:r>
      <w:r w:rsidRPr="00D55638">
        <w:rPr>
          <w:rFonts w:ascii="Times New Roman" w:eastAsia="Times New Roman" w:hAnsi="Times New Roman" w:cs="Times New Roman"/>
          <w:i/>
          <w:sz w:val="24"/>
          <w:szCs w:val="24"/>
        </w:rPr>
        <w:t>Journal of the American Statistical Association</w:t>
      </w:r>
      <w:r w:rsidRPr="00D55638">
        <w:rPr>
          <w:rFonts w:ascii="Times New Roman" w:eastAsia="Times New Roman" w:hAnsi="Times New Roman" w:cs="Times New Roman"/>
          <w:sz w:val="24"/>
          <w:szCs w:val="24"/>
        </w:rPr>
        <w:t>, 105(490):</w:t>
      </w:r>
      <w:r w:rsidRPr="00D55638">
        <w:rPr>
          <w:rFonts w:ascii="Times New Roman" w:eastAsia="Times New Roman" w:hAnsi="Times New Roman" w:cs="Times New Roman"/>
          <w:sz w:val="24"/>
          <w:szCs w:val="24"/>
        </w:rPr>
        <w:t xml:space="preserve"> </w:t>
      </w:r>
      <w:r w:rsidRPr="00D55638">
        <w:rPr>
          <w:rFonts w:ascii="Times New Roman" w:eastAsia="Times New Roman" w:hAnsi="Times New Roman" w:cs="Times New Roman"/>
          <w:sz w:val="24"/>
          <w:szCs w:val="24"/>
        </w:rPr>
        <w:t>493–505, Jun 2010. doi:</w:t>
      </w:r>
      <w:hyperlink r:id="rId13" w:history="1">
        <w:r w:rsidRPr="00D55638">
          <w:rPr>
            <w:rStyle w:val="Hyperlink"/>
            <w:rFonts w:ascii="Times New Roman" w:eastAsia="Times New Roman" w:hAnsi="Times New Roman" w:cs="Times New Roman"/>
            <w:sz w:val="24"/>
            <w:szCs w:val="24"/>
          </w:rPr>
          <w:t>10.1198/jasa.2009.ap08746</w:t>
        </w:r>
      </w:hyperlink>
      <w:r w:rsidRPr="00D55638">
        <w:rPr>
          <w:rFonts w:ascii="Times New Roman" w:eastAsia="Times New Roman" w:hAnsi="Times New Roman" w:cs="Times New Roman"/>
          <w:sz w:val="24"/>
          <w:szCs w:val="24"/>
        </w:rPr>
        <w:t>.</w:t>
      </w:r>
    </w:p>
    <w:p w14:paraId="4D7A925A" w14:textId="13355250" w:rsidR="006806AC" w:rsidRPr="00D55638" w:rsidRDefault="00D55638" w:rsidP="00D55638">
      <w:pPr>
        <w:autoSpaceDE w:val="0"/>
        <w:autoSpaceDN w:val="0"/>
        <w:adjustRightInd w:val="0"/>
        <w:spacing w:after="0" w:line="240" w:lineRule="auto"/>
        <w:ind w:left="720" w:hanging="720"/>
        <w:rPr>
          <w:rFonts w:ascii="Times New Roman" w:eastAsia="Times New Roman" w:hAnsi="Times New Roman" w:cs="Times New Roman"/>
          <w:sz w:val="24"/>
          <w:szCs w:val="24"/>
        </w:rPr>
      </w:pPr>
      <w:r w:rsidRPr="00D55638">
        <w:rPr>
          <w:rFonts w:ascii="Times New Roman" w:eastAsia="Times New Roman" w:hAnsi="Times New Roman" w:cs="Times New Roman"/>
          <w:sz w:val="24"/>
          <w:szCs w:val="24"/>
        </w:rPr>
        <w:t>Eduardo Cavallo, Sebastian Galiani, Ilan Noy, and Juan Pantano. Catastrophic</w:t>
      </w:r>
      <w:r w:rsidRPr="00D55638">
        <w:rPr>
          <w:rFonts w:ascii="Times New Roman" w:eastAsia="Times New Roman" w:hAnsi="Times New Roman" w:cs="Times New Roman"/>
          <w:sz w:val="24"/>
          <w:szCs w:val="24"/>
        </w:rPr>
        <w:t xml:space="preserve"> </w:t>
      </w:r>
      <w:r w:rsidRPr="00D55638">
        <w:rPr>
          <w:rFonts w:ascii="Times New Roman" w:eastAsia="Times New Roman" w:hAnsi="Times New Roman" w:cs="Times New Roman"/>
          <w:sz w:val="24"/>
          <w:szCs w:val="24"/>
        </w:rPr>
        <w:t xml:space="preserve">natural disasters and economic growth. </w:t>
      </w:r>
      <w:r w:rsidRPr="00D55638">
        <w:rPr>
          <w:rFonts w:ascii="Times New Roman" w:eastAsia="Times New Roman" w:hAnsi="Times New Roman" w:cs="Times New Roman"/>
          <w:i/>
          <w:sz w:val="24"/>
          <w:szCs w:val="24"/>
        </w:rPr>
        <w:t>Review of Economics and Statistics</w:t>
      </w:r>
      <w:r w:rsidRPr="00D55638">
        <w:rPr>
          <w:rFonts w:ascii="Times New Roman" w:eastAsia="Times New Roman" w:hAnsi="Times New Roman" w:cs="Times New Roman"/>
          <w:sz w:val="24"/>
          <w:szCs w:val="24"/>
        </w:rPr>
        <w:t>, 95(5):1549–1561, Dec 2013. doi:</w:t>
      </w:r>
      <w:hyperlink r:id="rId14" w:history="1">
        <w:r w:rsidRPr="00D55638">
          <w:rPr>
            <w:rStyle w:val="Hyperlink"/>
            <w:rFonts w:ascii="Times New Roman" w:eastAsia="Times New Roman" w:hAnsi="Times New Roman" w:cs="Times New Roman"/>
            <w:sz w:val="24"/>
            <w:szCs w:val="24"/>
          </w:rPr>
          <w:t>10.1162/rest_a_00413</w:t>
        </w:r>
      </w:hyperlink>
      <w:r w:rsidRPr="00D55638">
        <w:rPr>
          <w:rFonts w:ascii="Times New Roman" w:eastAsia="Times New Roman" w:hAnsi="Times New Roman" w:cs="Times New Roman"/>
          <w:sz w:val="24"/>
          <w:szCs w:val="24"/>
        </w:rPr>
        <w:t>.</w:t>
      </w:r>
    </w:p>
    <w:sectPr w:rsidR="006806AC" w:rsidRPr="00D55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754D5D"/>
    <w:multiLevelType w:val="multilevel"/>
    <w:tmpl w:val="496C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B49"/>
    <w:rsid w:val="00025EEF"/>
    <w:rsid w:val="001B4ABC"/>
    <w:rsid w:val="00233B5F"/>
    <w:rsid w:val="00237974"/>
    <w:rsid w:val="00272FF6"/>
    <w:rsid w:val="002A01AA"/>
    <w:rsid w:val="003249DA"/>
    <w:rsid w:val="00363D23"/>
    <w:rsid w:val="003C25B7"/>
    <w:rsid w:val="00464CE2"/>
    <w:rsid w:val="00525280"/>
    <w:rsid w:val="00540926"/>
    <w:rsid w:val="00542AA4"/>
    <w:rsid w:val="00565D1C"/>
    <w:rsid w:val="006168FD"/>
    <w:rsid w:val="00643A32"/>
    <w:rsid w:val="00646059"/>
    <w:rsid w:val="00654FCE"/>
    <w:rsid w:val="006806AC"/>
    <w:rsid w:val="007025B2"/>
    <w:rsid w:val="007562BD"/>
    <w:rsid w:val="00770AB1"/>
    <w:rsid w:val="00801B49"/>
    <w:rsid w:val="009F34AD"/>
    <w:rsid w:val="009F6B08"/>
    <w:rsid w:val="00A06C55"/>
    <w:rsid w:val="00A335A1"/>
    <w:rsid w:val="00A4092D"/>
    <w:rsid w:val="00B30063"/>
    <w:rsid w:val="00B55162"/>
    <w:rsid w:val="00C06431"/>
    <w:rsid w:val="00C60E53"/>
    <w:rsid w:val="00CE4034"/>
    <w:rsid w:val="00D065DD"/>
    <w:rsid w:val="00D55638"/>
    <w:rsid w:val="00DB6C4C"/>
    <w:rsid w:val="00DE38BA"/>
    <w:rsid w:val="00EA3DF3"/>
    <w:rsid w:val="00ED0987"/>
    <w:rsid w:val="00F34662"/>
    <w:rsid w:val="00FE5CC3"/>
    <w:rsid w:val="00FF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B229"/>
  <w15:chartTrackingRefBased/>
  <w15:docId w15:val="{9F10933D-134D-40FD-A85D-44CDBEBC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52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252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52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2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5280"/>
    <w:rPr>
      <w:rFonts w:ascii="Times New Roman" w:eastAsia="Times New Roman" w:hAnsi="Times New Roman" w:cs="Times New Roman"/>
      <w:b/>
      <w:bCs/>
      <w:sz w:val="27"/>
      <w:szCs w:val="27"/>
    </w:rPr>
  </w:style>
  <w:style w:type="character" w:customStyle="1" w:styleId="footlabel">
    <w:name w:val="foot_label"/>
    <w:basedOn w:val="DefaultParagraphFont"/>
    <w:rsid w:val="00525280"/>
    <w:rPr>
      <w:b/>
      <w:bCs/>
      <w:sz w:val="20"/>
      <w:szCs w:val="20"/>
      <w:u w:val="single"/>
      <w:vertAlign w:val="superscript"/>
    </w:rPr>
  </w:style>
  <w:style w:type="character" w:customStyle="1" w:styleId="sectionlabel">
    <w:name w:val="section_label"/>
    <w:basedOn w:val="DefaultParagraphFont"/>
    <w:rsid w:val="00525280"/>
  </w:style>
  <w:style w:type="character" w:styleId="Hyperlink">
    <w:name w:val="Hyperlink"/>
    <w:basedOn w:val="DefaultParagraphFont"/>
    <w:uiPriority w:val="99"/>
    <w:unhideWhenUsed/>
    <w:rsid w:val="00525280"/>
    <w:rPr>
      <w:color w:val="0000FF"/>
      <w:u w:val="single"/>
    </w:rPr>
  </w:style>
  <w:style w:type="character" w:styleId="FollowedHyperlink">
    <w:name w:val="FollowedHyperlink"/>
    <w:basedOn w:val="DefaultParagraphFont"/>
    <w:uiPriority w:val="99"/>
    <w:semiHidden/>
    <w:unhideWhenUsed/>
    <w:rsid w:val="00525280"/>
    <w:rPr>
      <w:color w:val="800080"/>
      <w:u w:val="single"/>
    </w:rPr>
  </w:style>
  <w:style w:type="character" w:customStyle="1" w:styleId="subsectionlabel">
    <w:name w:val="subsection_label"/>
    <w:basedOn w:val="DefaultParagraphFont"/>
    <w:rsid w:val="00525280"/>
  </w:style>
  <w:style w:type="character" w:styleId="Emphasis">
    <w:name w:val="Emphasis"/>
    <w:basedOn w:val="DefaultParagraphFont"/>
    <w:uiPriority w:val="20"/>
    <w:qFormat/>
    <w:rsid w:val="00525280"/>
    <w:rPr>
      <w:i/>
      <w:iCs/>
    </w:rPr>
  </w:style>
  <w:style w:type="character" w:customStyle="1" w:styleId="Heading1Char">
    <w:name w:val="Heading 1 Char"/>
    <w:basedOn w:val="DefaultParagraphFont"/>
    <w:link w:val="Heading1"/>
    <w:uiPriority w:val="9"/>
    <w:rsid w:val="0052528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63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24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9D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34662"/>
    <w:rPr>
      <w:sz w:val="16"/>
      <w:szCs w:val="16"/>
    </w:rPr>
  </w:style>
  <w:style w:type="paragraph" w:styleId="CommentText">
    <w:name w:val="annotation text"/>
    <w:basedOn w:val="Normal"/>
    <w:link w:val="CommentTextChar"/>
    <w:uiPriority w:val="99"/>
    <w:semiHidden/>
    <w:unhideWhenUsed/>
    <w:rsid w:val="00F34662"/>
    <w:pPr>
      <w:spacing w:line="240" w:lineRule="auto"/>
    </w:pPr>
    <w:rPr>
      <w:sz w:val="20"/>
      <w:szCs w:val="20"/>
    </w:rPr>
  </w:style>
  <w:style w:type="character" w:customStyle="1" w:styleId="CommentTextChar">
    <w:name w:val="Comment Text Char"/>
    <w:basedOn w:val="DefaultParagraphFont"/>
    <w:link w:val="CommentText"/>
    <w:uiPriority w:val="99"/>
    <w:semiHidden/>
    <w:rsid w:val="00F34662"/>
    <w:rPr>
      <w:sz w:val="20"/>
      <w:szCs w:val="20"/>
    </w:rPr>
  </w:style>
  <w:style w:type="paragraph" w:styleId="CommentSubject">
    <w:name w:val="annotation subject"/>
    <w:basedOn w:val="CommentText"/>
    <w:next w:val="CommentText"/>
    <w:link w:val="CommentSubjectChar"/>
    <w:uiPriority w:val="99"/>
    <w:semiHidden/>
    <w:unhideWhenUsed/>
    <w:rsid w:val="00F34662"/>
    <w:rPr>
      <w:b/>
      <w:bCs/>
    </w:rPr>
  </w:style>
  <w:style w:type="character" w:customStyle="1" w:styleId="CommentSubjectChar">
    <w:name w:val="Comment Subject Char"/>
    <w:basedOn w:val="CommentTextChar"/>
    <w:link w:val="CommentSubject"/>
    <w:uiPriority w:val="99"/>
    <w:semiHidden/>
    <w:rsid w:val="00F34662"/>
    <w:rPr>
      <w:b/>
      <w:bCs/>
      <w:sz w:val="20"/>
      <w:szCs w:val="20"/>
    </w:rPr>
  </w:style>
  <w:style w:type="paragraph" w:styleId="BalloonText">
    <w:name w:val="Balloon Text"/>
    <w:basedOn w:val="Normal"/>
    <w:link w:val="BalloonTextChar"/>
    <w:uiPriority w:val="99"/>
    <w:semiHidden/>
    <w:unhideWhenUsed/>
    <w:rsid w:val="00F346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140752">
      <w:bodyDiv w:val="1"/>
      <w:marLeft w:val="0"/>
      <w:marRight w:val="0"/>
      <w:marTop w:val="0"/>
      <w:marBottom w:val="0"/>
      <w:divBdr>
        <w:top w:val="none" w:sz="0" w:space="0" w:color="auto"/>
        <w:left w:val="none" w:sz="0" w:space="0" w:color="auto"/>
        <w:bottom w:val="none" w:sz="0" w:space="0" w:color="auto"/>
        <w:right w:val="none" w:sz="0" w:space="0" w:color="auto"/>
      </w:divBdr>
      <w:divsChild>
        <w:div w:id="1498375500">
          <w:marLeft w:val="0"/>
          <w:marRight w:val="0"/>
          <w:marTop w:val="0"/>
          <w:marBottom w:val="0"/>
          <w:divBdr>
            <w:top w:val="none" w:sz="0" w:space="0" w:color="auto"/>
            <w:left w:val="none" w:sz="0" w:space="0" w:color="auto"/>
            <w:bottom w:val="none" w:sz="0" w:space="0" w:color="auto"/>
            <w:right w:val="none" w:sz="0" w:space="0" w:color="auto"/>
          </w:divBdr>
          <w:divsChild>
            <w:div w:id="1640575362">
              <w:marLeft w:val="0"/>
              <w:marRight w:val="0"/>
              <w:marTop w:val="0"/>
              <w:marBottom w:val="0"/>
              <w:divBdr>
                <w:top w:val="none" w:sz="0" w:space="0" w:color="auto"/>
                <w:left w:val="none" w:sz="0" w:space="0" w:color="auto"/>
                <w:bottom w:val="none" w:sz="0" w:space="0" w:color="auto"/>
                <w:right w:val="none" w:sz="0" w:space="0" w:color="auto"/>
              </w:divBdr>
            </w:div>
          </w:divsChild>
        </w:div>
        <w:div w:id="1268393348">
          <w:marLeft w:val="0"/>
          <w:marRight w:val="0"/>
          <w:marTop w:val="0"/>
          <w:marBottom w:val="240"/>
          <w:divBdr>
            <w:top w:val="none" w:sz="0" w:space="0" w:color="auto"/>
            <w:left w:val="none" w:sz="0" w:space="0" w:color="auto"/>
            <w:bottom w:val="none" w:sz="0" w:space="0" w:color="auto"/>
            <w:right w:val="none" w:sz="0" w:space="0" w:color="auto"/>
          </w:divBdr>
        </w:div>
        <w:div w:id="1132941289">
          <w:marLeft w:val="0"/>
          <w:marRight w:val="0"/>
          <w:marTop w:val="0"/>
          <w:marBottom w:val="240"/>
          <w:divBdr>
            <w:top w:val="none" w:sz="0" w:space="0" w:color="auto"/>
            <w:left w:val="none" w:sz="0" w:space="0" w:color="auto"/>
            <w:bottom w:val="none" w:sz="0" w:space="0" w:color="auto"/>
            <w:right w:val="none" w:sz="0" w:space="0" w:color="auto"/>
          </w:divBdr>
        </w:div>
        <w:div w:id="1301687137">
          <w:marLeft w:val="0"/>
          <w:marRight w:val="0"/>
          <w:marTop w:val="0"/>
          <w:marBottom w:val="240"/>
          <w:divBdr>
            <w:top w:val="none" w:sz="0" w:space="0" w:color="auto"/>
            <w:left w:val="none" w:sz="0" w:space="0" w:color="auto"/>
            <w:bottom w:val="none" w:sz="0" w:space="0" w:color="auto"/>
            <w:right w:val="none" w:sz="0" w:space="0" w:color="auto"/>
          </w:divBdr>
        </w:div>
        <w:div w:id="931082305">
          <w:marLeft w:val="0"/>
          <w:marRight w:val="0"/>
          <w:marTop w:val="0"/>
          <w:marBottom w:val="240"/>
          <w:divBdr>
            <w:top w:val="none" w:sz="0" w:space="0" w:color="auto"/>
            <w:left w:val="none" w:sz="0" w:space="0" w:color="auto"/>
            <w:bottom w:val="none" w:sz="0" w:space="0" w:color="auto"/>
            <w:right w:val="none" w:sz="0" w:space="0" w:color="auto"/>
          </w:divBdr>
        </w:div>
        <w:div w:id="1431386612">
          <w:marLeft w:val="0"/>
          <w:marRight w:val="0"/>
          <w:marTop w:val="0"/>
          <w:marBottom w:val="240"/>
          <w:divBdr>
            <w:top w:val="none" w:sz="0" w:space="0" w:color="auto"/>
            <w:left w:val="none" w:sz="0" w:space="0" w:color="auto"/>
            <w:bottom w:val="none" w:sz="0" w:space="0" w:color="auto"/>
            <w:right w:val="none" w:sz="0" w:space="0" w:color="auto"/>
          </w:divBdr>
        </w:div>
        <w:div w:id="1894268371">
          <w:marLeft w:val="0"/>
          <w:marRight w:val="0"/>
          <w:marTop w:val="0"/>
          <w:marBottom w:val="240"/>
          <w:divBdr>
            <w:top w:val="none" w:sz="0" w:space="0" w:color="auto"/>
            <w:left w:val="none" w:sz="0" w:space="0" w:color="auto"/>
            <w:bottom w:val="none" w:sz="0" w:space="0" w:color="auto"/>
            <w:right w:val="none" w:sz="0" w:space="0" w:color="auto"/>
          </w:divBdr>
        </w:div>
        <w:div w:id="1761831203">
          <w:marLeft w:val="0"/>
          <w:marRight w:val="0"/>
          <w:marTop w:val="0"/>
          <w:marBottom w:val="240"/>
          <w:divBdr>
            <w:top w:val="none" w:sz="0" w:space="0" w:color="auto"/>
            <w:left w:val="none" w:sz="0" w:space="0" w:color="auto"/>
            <w:bottom w:val="none" w:sz="0" w:space="0" w:color="auto"/>
            <w:right w:val="none" w:sz="0" w:space="0" w:color="auto"/>
          </w:divBdr>
        </w:div>
        <w:div w:id="430470117">
          <w:marLeft w:val="0"/>
          <w:marRight w:val="0"/>
          <w:marTop w:val="0"/>
          <w:marBottom w:val="240"/>
          <w:divBdr>
            <w:top w:val="none" w:sz="0" w:space="0" w:color="auto"/>
            <w:left w:val="none" w:sz="0" w:space="0" w:color="auto"/>
            <w:bottom w:val="none" w:sz="0" w:space="0" w:color="auto"/>
            <w:right w:val="none" w:sz="0" w:space="0" w:color="auto"/>
          </w:divBdr>
        </w:div>
        <w:div w:id="1503928518">
          <w:marLeft w:val="0"/>
          <w:marRight w:val="0"/>
          <w:marTop w:val="0"/>
          <w:marBottom w:val="240"/>
          <w:divBdr>
            <w:top w:val="none" w:sz="0" w:space="0" w:color="auto"/>
            <w:left w:val="none" w:sz="0" w:space="0" w:color="auto"/>
            <w:bottom w:val="none" w:sz="0" w:space="0" w:color="auto"/>
            <w:right w:val="none" w:sz="0" w:space="0" w:color="auto"/>
          </w:divBdr>
          <w:divsChild>
            <w:div w:id="562378184">
              <w:marLeft w:val="0"/>
              <w:marRight w:val="0"/>
              <w:marTop w:val="0"/>
              <w:marBottom w:val="0"/>
              <w:divBdr>
                <w:top w:val="none" w:sz="0" w:space="0" w:color="auto"/>
                <w:left w:val="none" w:sz="0" w:space="0" w:color="auto"/>
                <w:bottom w:val="none" w:sz="0" w:space="0" w:color="auto"/>
                <w:right w:val="none" w:sz="0" w:space="0" w:color="auto"/>
              </w:divBdr>
              <w:divsChild>
                <w:div w:id="12359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8063">
          <w:marLeft w:val="0"/>
          <w:marRight w:val="0"/>
          <w:marTop w:val="0"/>
          <w:marBottom w:val="240"/>
          <w:divBdr>
            <w:top w:val="none" w:sz="0" w:space="0" w:color="auto"/>
            <w:left w:val="none" w:sz="0" w:space="0" w:color="auto"/>
            <w:bottom w:val="none" w:sz="0" w:space="0" w:color="auto"/>
            <w:right w:val="none" w:sz="0" w:space="0" w:color="auto"/>
          </w:divBdr>
        </w:div>
        <w:div w:id="1784684946">
          <w:marLeft w:val="0"/>
          <w:marRight w:val="0"/>
          <w:marTop w:val="0"/>
          <w:marBottom w:val="240"/>
          <w:divBdr>
            <w:top w:val="none" w:sz="0" w:space="0" w:color="auto"/>
            <w:left w:val="none" w:sz="0" w:space="0" w:color="auto"/>
            <w:bottom w:val="none" w:sz="0" w:space="0" w:color="auto"/>
            <w:right w:val="none" w:sz="0" w:space="0" w:color="auto"/>
          </w:divBdr>
        </w:div>
        <w:div w:id="919869065">
          <w:marLeft w:val="0"/>
          <w:marRight w:val="0"/>
          <w:marTop w:val="0"/>
          <w:marBottom w:val="240"/>
          <w:divBdr>
            <w:top w:val="none" w:sz="0" w:space="0" w:color="auto"/>
            <w:left w:val="none" w:sz="0" w:space="0" w:color="auto"/>
            <w:bottom w:val="none" w:sz="0" w:space="0" w:color="auto"/>
            <w:right w:val="none" w:sz="0" w:space="0" w:color="auto"/>
          </w:divBdr>
        </w:div>
        <w:div w:id="285166219">
          <w:marLeft w:val="0"/>
          <w:marRight w:val="0"/>
          <w:marTop w:val="0"/>
          <w:marBottom w:val="240"/>
          <w:divBdr>
            <w:top w:val="none" w:sz="0" w:space="0" w:color="auto"/>
            <w:left w:val="none" w:sz="0" w:space="0" w:color="auto"/>
            <w:bottom w:val="none" w:sz="0" w:space="0" w:color="auto"/>
            <w:right w:val="none" w:sz="0" w:space="0" w:color="auto"/>
          </w:divBdr>
        </w:div>
        <w:div w:id="1549413546">
          <w:marLeft w:val="0"/>
          <w:marRight w:val="0"/>
          <w:marTop w:val="0"/>
          <w:marBottom w:val="240"/>
          <w:divBdr>
            <w:top w:val="none" w:sz="0" w:space="0" w:color="auto"/>
            <w:left w:val="none" w:sz="0" w:space="0" w:color="auto"/>
            <w:bottom w:val="none" w:sz="0" w:space="0" w:color="auto"/>
            <w:right w:val="none" w:sz="0" w:space="0" w:color="auto"/>
          </w:divBdr>
        </w:div>
        <w:div w:id="898709126">
          <w:marLeft w:val="0"/>
          <w:marRight w:val="0"/>
          <w:marTop w:val="0"/>
          <w:marBottom w:val="240"/>
          <w:divBdr>
            <w:top w:val="none" w:sz="0" w:space="0" w:color="auto"/>
            <w:left w:val="none" w:sz="0" w:space="0" w:color="auto"/>
            <w:bottom w:val="none" w:sz="0" w:space="0" w:color="auto"/>
            <w:right w:val="none" w:sz="0" w:space="0" w:color="auto"/>
          </w:divBdr>
          <w:divsChild>
            <w:div w:id="2083914370">
              <w:marLeft w:val="0"/>
              <w:marRight w:val="0"/>
              <w:marTop w:val="0"/>
              <w:marBottom w:val="0"/>
              <w:divBdr>
                <w:top w:val="none" w:sz="0" w:space="0" w:color="auto"/>
                <w:left w:val="none" w:sz="0" w:space="0" w:color="auto"/>
                <w:bottom w:val="none" w:sz="0" w:space="0" w:color="auto"/>
                <w:right w:val="none" w:sz="0" w:space="0" w:color="auto"/>
              </w:divBdr>
              <w:divsChild>
                <w:div w:id="2297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7765">
          <w:marLeft w:val="0"/>
          <w:marRight w:val="0"/>
          <w:marTop w:val="0"/>
          <w:marBottom w:val="240"/>
          <w:divBdr>
            <w:top w:val="none" w:sz="0" w:space="0" w:color="auto"/>
            <w:left w:val="none" w:sz="0" w:space="0" w:color="auto"/>
            <w:bottom w:val="none" w:sz="0" w:space="0" w:color="auto"/>
            <w:right w:val="none" w:sz="0" w:space="0" w:color="auto"/>
          </w:divBdr>
        </w:div>
        <w:div w:id="1831361662">
          <w:marLeft w:val="0"/>
          <w:marRight w:val="0"/>
          <w:marTop w:val="0"/>
          <w:marBottom w:val="240"/>
          <w:divBdr>
            <w:top w:val="none" w:sz="0" w:space="0" w:color="auto"/>
            <w:left w:val="none" w:sz="0" w:space="0" w:color="auto"/>
            <w:bottom w:val="none" w:sz="0" w:space="0" w:color="auto"/>
            <w:right w:val="none" w:sz="0" w:space="0" w:color="auto"/>
          </w:divBdr>
          <w:divsChild>
            <w:div w:id="28378492">
              <w:marLeft w:val="0"/>
              <w:marRight w:val="0"/>
              <w:marTop w:val="0"/>
              <w:marBottom w:val="0"/>
              <w:divBdr>
                <w:top w:val="none" w:sz="0" w:space="0" w:color="auto"/>
                <w:left w:val="none" w:sz="0" w:space="0" w:color="auto"/>
                <w:bottom w:val="none" w:sz="0" w:space="0" w:color="auto"/>
                <w:right w:val="none" w:sz="0" w:space="0" w:color="auto"/>
              </w:divBdr>
              <w:divsChild>
                <w:div w:id="15422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55089">
      <w:bodyDiv w:val="1"/>
      <w:marLeft w:val="0"/>
      <w:marRight w:val="0"/>
      <w:marTop w:val="0"/>
      <w:marBottom w:val="0"/>
      <w:divBdr>
        <w:top w:val="none" w:sz="0" w:space="0" w:color="auto"/>
        <w:left w:val="none" w:sz="0" w:space="0" w:color="auto"/>
        <w:bottom w:val="none" w:sz="0" w:space="0" w:color="auto"/>
        <w:right w:val="none" w:sz="0" w:space="0" w:color="auto"/>
      </w:divBdr>
      <w:divsChild>
        <w:div w:id="77444767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x.doi.org/10.1198/jasa.2009.ap08746"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x.doi.org/10.1257/00028280332145518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conweb.umd.edu/~galiani/cod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x.doi.org/10.1162/rest_a_00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4691B-82A4-4549-8EA6-FC3C00AEE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4</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Quistorff</dc:creator>
  <cp:keywords/>
  <dc:description/>
  <cp:lastModifiedBy>Brian Quistorff</cp:lastModifiedBy>
  <cp:revision>18</cp:revision>
  <dcterms:created xsi:type="dcterms:W3CDTF">2016-02-24T21:21:00Z</dcterms:created>
  <dcterms:modified xsi:type="dcterms:W3CDTF">2016-03-15T16:48:00Z</dcterms:modified>
</cp:coreProperties>
</file>