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B2A4A"/>
          <w:sz w:val="44"/>
          <w:szCs w:val="44"/>
        </w:rPr>
        <w:t xml:space="preserve">PARAMOUNT CONTENT SERVICES</w:t>
      </w:r>
    </w:p>
    <w:p>
      <w:pPr>
        <w:spacing w:after="40"/>
      </w:pPr>
      <w:r>
        <w:rPr>
          <w:b/>
          <w:bCs/>
          <w:color w:val="B8860B"/>
          <w:sz w:val="30"/>
          <w:szCs w:val="30"/>
        </w:rPr>
        <w:t xml:space="preserve">Creative &amp; Strategy Brief — v2 (Finalized Direction)</w:t>
      </w:r>
    </w:p>
    <w:p>
      <w:pPr>
        <w:spacing w:after="260"/>
      </w:pPr>
      <w:r>
        <w:rPr>
          <w:i/>
          <w:iCs/>
          <w:color w:val="595959"/>
          <w:sz w:val="20"/>
          <w:szCs w:val="20"/>
        </w:rPr>
        <w:t xml:space="preserve">August 8, 2026 — strategic decisions made to unblock design/dev; two items still require real client data (flagged in red).</w:t>
      </w:r>
    </w:p>
    <w:p>
      <w:pPr>
        <w:spacing w:after="120"/>
      </w:pPr>
      <w:r>
        <w:t xml:space="preserve">Client asked us to make the creative and strategic calls ourselves rather than go back for another round of answers. Everything below is a firm decision unless marked "STILL NEEDS CLIENT" — those two items involve real identifying business information or real performance claims, which can't be invented without risking factual/legal problems once the site is live.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1. Brand Foundation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Tagline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"Content Engineered to Be Found."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Sub-line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Built for Google. Built for AI. Built for buyers.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Mission statement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Paramount Content Services exists to make businesses impossible to miss — across Google, AI answer engines, and everywhere buyers now start their search. We fuse SEO precision, AEO structure, and GEO strategy into content that ranks, gets cited, and converts.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USP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The only content partner built around all three search futures at once — SEO, AEO, and GEO — so clients show up whether someone types a query, asks a voice assistant, or asks ChatGPT.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Confident, sharp, no-fluff. Part strategist, part straight-talker — speaks like an expert who respects the reader's time, never like a generic marketing brochure.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B2A4A"/>
        </w:rPr>
        <w:t xml:space="preserve">2. Brand Identity — Finalized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Deep lapis blue (#1B2A4A) as primary, antique gold (#B8860B) as accent, warm ivory (#F2EFE6) as a light neutral, near-black charcoal for dark mode base. Reads as premium/authoritative — the "pyramid interior" brief, refined for web contrast and accessibility.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Display: a high-contrast modern serif (e.g. Fraunces or a Canela-style face) for headlines — evokes gold-leaf carved lettering. Body: a clean geometric sans (e.g. Inter or General Sans) for readability and technical credibility.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B2A4A"/>
        </w:rPr>
        <w:t xml:space="preserve">3. Creative Direction — Resolved</w:t>
      </w:r>
    </w:p>
    <w:p>
      <w:pPr>
        <w:spacing w:after="120"/>
      </w:pPr>
      <w:r>
        <w:t xml:space="preserve">Concept name: "The Obelisk Effect." This resolves the tension between the original "crazy/unconventional" brief and the form's more cautious answers by concentrating the spectacle where it earns its keep, and staying fast everywhere else.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7A34"/>
        </w:rPr>
        <w:t xml:space="preserve">DECIDED — </w:t>
      </w:r>
      <w:r>
        <w:t xml:space="preserve">Home page hero gets the full "insane" treatment: a kinetic, 3D-accented sequence where gold-particle type assembles into an obelisk built from the words SEO / AEO / GEO, then dissolves into the nav. One wow-moment, not sixty.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7A34"/>
        </w:rPr>
        <w:t xml:space="preserve">DECIDED — </w:t>
      </w:r>
      <w:r>
        <w:t xml:space="preserve">Interior pages (Services, About, Resources) downshift to Minimalist Motion — subtle reveals and hover states only. These are the conversion pages; they need to load fast and stay out of the user's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7A34"/>
        </w:rPr>
        <w:t xml:space="preserve">DECIDED — </w:t>
      </w:r>
      <w:r>
        <w:t xml:space="preserve">Scroll-based storytelling used sparingly: Home page and one flagship explainer page ("Why AEO &amp; GEO Matter") only — not site-wide.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7A34"/>
        </w:rPr>
        <w:t xml:space="preserve">DECIDED — </w:t>
      </w:r>
      <w:r>
        <w:t xml:space="preserve">All motion is gated behind prefers-reduced-motion and degrades to static/fast on low-tier mobile, per the client's own performance concern.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7A34"/>
        </w:rPr>
        <w:t xml:space="preserve">DECIDED — </w:t>
      </w:r>
      <w:r>
        <w:t xml:space="preserve">Dark mode is default (fits the blue/gold, premium-agency feel); light mode available via toggle, per the client's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7A34"/>
        </w:rPr>
        <w:t xml:space="preserve">DECIDED — </w:t>
      </w:r>
      <w:r>
        <w:t xml:space="preserve">Inspiration reference: dartmarketing.io remains the north star for pacing and confidence of motion, dialed toward more restraint on interior pages.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4. Services &amp; Pricing — Proposed Packages</w:t>
      </w:r>
    </w:p>
    <w:p>
      <w:pPr>
        <w:spacing w:after="120"/>
      </w:pPr>
      <w:r>
        <w:t xml:space="preserve">Named to echo the brand itself — "Paramount" as the flagship tier. Figures are a defensible starting point based on typical agency-retainer pricing for this scope; validate against the client's cost base before publishing.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00"/>
        <w:gridCol w:w="1600"/>
      </w:tblGrid>
      <w:tr>
        <w:tc>
          <w:tcPr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Starting At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Foundation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SEO-optimized articles/mo, on-page optimization, monthly reporting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$1,500/mo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Ascendant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in Foundation + AEO content (FAQ/answer blocks, schema-ready structure), 8 pieces/mo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$3,200/mo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Paramount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SEO + AEO + GEO program: 12+ pieces/mo, technical content, GEO-structured content for AI citation, quarterly strategy review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$5,500/mo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 / Enterprise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Multi-market, multi-language, or high-volume programs — scoped individually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quote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B2A4A"/>
        </w:rPr>
        <w:t xml:space="preserve">5. Target Keywords — Proposed Clusters</w:t>
      </w:r>
    </w:p>
    <w:p>
      <w:pPr>
        <w:pStyle w:val="Heading2"/>
        <w:spacing w:after="100" w:before="220"/>
      </w:pPr>
      <w:r>
        <w:rPr>
          <w:b/>
          <w:bCs/>
          <w:color w:val="B8860B"/>
        </w:rPr>
        <w:t xml:space="preserve">Primary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SEO content writing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AEO content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 / generative engine optimization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search optimization content agency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writing agency (USA) / (UK)</w:t>
      </w:r>
    </w:p>
    <w:p>
      <w:pPr>
        <w:pStyle w:val="Heading2"/>
        <w:spacing w:after="100" w:before="220"/>
      </w:pPr>
      <w:r>
        <w:rPr>
          <w:b/>
          <w:bCs/>
          <w:color w:val="B8860B"/>
        </w:rPr>
        <w:t xml:space="preserve">Secondary / long-tail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optimize content for ChatGPT and AI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engine optimization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strategy for AI overviews and featured snippets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SEO copywriting agency for small business</w:t>
      </w:r>
    </w:p>
    <w:p>
      <w:pPr>
        <w:spacing w:after="120"/>
      </w:pPr>
      <w:r>
        <w:t xml:space="preserve">These map directly onto the Resources hub (blog + technical studies) so each cluster has a home.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6. CRM / Tools</w:t>
      </w:r>
    </w:p>
    <w:p>
      <w:pPr>
        <w:spacing w:after="120"/>
      </w:pPr>
      <w:r>
        <w:t xml:space="preserve">Recommendation: HubSpot (Starter or Professional). It natively covers forms, live chat, meeting booking, and a lead-magnet/gated-download flow in one system — matching the client's request for every conversion path (contact form, calculator, booking, chat, checkout, lead magnet) without stitching together five separate tools. Close CRM is a lighter/cheaper fallback if HubSpot's price point is a concern.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7. Hosting &amp; Stack</w:t>
      </w:r>
    </w:p>
    <w:p>
      <w:pPr>
        <w:spacing w:after="120"/>
      </w:pPr>
      <w:r>
        <w:t xml:space="preserve">Recommendation: a Next.js build deployed on Vercel. Vercel's edge network has strong US coverage (client asked specifically for hosting suited to a US audience) plus global CDN for the UK market, and Next.js handles the animation-heavy, performance-sensitive build described in Section 3 far better than a traditional CMS theme.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8. Budget &amp; Timeline — Proposed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Budget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$15,000–$25,000 for the initial build (brand system + design + development + launch content) — consistent with the top bracket the client indicated interest in on the form.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Timeline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8–10 weeks: ~2 wks brand &amp; UX, ~3 wks design, ~3 wks development, ~1–2 wks content, QA, and launch.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B2A4A"/>
        </w:rPr>
        <w:t xml:space="preserve">9. Still Needs Real Client Data</w:t>
      </w:r>
    </w:p>
    <w:p>
      <w:pPr>
        <w:spacing w:after="120"/>
      </w:pPr>
      <w:r>
        <w:rPr>
          <w:color w:val="595959"/>
        </w:rPr>
        <w:t xml:space="preserve">Everything else in this brief is a working decision. These two can't be invented — they involve information that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STILL NEEDS CLIENT — </w:t>
      </w:r>
      <w:r>
        <w:t xml:space="preserve">Real contact details — named contact, business email, phone, and address. Needed for the footer, contact page, and local/schema SEO. Using a placeholder here would break the contact form and mislead visitors, so this has to come directly from the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STILL NEEDS CLIENT — </w:t>
      </w:r>
      <w:r>
        <w:t xml:space="preserve">Real case studies / results. The site can launch with a case-study template structure ready to populate (Client type → Challenge → Approach → Result), but the actual numbers and client names must be genuine — presenting fabricated performance claims as real would be misleading advertising, not a creative call.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2026-08-07T19:50:20.599Z</dcterms:created>
  <dcterms:modified xsi:type="dcterms:W3CDTF">2026-08-07T19:50:20.629Z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