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pPr>
      <w:r>
        <w:rPr>
          <w:rFonts w:ascii="Calibri" w:cs="Calibri" w:eastAsia="Calibri" w:hAnsi="Calibri"/>
          <w:b/>
          <w:bCs/>
          <w:color w:val="2E75B6"/>
          <w:spacing w:val="60"/>
          <w:sz w:val="24"/>
          <w:szCs w:val="24"/>
        </w:rPr>
        <w:t xml:space="preserve">PROJECT REPORT</w:t>
      </w:r>
    </w:p>
    <w:p>
      <w:pPr>
        <w:spacing w:after="120"/>
      </w:pPr>
      <w:r>
        <w:rPr>
          <w:rFonts w:ascii="Calibri" w:cs="Calibri" w:eastAsia="Calibri" w:hAnsi="Calibri"/>
          <w:b/>
          <w:bCs/>
          <w:color w:val="1F3864"/>
          <w:sz w:val="60"/>
          <w:szCs w:val="60"/>
        </w:rPr>
        <w:t xml:space="preserve">ML Network Intrusion Detector</w:t>
      </w:r>
    </w:p>
    <w:p>
      <w:pPr>
        <w:spacing w:after="0"/>
      </w:pPr>
      <w:r>
        <w:rPr>
          <w:rFonts w:ascii="Calibri" w:cs="Calibri" w:eastAsia="Calibri" w:hAnsi="Calibri"/>
          <w:color w:val="595959"/>
          <w:sz w:val="28"/>
          <w:szCs w:val="28"/>
        </w:rPr>
        <w:t xml:space="preserve">Detecting and classifying network attacks with machine learning on the NSL-KDD dataset</w:t>
      </w:r>
    </w:p>
    <w:p>
      <w:pPr>
        <w:pBdr>
          <w:bottom w:val="single" w:color="2E75B6" w:sz="12" w:space="1"/>
        </w:pBdr>
        <w:spacing w:after="200" w:before="80"/>
      </w:pP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6418"/>
      </w:tblGrid>
      <w:tr>
        <w:trPr>
          <w:cantSplit/>
          <w:tblHeader/>
        </w:trPr>
        <w:tc>
          <w:tcPr>
            <w:tcW w:type="dxa" w:w="260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left"/>
            </w:pPr>
            <w:r>
              <w:rPr>
                <w:rFonts w:ascii="Calibri" w:cs="Calibri" w:eastAsia="Calibri" w:hAnsi="Calibri"/>
                <w:b/>
                <w:bCs/>
                <w:color w:val="FFFFFF"/>
                <w:sz w:val="20"/>
                <w:szCs w:val="20"/>
              </w:rPr>
              <w:t xml:space="preserve">Item</w:t>
            </w:r>
          </w:p>
        </w:tc>
        <w:tc>
          <w:tcPr>
            <w:tcW w:type="dxa" w:w="641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left"/>
            </w:pPr>
            <w:r>
              <w:rPr>
                <w:rFonts w:ascii="Calibri" w:cs="Calibri" w:eastAsia="Calibri" w:hAnsi="Calibri"/>
                <w:b/>
                <w:bCs/>
                <w:color w:val="FFFFFF"/>
                <w:sz w:val="20"/>
                <w:szCs w:val="20"/>
              </w:rPr>
              <w:t xml:space="preserve">Details</w:t>
            </w:r>
          </w:p>
        </w:tc>
      </w:tr>
      <w:tr>
        <w:trPr>
          <w:cantSplit/>
          <w:tblHeader w:val="false"/>
        </w:trPr>
        <w:tc>
          <w:tcPr>
            <w:tcW w:type="dxa" w:w="26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Submitted by</w:t>
            </w:r>
          </w:p>
        </w:tc>
        <w:tc>
          <w:tcPr>
            <w:tcW w:type="dxa" w:w="641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color w:val="000000"/>
                <w:sz w:val="20"/>
                <w:szCs w:val="20"/>
              </w:rPr>
              <w:t xml:space="preserve">Arjun Pundir</w:t>
            </w:r>
          </w:p>
        </w:tc>
      </w:tr>
      <w:tr>
        <w:trPr>
          <w:cantSplit/>
          <w:tblHeader w:val="false"/>
        </w:trPr>
        <w:tc>
          <w:tcPr>
            <w:tcW w:type="dxa" w:w="260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Programme</w:t>
            </w:r>
          </w:p>
        </w:tc>
        <w:tc>
          <w:tcPr>
            <w:tcW w:type="dxa" w:w="641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b w:val="false"/>
                <w:bCs w:val="false"/>
                <w:color w:val="000000"/>
                <w:sz w:val="20"/>
                <w:szCs w:val="20"/>
              </w:rPr>
              <w:t xml:space="preserve">IBM SkillsBuild Cyber Security 2026</w:t>
            </w:r>
          </w:p>
        </w:tc>
      </w:tr>
      <w:tr>
        <w:trPr>
          <w:cantSplit/>
          <w:tblHeader w:val="false"/>
        </w:trPr>
        <w:tc>
          <w:tcPr>
            <w:tcW w:type="dxa" w:w="26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Conducted by</w:t>
            </w:r>
          </w:p>
        </w:tc>
        <w:tc>
          <w:tcPr>
            <w:tcW w:type="dxa" w:w="641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color w:val="000000"/>
                <w:sz w:val="20"/>
                <w:szCs w:val="20"/>
              </w:rPr>
              <w:t xml:space="preserve">BharatCares</w:t>
            </w:r>
          </w:p>
        </w:tc>
      </w:tr>
      <w:tr>
        <w:trPr>
          <w:cantSplit/>
          <w:tblHeader w:val="false"/>
        </w:trPr>
        <w:tc>
          <w:tcPr>
            <w:tcW w:type="dxa" w:w="260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Domain</w:t>
            </w:r>
          </w:p>
        </w:tc>
        <w:tc>
          <w:tcPr>
            <w:tcW w:type="dxa" w:w="641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b w:val="false"/>
                <w:bCs w:val="false"/>
                <w:color w:val="000000"/>
                <w:sz w:val="20"/>
                <w:szCs w:val="20"/>
              </w:rPr>
              <w:t xml:space="preserve">Cyber security · Machine learning · Intrusion detection</w:t>
            </w:r>
          </w:p>
        </w:tc>
      </w:tr>
      <w:tr>
        <w:trPr>
          <w:cantSplit/>
          <w:tblHeader w:val="false"/>
        </w:trPr>
        <w:tc>
          <w:tcPr>
            <w:tcW w:type="dxa" w:w="26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Technologies</w:t>
            </w:r>
          </w:p>
        </w:tc>
        <w:tc>
          <w:tcPr>
            <w:tcW w:type="dxa" w:w="641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color w:val="000000"/>
                <w:sz w:val="20"/>
                <w:szCs w:val="20"/>
              </w:rPr>
              <w:t xml:space="preserve">Python, Scikit-learn, Pandas, NumPy, Matplotlib, Seaborn, Jupyter</w:t>
            </w:r>
          </w:p>
        </w:tc>
      </w:tr>
      <w:tr>
        <w:trPr>
          <w:cantSplit/>
          <w:tblHeader w:val="false"/>
        </w:trPr>
        <w:tc>
          <w:tcPr>
            <w:tcW w:type="dxa" w:w="260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Dataset</w:t>
            </w:r>
          </w:p>
        </w:tc>
        <w:tc>
          <w:tcPr>
            <w:tcW w:type="dxa" w:w="641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b w:val="false"/>
                <w:bCs w:val="false"/>
                <w:color w:val="000000"/>
                <w:sz w:val="20"/>
                <w:szCs w:val="20"/>
              </w:rPr>
              <w:t xml:space="preserve">NSL-KDD (Canadian Institute for Cybersecurity)</w:t>
            </w:r>
          </w:p>
        </w:tc>
      </w:tr>
      <w:tr>
        <w:trPr>
          <w:cantSplit/>
          <w:tblHeader w:val="false"/>
        </w:trPr>
        <w:tc>
          <w:tcPr>
            <w:tcW w:type="dxa" w:w="26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jc w:val="left"/>
            </w:pPr>
            <w:r>
              <w:rPr>
                <w:rFonts w:ascii="Calibri" w:cs="Calibri" w:eastAsia="Calibri" w:hAnsi="Calibri"/>
                <w:b/>
                <w:bCs/>
                <w:color w:val="000000"/>
                <w:sz w:val="20"/>
                <w:szCs w:val="20"/>
              </w:rPr>
              <w:t xml:space="preserve">Submission date</w:t>
            </w:r>
          </w:p>
        </w:tc>
        <w:tc>
          <w:tcPr>
            <w:tcW w:type="dxa" w:w="641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jc w:val="left"/>
            </w:pPr>
            <w:r>
              <w:rPr>
                <w:rFonts w:ascii="Calibri" w:cs="Calibri" w:eastAsia="Calibri" w:hAnsi="Calibri"/>
                <w:b w:val="false"/>
                <w:bCs w:val="false"/>
                <w:color w:val="000000"/>
                <w:sz w:val="20"/>
                <w:szCs w:val="20"/>
              </w:rPr>
              <w:t xml:space="preserve">October 2026</w:t>
            </w:r>
          </w:p>
        </w:tc>
      </w:tr>
    </w:tbl>
    <w:p>
      <w:pPr>
        <w:sectPr>
          <w:pgSz w:w="11906" w:h="16838" w:orient="portrait"/>
          <w:pgMar w:top="1440" w:right="1440" w:bottom="1440" w:left="1440" w:header="708" w:footer="708" w:gutter="0"/>
          <w:pgNumType/>
          <w:docGrid w:linePitch="360"/>
        </w:sectPr>
      </w:pPr>
    </w:p>
    <w:p>
      <w:pPr>
        <w:pStyle w:val="Heading1"/>
      </w:pPr>
      <w:r>
        <w:rPr>
          <w:rFonts w:ascii="Calibri" w:cs="Calibri" w:eastAsia="Calibri" w:hAnsi="Calibri"/>
        </w:rPr>
        <w:t xml:space="preserve">Executive Summary</w:t>
      </w:r>
    </w:p>
    <w:p>
      <w:pPr>
        <w:spacing w:after="140" w:line="312"/>
        <w:jc w:val="both"/>
      </w:pPr>
      <w:r>
        <w:rPr>
          <w:rFonts w:ascii="Calibri" w:cs="Calibri" w:eastAsia="Calibri" w:hAnsi="Calibri"/>
          <w:sz w:val="22"/>
          <w:szCs w:val="22"/>
        </w:rPr>
        <w:t xml:space="preserve">Network intrusion detection systems (IDS) are a core defensive control, but signature-based tools struggle to recognise new attack variants. This project builds a machine-learning detector that learns patterns of malicious behaviour from labelled network traffic, and evaluates it honestly on attacks it has never seen.</w:t>
      </w:r>
    </w:p>
    <w:p>
      <w:pPr>
        <w:spacing w:after="140" w:line="312"/>
        <w:jc w:val="both"/>
      </w:pPr>
      <w:r>
        <w:rPr>
          <w:rFonts w:ascii="Calibri" w:cs="Calibri" w:eastAsia="Calibri" w:hAnsi="Calibri"/>
          <w:sz w:val="22"/>
          <w:szCs w:val="22"/>
        </w:rPr>
        <w:t xml:space="preserve">Using the public NSL-KDD dataset, three classifiers (Logistic Regression, Decision Tree and Random Forest) were trained inside a leakage-free Scikit-learn pipeline. The models first separate normal traffic from attacks, and a Random Forest then predicts the attack family (DoS, Probe, R2L or U2R).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4"/>
              <w:bottom w:val="none" w:color="FFFFFF" w:sz="0"/>
              <w:right w:val="none" w:color="FFFFFF" w:sz="0"/>
            </w:tcBorders>
            <w:shd w:fill="EAF1FB" w:color="auto" w:val="clear"/>
            <w:tcMar>
              <w:top w:type="dxa" w:w="120"/>
              <w:left w:type="dxa" w:w="220"/>
              <w:bottom w:type="dxa" w:w="120"/>
              <w:right w:type="dxa" w:w="180"/>
            </w:tcMar>
          </w:tcPr>
          <w:p>
            <w:pPr>
              <w:spacing w:after="80"/>
            </w:pPr>
            <w:r>
              <w:rPr>
                <w:rFonts w:ascii="Calibri" w:cs="Calibri" w:eastAsia="Calibri" w:hAnsi="Calibri"/>
                <w:b/>
                <w:bCs/>
                <w:color w:val="1F3864"/>
                <w:sz w:val="22"/>
                <w:szCs w:val="22"/>
              </w:rPr>
              <w:t xml:space="preserve">Key findings</w:t>
            </w:r>
          </w:p>
          <w:p>
            <w:pPr>
              <w:spacing w:after="60" w:line="288"/>
            </w:pPr>
            <w:r>
              <w:rPr>
                <w:rFonts w:ascii="Calibri" w:cs="Calibri" w:eastAsia="Calibri" w:hAnsi="Calibri"/>
                <w:sz w:val="21"/>
                <w:szCs w:val="21"/>
              </w:rPr>
              <w:t xml:space="preserve">• Best model: Decision Tree, with 78.3% accuracy, 95.8% attack precision, 64.7% attack recall and 0.773 F1 on the unseen test set.</w:t>
            </w:r>
          </w:p>
          <w:p>
            <w:pPr>
              <w:spacing w:after="60" w:line="288"/>
            </w:pPr>
            <w:r>
              <w:rPr>
                <w:rFonts w:ascii="Calibri" w:cs="Calibri" w:eastAsia="Calibri" w:hAnsi="Calibri"/>
                <w:sz w:val="21"/>
                <w:szCs w:val="21"/>
              </w:rPr>
              <w:t xml:space="preserve">• Alerts are trustworthy (false-positive rate 3.7%), but about 35% of attacks are missed (false-negative rate 35.3%).</w:t>
            </w:r>
          </w:p>
          <w:p>
            <w:pPr>
              <w:spacing w:after="60" w:line="288"/>
            </w:pPr>
            <w:r>
              <w:rPr>
                <w:rFonts w:ascii="Calibri" w:cs="Calibri" w:eastAsia="Calibri" w:hAnsi="Calibri"/>
                <w:sz w:val="21"/>
                <w:szCs w:val="21"/>
              </w:rPr>
              <w:t xml:space="preserve">• Scores fall from over 0.97 F1 in cross-validation to 0.74-0.77 on the test set, showing that unseen attack variants are the central challenge.</w:t>
            </w:r>
          </w:p>
          <w:p>
            <w:pPr>
              <w:spacing w:after="60" w:line="288"/>
            </w:pPr>
            <w:r>
              <w:rPr>
                <w:rFonts w:ascii="Calibri" w:cs="Calibri" w:eastAsia="Calibri" w:hAnsi="Calibri"/>
                <w:sz w:val="21"/>
                <w:szCs w:val="21"/>
              </w:rPr>
              <w:t xml:space="preserve">• DoS attacks are detected well; R2L and U2R attacks are rarely caught because of very limited training data.</w:t>
            </w:r>
          </w:p>
        </w:tc>
      </w:tr>
    </w:tbl>
    <w:p>
      <w:pPr>
        <w:spacing w:after="80"/>
      </w:pPr>
    </w:p>
    <w:p>
      <w:pPr>
        <w:pStyle w:val="Heading1"/>
        <w:pageBreakBefore/>
      </w:pPr>
      <w:r>
        <w:rPr>
          <w:rFonts w:ascii="Calibri" w:cs="Calibri" w:eastAsia="Calibri" w:hAnsi="Calibri"/>
        </w:rPr>
        <w:t xml:space="preserve">1. Introduction</w:t>
      </w:r>
    </w:p>
    <w:p>
      <w:pPr>
        <w:pStyle w:val="Heading2"/>
      </w:pPr>
      <w:r>
        <w:rPr>
          <w:rFonts w:ascii="Calibri" w:cs="Calibri" w:eastAsia="Calibri" w:hAnsi="Calibri"/>
        </w:rPr>
        <w:t xml:space="preserve">1.1 Background</w:t>
      </w:r>
    </w:p>
    <w:p>
      <w:pPr>
        <w:spacing w:after="140" w:line="312"/>
        <w:jc w:val="both"/>
      </w:pPr>
      <w:r>
        <w:rPr>
          <w:rFonts w:ascii="Calibri" w:cs="Calibri" w:eastAsia="Calibri" w:hAnsi="Calibri"/>
          <w:sz w:val="22"/>
          <w:szCs w:val="22"/>
        </w:rPr>
        <w:t xml:space="preserve">Organisations face a constant stream of network attacks such as denial-of-service floods, port scans, password guessing and privilege escalation. Signature-based tools detect known attacks reliably but cannot recognise new variants. Machine-learning models learn statistical patterns from labelled traffic and can flag behaviour that deviates from normal, making them a useful complement within a security monitoring stack such as a SIEM.</w:t>
      </w:r>
    </w:p>
    <w:p>
      <w:pPr>
        <w:pStyle w:val="Heading2"/>
      </w:pPr>
      <w:r>
        <w:rPr>
          <w:rFonts w:ascii="Calibri" w:cs="Calibri" w:eastAsia="Calibri" w:hAnsi="Calibri"/>
        </w:rPr>
        <w:t xml:space="preserve">1.2 Problem Statement</w:t>
      </w:r>
    </w:p>
    <w:p>
      <w:pPr>
        <w:spacing w:after="140" w:line="312"/>
        <w:jc w:val="both"/>
      </w:pPr>
      <w:r>
        <w:rPr>
          <w:rFonts w:ascii="Calibri" w:cs="Calibri" w:eastAsia="Calibri" w:hAnsi="Calibri"/>
          <w:sz w:val="22"/>
          <w:szCs w:val="22"/>
        </w:rPr>
        <w:t xml:space="preserve">Given a record describing a single network connection (protocol, service, byte counts, error rates and similar statistics), decide whether the connection is normal or malicious and, where possible, identify which family of attack it belongs to.</w:t>
      </w:r>
    </w:p>
    <w:p>
      <w:pPr>
        <w:pStyle w:val="Heading2"/>
      </w:pPr>
      <w:r>
        <w:rPr>
          <w:rFonts w:ascii="Calibri" w:cs="Calibri" w:eastAsia="Calibri" w:hAnsi="Calibri"/>
        </w:rPr>
        <w:t xml:space="preserve">1.3 Objectives</w:t>
      </w:r>
    </w:p>
    <w:p>
      <w:pPr>
        <w:pStyle w:val="ListParagraph"/>
        <w:numPr>
          <w:ilvl w:val="0"/>
          <w:numId w:val="2"/>
        </w:numPr>
        <w:spacing w:after="80" w:line="300"/>
      </w:pPr>
      <w:r>
        <w:rPr>
          <w:rFonts w:ascii="Calibri" w:cs="Calibri" w:eastAsia="Calibri" w:hAnsi="Calibri"/>
          <w:sz w:val="22"/>
          <w:szCs w:val="22"/>
        </w:rPr>
        <w:t xml:space="preserve">Explore and understand the NSL-KDD dataset.</w:t>
      </w:r>
    </w:p>
    <w:p>
      <w:pPr>
        <w:pStyle w:val="ListParagraph"/>
        <w:numPr>
          <w:ilvl w:val="0"/>
          <w:numId w:val="2"/>
        </w:numPr>
        <w:spacing w:after="80" w:line="300"/>
      </w:pPr>
      <w:r>
        <w:rPr>
          <w:rFonts w:ascii="Calibri" w:cs="Calibri" w:eastAsia="Calibri" w:hAnsi="Calibri"/>
          <w:sz w:val="22"/>
          <w:szCs w:val="22"/>
        </w:rPr>
        <w:t xml:space="preserve">Build a reproducible pre-processing and training pipeline in Scikit-learn.</w:t>
      </w:r>
    </w:p>
    <w:p>
      <w:pPr>
        <w:pStyle w:val="ListParagraph"/>
        <w:numPr>
          <w:ilvl w:val="0"/>
          <w:numId w:val="2"/>
        </w:numPr>
        <w:spacing w:after="80" w:line="300"/>
      </w:pPr>
      <w:r>
        <w:rPr>
          <w:rFonts w:ascii="Calibri" w:cs="Calibri" w:eastAsia="Calibri" w:hAnsi="Calibri"/>
          <w:sz w:val="22"/>
          <w:szCs w:val="22"/>
        </w:rPr>
        <w:t xml:space="preserve">Compare classifiers using metrics suited to security work: precision, recall, F1 and false-negative rate.</w:t>
      </w:r>
    </w:p>
    <w:p>
      <w:pPr>
        <w:pStyle w:val="ListParagraph"/>
        <w:numPr>
          <w:ilvl w:val="0"/>
          <w:numId w:val="2"/>
        </w:numPr>
        <w:spacing w:after="80" w:line="300"/>
      </w:pPr>
      <w:r>
        <w:rPr>
          <w:rFonts w:ascii="Calibri" w:cs="Calibri" w:eastAsia="Calibri" w:hAnsi="Calibri"/>
          <w:sz w:val="22"/>
          <w:szCs w:val="22"/>
        </w:rPr>
        <w:t xml:space="preserve">Evaluate on a test set that contains attack types absent from training.</w:t>
      </w:r>
    </w:p>
    <w:p>
      <w:pPr>
        <w:pStyle w:val="ListParagraph"/>
        <w:numPr>
          <w:ilvl w:val="0"/>
          <w:numId w:val="2"/>
        </w:numPr>
        <w:spacing w:after="80" w:line="300"/>
      </w:pPr>
      <w:r>
        <w:rPr>
          <w:rFonts w:ascii="Calibri" w:cs="Calibri" w:eastAsia="Calibri" w:hAnsi="Calibri"/>
          <w:sz w:val="22"/>
          <w:szCs w:val="22"/>
        </w:rPr>
        <w:t xml:space="preserve">Identify limitations and recommend improvements.</w:t>
      </w:r>
    </w:p>
    <w:p>
      <w:pPr>
        <w:pStyle w:val="Heading2"/>
      </w:pPr>
      <w:r>
        <w:rPr>
          <w:rFonts w:ascii="Calibri" w:cs="Calibri" w:eastAsia="Calibri" w:hAnsi="Calibri"/>
        </w:rPr>
        <w:t xml:space="preserve">1.4 Scope</w:t>
      </w:r>
    </w:p>
    <w:p>
      <w:pPr>
        <w:spacing w:after="140" w:line="312"/>
        <w:jc w:val="both"/>
      </w:pPr>
      <w:r>
        <w:rPr>
          <w:rFonts w:ascii="Calibri" w:cs="Calibri" w:eastAsia="Calibri" w:hAnsi="Calibri"/>
          <w:sz w:val="22"/>
          <w:szCs w:val="22"/>
        </w:rPr>
        <w:t xml:space="preserve">The project covers offline analysis of pre-extracted connection features. It does not capture live packets or deploy the model in production; these are discussed as future work.</w:t>
      </w:r>
    </w:p>
    <w:p>
      <w:pPr>
        <w:pStyle w:val="Heading1"/>
        <w:pageBreakBefore/>
      </w:pPr>
      <w:r>
        <w:rPr>
          <w:rFonts w:ascii="Calibri" w:cs="Calibri" w:eastAsia="Calibri" w:hAnsi="Calibri"/>
        </w:rPr>
        <w:t xml:space="preserve">2. Dataset</w:t>
      </w:r>
    </w:p>
    <w:p>
      <w:pPr>
        <w:pStyle w:val="Heading2"/>
      </w:pPr>
      <w:r>
        <w:rPr>
          <w:rFonts w:ascii="Calibri" w:cs="Calibri" w:eastAsia="Calibri" w:hAnsi="Calibri"/>
        </w:rPr>
        <w:t xml:space="preserve">2.1 Overview</w:t>
      </w:r>
    </w:p>
    <w:p>
      <w:pPr>
        <w:spacing w:after="140" w:line="312"/>
        <w:jc w:val="both"/>
      </w:pPr>
      <w:r>
        <w:rPr>
          <w:rFonts w:ascii="Calibri" w:cs="Calibri" w:eastAsia="Calibri" w:hAnsi="Calibri"/>
          <w:sz w:val="22"/>
          <w:szCs w:val="22"/>
        </w:rPr>
        <w:t xml:space="preserve">NSL-KDD is a refined version of the KDD Cup 1999 dataset, created by the Canadian Institute for Cybersecurity to remove duplicate records that biased earlier results. Each record holds 41 features and an attack label. The data were obtained from a public GitHub mirror (github.com/defcom17/NSL_KDD); the official page is www.unb.ca/cic/datasets/nsl.html.</w:t>
      </w:r>
    </w:p>
    <w:p>
      <w:pPr>
        <w:keepNext/>
        <w:spacing w:after="80" w:before="200"/>
      </w:pPr>
      <w:r>
        <w:rPr>
          <w:rFonts w:ascii="Calibri" w:cs="Calibri" w:eastAsia="Calibri" w:hAnsi="Calibri"/>
          <w:b/>
          <w:bCs/>
          <w:color w:val="1F3864"/>
          <w:sz w:val="19"/>
          <w:szCs w:val="19"/>
        </w:rPr>
        <w:t xml:space="preserve">Table 1: Dataset composition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3209"/>
        <w:gridCol w:w="3209"/>
      </w:tblGrid>
      <w:tr>
        <w:trPr>
          <w:cantSplit/>
          <w:tblHeader/>
        </w:trPr>
        <w:tc>
          <w:tcPr>
            <w:tcW w:type="dxa" w:w="260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left"/>
            </w:pPr>
            <w:r>
              <w:rPr>
                <w:rFonts w:ascii="Calibri" w:cs="Calibri" w:eastAsia="Calibri" w:hAnsi="Calibri"/>
                <w:b/>
                <w:bCs/>
                <w:color w:val="FFFFFF"/>
                <w:sz w:val="20"/>
                <w:szCs w:val="20"/>
              </w:rPr>
              <w:t xml:space="preserve">Property</w:t>
            </w:r>
          </w:p>
        </w:tc>
        <w:tc>
          <w:tcPr>
            <w:tcW w:type="dxa" w:w="320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center"/>
            </w:pPr>
            <w:r>
              <w:rPr>
                <w:rFonts w:ascii="Calibri" w:cs="Calibri" w:eastAsia="Calibri" w:hAnsi="Calibri"/>
                <w:b/>
                <w:bCs/>
                <w:color w:val="FFFFFF"/>
                <w:sz w:val="20"/>
                <w:szCs w:val="20"/>
              </w:rPr>
              <w:t xml:space="preserve">Training (KDDTrain+)</w:t>
            </w:r>
          </w:p>
        </w:tc>
        <w:tc>
          <w:tcPr>
            <w:tcW w:type="dxa" w:w="320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center"/>
            </w:pPr>
            <w:r>
              <w:rPr>
                <w:rFonts w:ascii="Calibri" w:cs="Calibri" w:eastAsia="Calibri" w:hAnsi="Calibri"/>
                <w:b/>
                <w:bCs/>
                <w:color w:val="FFFFFF"/>
                <w:sz w:val="20"/>
                <w:szCs w:val="20"/>
              </w:rPr>
              <w:t xml:space="preserve">Test (KDDTest+)</w:t>
            </w:r>
          </w:p>
        </w:tc>
      </w:tr>
      <w:tr>
        <w:trPr>
          <w:cantSplit/>
          <w:tblHeader w:val="false"/>
        </w:trPr>
        <w:tc>
          <w:tcPr>
            <w:tcW w:type="dxa" w:w="26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Records</w:t>
            </w:r>
          </w:p>
        </w:tc>
        <w:tc>
          <w:tcPr>
            <w:tcW w:type="dxa" w:w="3209"/>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125,973</w:t>
            </w:r>
          </w:p>
        </w:tc>
        <w:tc>
          <w:tcPr>
            <w:tcW w:type="dxa" w:w="3209"/>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22,544</w:t>
            </w:r>
          </w:p>
        </w:tc>
      </w:tr>
      <w:tr>
        <w:trPr>
          <w:cantSplit/>
          <w:tblHeader w:val="false"/>
        </w:trPr>
        <w:tc>
          <w:tcPr>
            <w:tcW w:type="dxa" w:w="260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Features</w:t>
            </w:r>
          </w:p>
        </w:tc>
        <w:tc>
          <w:tcPr>
            <w:tcW w:type="dxa" w:w="320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41</w:t>
            </w:r>
          </w:p>
        </w:tc>
        <w:tc>
          <w:tcPr>
            <w:tcW w:type="dxa" w:w="320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41</w:t>
            </w:r>
          </w:p>
        </w:tc>
      </w:tr>
      <w:tr>
        <w:trPr>
          <w:cantSplit/>
          <w:tblHeader w:val="false"/>
        </w:trPr>
        <w:tc>
          <w:tcPr>
            <w:tcW w:type="dxa" w:w="26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Missing values</w:t>
            </w:r>
          </w:p>
        </w:tc>
        <w:tc>
          <w:tcPr>
            <w:tcW w:type="dxa" w:w="3209"/>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0</w:t>
            </w:r>
          </w:p>
        </w:tc>
        <w:tc>
          <w:tcPr>
            <w:tcW w:type="dxa" w:w="3209"/>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0</w:t>
            </w:r>
          </w:p>
        </w:tc>
      </w:tr>
      <w:tr>
        <w:trPr>
          <w:cantSplit/>
          <w:tblHeader w:val="false"/>
        </w:trPr>
        <w:tc>
          <w:tcPr>
            <w:tcW w:type="dxa" w:w="260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Normal</w:t>
            </w:r>
          </w:p>
        </w:tc>
        <w:tc>
          <w:tcPr>
            <w:tcW w:type="dxa" w:w="320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67,343</w:t>
            </w:r>
          </w:p>
        </w:tc>
        <w:tc>
          <w:tcPr>
            <w:tcW w:type="dxa" w:w="320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9,711</w:t>
            </w:r>
          </w:p>
        </w:tc>
      </w:tr>
      <w:tr>
        <w:trPr>
          <w:cantSplit/>
          <w:tblHeader w:val="false"/>
        </w:trPr>
        <w:tc>
          <w:tcPr>
            <w:tcW w:type="dxa" w:w="26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DoS</w:t>
            </w:r>
          </w:p>
        </w:tc>
        <w:tc>
          <w:tcPr>
            <w:tcW w:type="dxa" w:w="3209"/>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45,927</w:t>
            </w:r>
          </w:p>
        </w:tc>
        <w:tc>
          <w:tcPr>
            <w:tcW w:type="dxa" w:w="3209"/>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7,460</w:t>
            </w:r>
          </w:p>
        </w:tc>
      </w:tr>
      <w:tr>
        <w:trPr>
          <w:cantSplit/>
          <w:tblHeader w:val="false"/>
        </w:trPr>
        <w:tc>
          <w:tcPr>
            <w:tcW w:type="dxa" w:w="260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Probe</w:t>
            </w:r>
          </w:p>
        </w:tc>
        <w:tc>
          <w:tcPr>
            <w:tcW w:type="dxa" w:w="320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11,656</w:t>
            </w:r>
          </w:p>
        </w:tc>
        <w:tc>
          <w:tcPr>
            <w:tcW w:type="dxa" w:w="320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2,421</w:t>
            </w:r>
          </w:p>
        </w:tc>
      </w:tr>
      <w:tr>
        <w:trPr>
          <w:cantSplit/>
          <w:tblHeader w:val="false"/>
        </w:trPr>
        <w:tc>
          <w:tcPr>
            <w:tcW w:type="dxa" w:w="26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R2L</w:t>
            </w:r>
          </w:p>
        </w:tc>
        <w:tc>
          <w:tcPr>
            <w:tcW w:type="dxa" w:w="3209"/>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995</w:t>
            </w:r>
          </w:p>
        </w:tc>
        <w:tc>
          <w:tcPr>
            <w:tcW w:type="dxa" w:w="3209"/>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2,885</w:t>
            </w:r>
          </w:p>
        </w:tc>
      </w:tr>
      <w:tr>
        <w:trPr>
          <w:cantSplit/>
          <w:tblHeader w:val="false"/>
        </w:trPr>
        <w:tc>
          <w:tcPr>
            <w:tcW w:type="dxa" w:w="260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val="false"/>
              <w:jc w:val="left"/>
            </w:pPr>
            <w:r>
              <w:rPr>
                <w:rFonts w:ascii="Calibri" w:cs="Calibri" w:eastAsia="Calibri" w:hAnsi="Calibri"/>
                <w:b/>
                <w:bCs/>
                <w:color w:val="000000"/>
                <w:sz w:val="20"/>
                <w:szCs w:val="20"/>
              </w:rPr>
              <w:t xml:space="preserve">U2R</w:t>
            </w:r>
          </w:p>
        </w:tc>
        <w:tc>
          <w:tcPr>
            <w:tcW w:type="dxa" w:w="320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val="false"/>
              <w:jc w:val="center"/>
            </w:pPr>
            <w:r>
              <w:rPr>
                <w:rFonts w:ascii="Calibri" w:cs="Calibri" w:eastAsia="Calibri" w:hAnsi="Calibri"/>
                <w:b w:val="false"/>
                <w:bCs w:val="false"/>
                <w:color w:val="000000"/>
                <w:sz w:val="20"/>
                <w:szCs w:val="20"/>
              </w:rPr>
              <w:t xml:space="preserve">52</w:t>
            </w:r>
          </w:p>
        </w:tc>
        <w:tc>
          <w:tcPr>
            <w:tcW w:type="dxa" w:w="3209"/>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val="false"/>
              <w:jc w:val="center"/>
            </w:pPr>
            <w:r>
              <w:rPr>
                <w:rFonts w:ascii="Calibri" w:cs="Calibri" w:eastAsia="Calibri" w:hAnsi="Calibri"/>
                <w:b w:val="false"/>
                <w:bCs w:val="false"/>
                <w:color w:val="000000"/>
                <w:sz w:val="20"/>
                <w:szCs w:val="20"/>
              </w:rPr>
              <w:t xml:space="preserve">67</w:t>
            </w:r>
          </w:p>
        </w:tc>
      </w:tr>
    </w:tbl>
    <w:p>
      <w:pPr>
        <w:spacing w:after="80"/>
      </w:pPr>
    </w:p>
    <w:p>
      <w:pPr>
        <w:pStyle w:val="Heading2"/>
      </w:pPr>
      <w:r>
        <w:rPr>
          <w:rFonts w:ascii="Calibri" w:cs="Calibri" w:eastAsia="Calibri" w:hAnsi="Calibri"/>
        </w:rPr>
        <w:t xml:space="preserve">2.2 Feature Groups</w:t>
      </w:r>
    </w:p>
    <w:p>
      <w:pPr>
        <w:pStyle w:val="ListParagraph"/>
        <w:numPr>
          <w:ilvl w:val="0"/>
          <w:numId w:val="2"/>
        </w:numPr>
        <w:spacing w:after="80" w:line="300"/>
      </w:pPr>
      <w:r>
        <w:rPr>
          <w:rFonts w:ascii="Calibri" w:cs="Calibri" w:eastAsia="Calibri" w:hAnsi="Calibri"/>
          <w:b/>
          <w:bCs/>
          <w:sz w:val="22"/>
          <w:szCs w:val="22"/>
        </w:rPr>
        <w:t xml:space="preserve">Basic features:</w:t>
      </w:r>
      <w:r>
        <w:rPr>
          <w:rFonts w:ascii="Calibri" w:cs="Calibri" w:eastAsia="Calibri" w:hAnsi="Calibri"/>
          <w:sz w:val="22"/>
          <w:szCs w:val="22"/>
        </w:rPr>
        <w:t xml:space="preserve"> duration, protocol type, service, connection flag, bytes sent and received.</w:t>
      </w:r>
    </w:p>
    <w:p>
      <w:pPr>
        <w:pStyle w:val="ListParagraph"/>
        <w:numPr>
          <w:ilvl w:val="0"/>
          <w:numId w:val="2"/>
        </w:numPr>
        <w:spacing w:after="80" w:line="300"/>
      </w:pPr>
      <w:r>
        <w:rPr>
          <w:rFonts w:ascii="Calibri" w:cs="Calibri" w:eastAsia="Calibri" w:hAnsi="Calibri"/>
          <w:b/>
          <w:bCs/>
          <w:sz w:val="22"/>
          <w:szCs w:val="22"/>
        </w:rPr>
        <w:t xml:space="preserve">Content features:</w:t>
      </w:r>
      <w:r>
        <w:rPr>
          <w:rFonts w:ascii="Calibri" w:cs="Calibri" w:eastAsia="Calibri" w:hAnsi="Calibri"/>
          <w:sz w:val="22"/>
          <w:szCs w:val="22"/>
        </w:rPr>
        <w:t xml:space="preserve"> failed logins, root-shell attempts, file creations and similar host-level indicators.</w:t>
      </w:r>
    </w:p>
    <w:p>
      <w:pPr>
        <w:pStyle w:val="ListParagraph"/>
        <w:numPr>
          <w:ilvl w:val="0"/>
          <w:numId w:val="2"/>
        </w:numPr>
        <w:spacing w:after="80" w:line="300"/>
      </w:pPr>
      <w:r>
        <w:rPr>
          <w:rFonts w:ascii="Calibri" w:cs="Calibri" w:eastAsia="Calibri" w:hAnsi="Calibri"/>
          <w:b/>
          <w:bCs/>
          <w:sz w:val="22"/>
          <w:szCs w:val="22"/>
        </w:rPr>
        <w:t xml:space="preserve">Traffic features:</w:t>
      </w:r>
      <w:r>
        <w:rPr>
          <w:rFonts w:ascii="Calibri" w:cs="Calibri" w:eastAsia="Calibri" w:hAnsi="Calibri"/>
          <w:sz w:val="22"/>
          <w:szCs w:val="22"/>
        </w:rPr>
        <w:t xml:space="preserve"> error rates and connection counts over a time window or per destination host.</w:t>
      </w:r>
    </w:p>
    <w:p>
      <w:pPr>
        <w:pStyle w:val="Heading2"/>
      </w:pPr>
      <w:r>
        <w:rPr>
          <w:rFonts w:ascii="Calibri" w:cs="Calibri" w:eastAsia="Calibri" w:hAnsi="Calibri"/>
        </w:rPr>
        <w:t xml:space="preserve">2.3 Attack Families</w:t>
      </w:r>
    </w:p>
    <w:p>
      <w:pPr>
        <w:keepNext/>
        <w:spacing w:after="80" w:before="200"/>
      </w:pPr>
      <w:r>
        <w:rPr>
          <w:rFonts w:ascii="Calibri" w:cs="Calibri" w:eastAsia="Calibri" w:hAnsi="Calibri"/>
          <w:b/>
          <w:bCs/>
          <w:color w:val="1F3864"/>
          <w:sz w:val="19"/>
          <w:szCs w:val="19"/>
        </w:rPr>
        <w:t xml:space="preserve">Table 2: Attack families and examples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3711"/>
        <w:gridCol w:w="3811"/>
      </w:tblGrid>
      <w:tr>
        <w:trPr>
          <w:cantSplit/>
          <w:tblHeader/>
        </w:trPr>
        <w:tc>
          <w:tcPr>
            <w:tcW w:type="dxa" w:w="150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left"/>
            </w:pPr>
            <w:r>
              <w:rPr>
                <w:rFonts w:ascii="Calibri" w:cs="Calibri" w:eastAsia="Calibri" w:hAnsi="Calibri"/>
                <w:b/>
                <w:bCs/>
                <w:color w:val="FFFFFF"/>
                <w:sz w:val="20"/>
                <w:szCs w:val="20"/>
              </w:rPr>
              <w:t xml:space="preserve">Family</w:t>
            </w:r>
          </w:p>
        </w:tc>
        <w:tc>
          <w:tcPr>
            <w:tcW w:type="dxa" w:w="37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left"/>
            </w:pPr>
            <w:r>
              <w:rPr>
                <w:rFonts w:ascii="Calibri" w:cs="Calibri" w:eastAsia="Calibri" w:hAnsi="Calibri"/>
                <w:b/>
                <w:bCs/>
                <w:color w:val="FFFFFF"/>
                <w:sz w:val="20"/>
                <w:szCs w:val="20"/>
              </w:rPr>
              <w:t xml:space="preserve">Description</w:t>
            </w:r>
          </w:p>
        </w:tc>
        <w:tc>
          <w:tcPr>
            <w:tcW w:type="dxa" w:w="38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left"/>
            </w:pPr>
            <w:r>
              <w:rPr>
                <w:rFonts w:ascii="Calibri" w:cs="Calibri" w:eastAsia="Calibri" w:hAnsi="Calibri"/>
                <w:b/>
                <w:bCs/>
                <w:color w:val="FFFFFF"/>
                <w:sz w:val="20"/>
                <w:szCs w:val="20"/>
              </w:rPr>
              <w:t xml:space="preserve">Examples</w:t>
            </w:r>
          </w:p>
        </w:tc>
      </w:tr>
      <w:tr>
        <w:trPr>
          <w:cantSplit/>
          <w:tblHeader w:val="false"/>
        </w:trPr>
        <w:tc>
          <w:tcPr>
            <w:tcW w:type="dxa" w:w="1504"/>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DoS</w:t>
            </w:r>
          </w:p>
        </w:tc>
        <w:tc>
          <w:tcPr>
            <w:tcW w:type="dxa" w:w="3711"/>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color w:val="000000"/>
                <w:sz w:val="20"/>
                <w:szCs w:val="20"/>
              </w:rPr>
              <w:t xml:space="preserve">Denial of service: overwhelm a target with traffic</w:t>
            </w:r>
          </w:p>
        </w:tc>
        <w:tc>
          <w:tcPr>
            <w:tcW w:type="dxa" w:w="3811"/>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color w:val="000000"/>
                <w:sz w:val="20"/>
                <w:szCs w:val="20"/>
              </w:rPr>
              <w:t xml:space="preserve">neptune, smurf, back, teardrop</w:t>
            </w:r>
          </w:p>
        </w:tc>
      </w:tr>
      <w:tr>
        <w:trPr>
          <w:cantSplit/>
          <w:tblHeader w:val="false"/>
        </w:trPr>
        <w:tc>
          <w:tcPr>
            <w:tcW w:type="dxa" w:w="1504"/>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Probe</w:t>
            </w:r>
          </w:p>
        </w:tc>
        <w:tc>
          <w:tcPr>
            <w:tcW w:type="dxa" w:w="3711"/>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b w:val="false"/>
                <w:bCs w:val="false"/>
                <w:color w:val="000000"/>
                <w:sz w:val="20"/>
                <w:szCs w:val="20"/>
              </w:rPr>
              <w:t xml:space="preserve">Surveillance and scanning to find weaknesses</w:t>
            </w:r>
          </w:p>
        </w:tc>
        <w:tc>
          <w:tcPr>
            <w:tcW w:type="dxa" w:w="3811"/>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b w:val="false"/>
                <w:bCs w:val="false"/>
                <w:color w:val="000000"/>
                <w:sz w:val="20"/>
                <w:szCs w:val="20"/>
              </w:rPr>
              <w:t xml:space="preserve">satan, ipsweep, portsweep, nmap</w:t>
            </w:r>
          </w:p>
        </w:tc>
      </w:tr>
      <w:tr>
        <w:trPr>
          <w:cantSplit/>
          <w:tblHeader w:val="false"/>
        </w:trPr>
        <w:tc>
          <w:tcPr>
            <w:tcW w:type="dxa" w:w="1504"/>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R2L</w:t>
            </w:r>
          </w:p>
        </w:tc>
        <w:tc>
          <w:tcPr>
            <w:tcW w:type="dxa" w:w="3711"/>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color w:val="000000"/>
                <w:sz w:val="20"/>
                <w:szCs w:val="20"/>
              </w:rPr>
              <w:t xml:space="preserve">Unauthorised access from a remote machine</w:t>
            </w:r>
          </w:p>
        </w:tc>
        <w:tc>
          <w:tcPr>
            <w:tcW w:type="dxa" w:w="3811"/>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color w:val="000000"/>
                <w:sz w:val="20"/>
                <w:szCs w:val="20"/>
              </w:rPr>
              <w:t xml:space="preserve">guess_passwd, warezclient, ftp_write</w:t>
            </w:r>
          </w:p>
        </w:tc>
      </w:tr>
      <w:tr>
        <w:trPr>
          <w:cantSplit/>
          <w:tblHeader w:val="false"/>
        </w:trPr>
        <w:tc>
          <w:tcPr>
            <w:tcW w:type="dxa" w:w="1504"/>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val="false"/>
              <w:jc w:val="left"/>
            </w:pPr>
            <w:r>
              <w:rPr>
                <w:rFonts w:ascii="Calibri" w:cs="Calibri" w:eastAsia="Calibri" w:hAnsi="Calibri"/>
                <w:b/>
                <w:bCs/>
                <w:color w:val="000000"/>
                <w:sz w:val="20"/>
                <w:szCs w:val="20"/>
              </w:rPr>
              <w:t xml:space="preserve">U2R</w:t>
            </w:r>
          </w:p>
        </w:tc>
        <w:tc>
          <w:tcPr>
            <w:tcW w:type="dxa" w:w="3711"/>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val="false"/>
              <w:jc w:val="left"/>
            </w:pPr>
            <w:r>
              <w:rPr>
                <w:rFonts w:ascii="Calibri" w:cs="Calibri" w:eastAsia="Calibri" w:hAnsi="Calibri"/>
                <w:b w:val="false"/>
                <w:bCs w:val="false"/>
                <w:color w:val="000000"/>
                <w:sz w:val="20"/>
                <w:szCs w:val="20"/>
              </w:rPr>
              <w:t xml:space="preserve">Local user gains root privileges</w:t>
            </w:r>
          </w:p>
        </w:tc>
        <w:tc>
          <w:tcPr>
            <w:tcW w:type="dxa" w:w="3811"/>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val="false"/>
              <w:jc w:val="left"/>
            </w:pPr>
            <w:r>
              <w:rPr>
                <w:rFonts w:ascii="Calibri" w:cs="Calibri" w:eastAsia="Calibri" w:hAnsi="Calibri"/>
                <w:b w:val="false"/>
                <w:bCs w:val="false"/>
                <w:color w:val="000000"/>
                <w:sz w:val="20"/>
                <w:szCs w:val="20"/>
              </w:rPr>
              <w:t xml:space="preserve">buffer_overflow, rootkit, loadmodule</w:t>
            </w:r>
          </w:p>
        </w:tc>
      </w:tr>
    </w:tbl>
    <w:p>
      <w:pPr>
        <w:spacing w:after="80"/>
      </w:pPr>
    </w:p>
    <w:p>
      <w:pPr>
        <w:pStyle w:val="Heading2"/>
      </w:pPr>
      <w:r>
        <w:rPr>
          <w:rFonts w:ascii="Calibri" w:cs="Calibri" w:eastAsia="Calibri" w:hAnsi="Calibri"/>
        </w:rPr>
        <w:t xml:space="preserve">2.4 Data Characteristics</w:t>
      </w:r>
    </w:p>
    <w:p>
      <w:pPr>
        <w:spacing w:after="140" w:line="312"/>
        <w:jc w:val="both"/>
      </w:pPr>
      <w:r>
        <w:rPr>
          <w:rFonts w:ascii="Calibri" w:cs="Calibri" w:eastAsia="Calibri" w:hAnsi="Calibri"/>
          <w:sz w:val="22"/>
          <w:szCs w:val="22"/>
        </w:rPr>
        <w:t xml:space="preserve">The test set deliberately includes attack types that do not appear in training, so test scores are more realistic than those from a random split. The training set is also strongly imbalanced: U2R has only 52 examples against 67,343 normal records.</w:t>
      </w:r>
    </w:p>
    <w:p>
      <w:pPr>
        <w:keepNext/>
        <w:spacing w:after="60" w:before="140"/>
        <w:jc w:val="center"/>
      </w:pPr>
      <w:r>
        <w:drawing>
          <wp:inline distT="0" distB="0" distL="0" distR="0">
            <wp:extent cx="5715000" cy="1857375"/>
            <wp:effectExtent t="0" r="0" b="0" l="0"/>
            <wp:docPr id="1" name="Figure 1: Traffic category distribution in the training and test sets" descr="Figure 1: Traffic category distribution in the training and test sets" title="Figure 1: Traffic category distribution in the training and test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573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1: Traffic category distribution in the training and test sets</w:t>
      </w:r>
    </w:p>
    <w:p>
      <w:pPr>
        <w:keepNext/>
        <w:spacing w:after="60" w:before="140"/>
        <w:jc w:val="center"/>
      </w:pPr>
      <w:r>
        <w:drawing>
          <wp:inline distT="0" distB="0" distL="0" distR="0">
            <wp:extent cx="5715000" cy="1857375"/>
            <wp:effectExtent t="0" r="0" b="0" l="0"/>
            <wp:docPr id="1" name="Figure 2: Protocol versus attack label (left) and source bytes by class (right)" descr="Figure 2: Protocol versus attack label (left) and source bytes by class (right)" title="Figure 2: Protocol versus attack label (left) and source bytes by clas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8573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2: Protocol versus attack label (left) and source bytes by class (right)</w:t>
      </w:r>
    </w:p>
    <w:p>
      <w:pPr>
        <w:pStyle w:val="Heading1"/>
        <w:pageBreakBefore/>
      </w:pPr>
      <w:r>
        <w:rPr>
          <w:rFonts w:ascii="Calibri" w:cs="Calibri" w:eastAsia="Calibri" w:hAnsi="Calibri"/>
        </w:rPr>
        <w:t xml:space="preserve">3. Methodology</w:t>
      </w:r>
    </w:p>
    <w:p>
      <w:pPr>
        <w:pStyle w:val="Heading2"/>
      </w:pPr>
      <w:r>
        <w:rPr>
          <w:rFonts w:ascii="Calibri" w:cs="Calibri" w:eastAsia="Calibri" w:hAnsi="Calibri"/>
        </w:rPr>
        <w:t xml:space="preserve">3.1 System Workflow</w:t>
      </w:r>
    </w:p>
    <w:p>
      <w:pPr>
        <w:spacing w:after="140" w:line="312"/>
        <w:jc w:val="both"/>
      </w:pPr>
      <w:r>
        <w:rPr>
          <w:rFonts w:ascii="Calibri" w:cs="Calibri" w:eastAsia="Calibri" w:hAnsi="Calibri"/>
          <w:sz w:val="22"/>
          <w:szCs w:val="22"/>
        </w:rPr>
        <w:t xml:space="preserve">The project follows a standard machine-learning workflow, summarised below.</w:t>
      </w:r>
    </w:p>
    <w:p>
      <w:pPr>
        <w:keepNext/>
        <w:spacing w:after="60" w:before="140"/>
        <w:jc w:val="center"/>
      </w:pPr>
      <w:r>
        <w:drawing>
          <wp:inline distT="0" distB="0" distL="0" distR="0">
            <wp:extent cx="5715000" cy="1638300"/>
            <wp:effectExtent t="0" r="0" b="0" l="0"/>
            <wp:docPr id="1" name="Figure 3: End-to-end project workflow" descr="Figure 3: End-to-end project workflow" title="Figure 3: End-to-end projec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63830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3: End-to-end project workflow</w:t>
      </w:r>
    </w:p>
    <w:p>
      <w:pPr>
        <w:pStyle w:val="Heading2"/>
      </w:pPr>
      <w:r>
        <w:rPr>
          <w:rFonts w:ascii="Calibri" w:cs="Calibri" w:eastAsia="Calibri" w:hAnsi="Calibri"/>
        </w:rPr>
        <w:t xml:space="preserve">3.2 Tools and Environment</w:t>
      </w:r>
    </w:p>
    <w:p>
      <w:pPr>
        <w:spacing w:after="140" w:line="312"/>
        <w:jc w:val="both"/>
      </w:pPr>
      <w:r>
        <w:rPr>
          <w:rFonts w:ascii="Calibri" w:cs="Calibri" w:eastAsia="Calibri" w:hAnsi="Calibri"/>
          <w:sz w:val="22"/>
          <w:szCs w:val="22"/>
        </w:rPr>
        <w:t xml:space="preserve">Python 3 with Jupyter Notebook; Pandas and NumPy for data handling; Scikit-learn for modelling; Matplotlib and Seaborn for visualisation; Joblib to save the trained model.</w:t>
      </w:r>
    </w:p>
    <w:p>
      <w:pPr>
        <w:pStyle w:val="Heading2"/>
      </w:pPr>
      <w:r>
        <w:rPr>
          <w:rFonts w:ascii="Calibri" w:cs="Calibri" w:eastAsia="Calibri" w:hAnsi="Calibri"/>
        </w:rPr>
        <w:t xml:space="preserve">3.3 Pre-processing</w:t>
      </w:r>
    </w:p>
    <w:p>
      <w:pPr>
        <w:pStyle w:val="ListParagraph"/>
        <w:numPr>
          <w:ilvl w:val="0"/>
          <w:numId w:val="2"/>
        </w:numPr>
        <w:spacing w:after="80" w:line="300"/>
      </w:pPr>
      <w:r>
        <w:rPr>
          <w:rFonts w:ascii="Calibri" w:cs="Calibri" w:eastAsia="Calibri" w:hAnsi="Calibri"/>
          <w:sz w:val="22"/>
          <w:szCs w:val="22"/>
        </w:rPr>
        <w:t xml:space="preserve">The three categorical features (protocol_type, service, flag) were one-hot encoded; categories unseen at training time are safely ignored.</w:t>
      </w:r>
    </w:p>
    <w:p>
      <w:pPr>
        <w:pStyle w:val="ListParagraph"/>
        <w:numPr>
          <w:ilvl w:val="0"/>
          <w:numId w:val="2"/>
        </w:numPr>
        <w:spacing w:after="80" w:line="300"/>
      </w:pPr>
      <w:r>
        <w:rPr>
          <w:rFonts w:ascii="Calibri" w:cs="Calibri" w:eastAsia="Calibri" w:hAnsi="Calibri"/>
          <w:sz w:val="22"/>
          <w:szCs w:val="22"/>
        </w:rPr>
        <w:t xml:space="preserve">The 38 numeric features were standardised to zero mean and unit variance.</w:t>
      </w:r>
    </w:p>
    <w:p>
      <w:pPr>
        <w:pStyle w:val="ListParagraph"/>
        <w:numPr>
          <w:ilvl w:val="0"/>
          <w:numId w:val="2"/>
        </w:numPr>
        <w:spacing w:after="80" w:line="300"/>
      </w:pPr>
      <w:r>
        <w:rPr>
          <w:rFonts w:ascii="Calibri" w:cs="Calibri" w:eastAsia="Calibri" w:hAnsi="Calibri"/>
          <w:sz w:val="22"/>
          <w:szCs w:val="22"/>
        </w:rPr>
        <w:t xml:space="preserve">Labels were mapped to a binary target (normal or attack) and a five-class target (normal, DoS, Probe, R2L, U2R).</w:t>
      </w:r>
    </w:p>
    <w:p>
      <w:pPr>
        <w:pStyle w:val="ListParagraph"/>
        <w:numPr>
          <w:ilvl w:val="0"/>
          <w:numId w:val="2"/>
        </w:numPr>
        <w:spacing w:after="80" w:line="300"/>
      </w:pPr>
      <w:r>
        <w:rPr>
          <w:rFonts w:ascii="Calibri" w:cs="Calibri" w:eastAsia="Calibri" w:hAnsi="Calibri"/>
          <w:sz w:val="22"/>
          <w:szCs w:val="22"/>
        </w:rPr>
        <w:t xml:space="preserve">All steps sit inside a Scikit-learn Pipeline, so the scaler and encoder learn only from training data. This prevents data leakage into the test set.</w:t>
      </w:r>
    </w:p>
    <w:p>
      <w:pPr>
        <w:pStyle w:val="Heading2"/>
      </w:pPr>
      <w:r>
        <w:rPr>
          <w:rFonts w:ascii="Calibri" w:cs="Calibri" w:eastAsia="Calibri" w:hAnsi="Calibri"/>
        </w:rPr>
        <w:t xml:space="preserve">3.4 Models</w:t>
      </w:r>
    </w:p>
    <w:p>
      <w:pPr>
        <w:keepNext/>
        <w:spacing w:after="80" w:before="200"/>
      </w:pPr>
      <w:r>
        <w:rPr>
          <w:rFonts w:ascii="Calibri" w:cs="Calibri" w:eastAsia="Calibri" w:hAnsi="Calibri"/>
          <w:b/>
          <w:bCs/>
          <w:color w:val="1F3864"/>
          <w:sz w:val="19"/>
          <w:szCs w:val="19"/>
        </w:rPr>
        <w:t xml:space="preserve">Table 3: Models and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trPr>
        <w:tc>
          <w:tcPr>
            <w:tcW w:type="dxa" w:w="22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left"/>
            </w:pPr>
            <w:r>
              <w:rPr>
                <w:rFonts w:ascii="Calibri" w:cs="Calibri" w:eastAsia="Calibri" w:hAnsi="Calibri"/>
                <w:b/>
                <w:bCs/>
                <w:color w:val="FFFFFF"/>
                <w:sz w:val="20"/>
                <w:szCs w:val="20"/>
              </w:rPr>
              <w:t xml:space="preserve">Model</w:t>
            </w:r>
          </w:p>
        </w:tc>
        <w:tc>
          <w:tcPr>
            <w:tcW w:type="dxa" w:w="68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left"/>
            </w:pPr>
            <w:r>
              <w:rPr>
                <w:rFonts w:ascii="Calibri" w:cs="Calibri" w:eastAsia="Calibri" w:hAnsi="Calibri"/>
                <w:b/>
                <w:bCs/>
                <w:color w:val="FFFFFF"/>
                <w:sz w:val="20"/>
                <w:szCs w:val="20"/>
              </w:rPr>
              <w:t xml:space="preserve">Configuration and rationale</w:t>
            </w:r>
          </w:p>
        </w:tc>
      </w:tr>
      <w:tr>
        <w:trPr>
          <w:cantSplit/>
          <w:tblHeader w:val="false"/>
        </w:trPr>
        <w:tc>
          <w:tcPr>
            <w:tcW w:type="dxa" w:w="2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Logistic Regression</w:t>
            </w:r>
          </w:p>
        </w:tc>
        <w:tc>
          <w:tcPr>
            <w:tcW w:type="dxa" w:w="68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color w:val="000000"/>
                <w:sz w:val="20"/>
                <w:szCs w:val="20"/>
              </w:rPr>
              <w:t xml:space="preserve">Linear baseline; max_iter = 1000.</w:t>
            </w:r>
          </w:p>
        </w:tc>
      </w:tr>
      <w:tr>
        <w:trPr>
          <w:cantSplit/>
          <w:tblHeader w:val="false"/>
        </w:trPr>
        <w:tc>
          <w:tcPr>
            <w:tcW w:type="dxa" w:w="220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Decision Tree</w:t>
            </w:r>
          </w:p>
        </w:tc>
        <w:tc>
          <w:tcPr>
            <w:tcW w:type="dxa" w:w="682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b w:val="false"/>
                <w:bCs w:val="false"/>
                <w:color w:val="000000"/>
                <w:sz w:val="20"/>
                <w:szCs w:val="20"/>
              </w:rPr>
              <w:t xml:space="preserve">max_depth = 15; fast and interpretable, captures non-linear rules.</w:t>
            </w:r>
          </w:p>
        </w:tc>
      </w:tr>
      <w:tr>
        <w:trPr>
          <w:cantSplit/>
          <w:tblHeader w:val="false"/>
        </w:trPr>
        <w:tc>
          <w:tcPr>
            <w:tcW w:type="dxa" w:w="2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jc w:val="left"/>
            </w:pPr>
            <w:r>
              <w:rPr>
                <w:rFonts w:ascii="Calibri" w:cs="Calibri" w:eastAsia="Calibri" w:hAnsi="Calibri"/>
                <w:b/>
                <w:bCs/>
                <w:color w:val="000000"/>
                <w:sz w:val="20"/>
                <w:szCs w:val="20"/>
              </w:rPr>
              <w:t xml:space="preserve">Random Forest</w:t>
            </w:r>
          </w:p>
        </w:tc>
        <w:tc>
          <w:tcPr>
            <w:tcW w:type="dxa" w:w="68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jc w:val="left"/>
            </w:pPr>
            <w:r>
              <w:rPr>
                <w:rFonts w:ascii="Calibri" w:cs="Calibri" w:eastAsia="Calibri" w:hAnsi="Calibri"/>
                <w:b w:val="false"/>
                <w:bCs w:val="false"/>
                <w:color w:val="000000"/>
                <w:sz w:val="20"/>
                <w:szCs w:val="20"/>
              </w:rPr>
              <w:t xml:space="preserve">200 trees; an ensemble that reduces the variance of a single tree.</w:t>
            </w:r>
          </w:p>
        </w:tc>
      </w:tr>
    </w:tbl>
    <w:p>
      <w:pPr>
        <w:spacing w:after="80"/>
      </w:pPr>
    </w:p>
    <w:p>
      <w:pPr>
        <w:pStyle w:val="Heading2"/>
      </w:pPr>
      <w:r>
        <w:rPr>
          <w:rFonts w:ascii="Calibri" w:cs="Calibri" w:eastAsia="Calibri" w:hAnsi="Calibri"/>
        </w:rPr>
        <w:t xml:space="preserve">3.5 Evaluation Metrics</w:t>
      </w:r>
    </w:p>
    <w:p>
      <w:pPr>
        <w:spacing w:after="140" w:line="312"/>
        <w:jc w:val="both"/>
      </w:pPr>
      <w:r>
        <w:rPr>
          <w:rFonts w:ascii="Calibri" w:cs="Calibri" w:eastAsia="Calibri" w:hAnsi="Calibri"/>
          <w:sz w:val="22"/>
          <w:szCs w:val="22"/>
        </w:rPr>
        <w:t xml:space="preserve">Attack is treated as the positive class. Because a missed attack is usually costlier than a false alarm, recall and the false-negative rate receive particular attention.</w:t>
      </w:r>
    </w:p>
    <w:p>
      <w:pPr>
        <w:keepNext/>
        <w:spacing w:after="80" w:before="200"/>
      </w:pPr>
      <w:r>
        <w:rPr>
          <w:rFonts w:ascii="Calibri" w:cs="Calibri" w:eastAsia="Calibri" w:hAnsi="Calibri"/>
          <w:b/>
          <w:bCs/>
          <w:color w:val="1F3864"/>
          <w:sz w:val="19"/>
          <w:szCs w:val="19"/>
        </w:rPr>
        <w:t xml:space="preserve">Table 4: Metric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5"/>
        <w:gridCol w:w="3610"/>
        <w:gridCol w:w="3511"/>
      </w:tblGrid>
      <w:tr>
        <w:trPr>
          <w:cantSplit/>
          <w:tblHeader/>
        </w:trPr>
        <w:tc>
          <w:tcPr>
            <w:tcW w:type="dxa" w:w="190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left"/>
            </w:pPr>
            <w:r>
              <w:rPr>
                <w:rFonts w:ascii="Calibri" w:cs="Calibri" w:eastAsia="Calibri" w:hAnsi="Calibri"/>
                <w:b/>
                <w:bCs/>
                <w:color w:val="FFFFFF"/>
                <w:sz w:val="20"/>
                <w:szCs w:val="20"/>
              </w:rPr>
              <w:t xml:space="preserve">Metric</w:t>
            </w:r>
          </w:p>
        </w:tc>
        <w:tc>
          <w:tcPr>
            <w:tcW w:type="dxa" w:w="361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left"/>
            </w:pPr>
            <w:r>
              <w:rPr>
                <w:rFonts w:ascii="Calibri" w:cs="Calibri" w:eastAsia="Calibri" w:hAnsi="Calibri"/>
                <w:b/>
                <w:bCs/>
                <w:color w:val="FFFFFF"/>
                <w:sz w:val="20"/>
                <w:szCs w:val="20"/>
              </w:rPr>
              <w:t xml:space="preserve">Meaning</w:t>
            </w:r>
          </w:p>
        </w:tc>
        <w:tc>
          <w:tcPr>
            <w:tcW w:type="dxa" w:w="35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left"/>
            </w:pPr>
            <w:r>
              <w:rPr>
                <w:rFonts w:ascii="Calibri" w:cs="Calibri" w:eastAsia="Calibri" w:hAnsi="Calibri"/>
                <w:b/>
                <w:bCs/>
                <w:color w:val="FFFFFF"/>
                <w:sz w:val="20"/>
                <w:szCs w:val="20"/>
              </w:rPr>
              <w:t xml:space="preserve">Why it matters here</w:t>
            </w:r>
          </w:p>
        </w:tc>
      </w:tr>
      <w:tr>
        <w:trPr>
          <w:cantSplit/>
          <w:tblHeader w:val="false"/>
        </w:trPr>
        <w:tc>
          <w:tcPr>
            <w:tcW w:type="dxa" w:w="1905"/>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Accuracy</w:t>
            </w:r>
          </w:p>
        </w:tc>
        <w:tc>
          <w:tcPr>
            <w:tcW w:type="dxa" w:w="361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color w:val="000000"/>
                <w:sz w:val="20"/>
                <w:szCs w:val="20"/>
              </w:rPr>
              <w:t xml:space="preserve">Share of all records classified correctly</w:t>
            </w:r>
          </w:p>
        </w:tc>
        <w:tc>
          <w:tcPr>
            <w:tcW w:type="dxa" w:w="3511"/>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color w:val="000000"/>
                <w:sz w:val="20"/>
                <w:szCs w:val="20"/>
              </w:rPr>
              <w:t xml:space="preserve">Overall picture, but hides class imbalance</w:t>
            </w:r>
          </w:p>
        </w:tc>
      </w:tr>
      <w:tr>
        <w:trPr>
          <w:cantSplit/>
          <w:tblHeader w:val="false"/>
        </w:trPr>
        <w:tc>
          <w:tcPr>
            <w:tcW w:type="dxa" w:w="1905"/>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Precision</w:t>
            </w:r>
          </w:p>
        </w:tc>
        <w:tc>
          <w:tcPr>
            <w:tcW w:type="dxa" w:w="361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b w:val="false"/>
                <w:bCs w:val="false"/>
                <w:color w:val="000000"/>
                <w:sz w:val="20"/>
                <w:szCs w:val="20"/>
              </w:rPr>
              <w:t xml:space="preserve">Of the alerts raised, how many were real attacks</w:t>
            </w:r>
          </w:p>
        </w:tc>
        <w:tc>
          <w:tcPr>
            <w:tcW w:type="dxa" w:w="3511"/>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b w:val="false"/>
                <w:bCs w:val="false"/>
                <w:color w:val="000000"/>
                <w:sz w:val="20"/>
                <w:szCs w:val="20"/>
              </w:rPr>
              <w:t xml:space="preserve">Low precision causes alert fatigue</w:t>
            </w:r>
          </w:p>
        </w:tc>
      </w:tr>
      <w:tr>
        <w:trPr>
          <w:cantSplit/>
          <w:tblHeader w:val="false"/>
        </w:trPr>
        <w:tc>
          <w:tcPr>
            <w:tcW w:type="dxa" w:w="1905"/>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Recall</w:t>
            </w:r>
          </w:p>
        </w:tc>
        <w:tc>
          <w:tcPr>
            <w:tcW w:type="dxa" w:w="361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color w:val="000000"/>
                <w:sz w:val="20"/>
                <w:szCs w:val="20"/>
              </w:rPr>
              <w:t xml:space="preserve">Of all real attacks, how many were caught</w:t>
            </w:r>
          </w:p>
        </w:tc>
        <w:tc>
          <w:tcPr>
            <w:tcW w:type="dxa" w:w="3511"/>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color w:val="000000"/>
                <w:sz w:val="20"/>
                <w:szCs w:val="20"/>
              </w:rPr>
              <w:t xml:space="preserve">Low recall means undetected intrusions</w:t>
            </w:r>
          </w:p>
        </w:tc>
      </w:tr>
      <w:tr>
        <w:trPr>
          <w:cantSplit/>
          <w:tblHeader w:val="false"/>
        </w:trPr>
        <w:tc>
          <w:tcPr>
            <w:tcW w:type="dxa" w:w="1905"/>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val="false"/>
              <w:jc w:val="left"/>
            </w:pPr>
            <w:r>
              <w:rPr>
                <w:rFonts w:ascii="Calibri" w:cs="Calibri" w:eastAsia="Calibri" w:hAnsi="Calibri"/>
                <w:b/>
                <w:bCs/>
                <w:color w:val="000000"/>
                <w:sz w:val="20"/>
                <w:szCs w:val="20"/>
              </w:rPr>
              <w:t xml:space="preserve">F1 score</w:t>
            </w:r>
          </w:p>
        </w:tc>
        <w:tc>
          <w:tcPr>
            <w:tcW w:type="dxa" w:w="361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val="false"/>
              <w:jc w:val="left"/>
            </w:pPr>
            <w:r>
              <w:rPr>
                <w:rFonts w:ascii="Calibri" w:cs="Calibri" w:eastAsia="Calibri" w:hAnsi="Calibri"/>
                <w:b w:val="false"/>
                <w:bCs w:val="false"/>
                <w:color w:val="000000"/>
                <w:sz w:val="20"/>
                <w:szCs w:val="20"/>
              </w:rPr>
              <w:t xml:space="preserve">Harmonic mean of precision and recall</w:t>
            </w:r>
          </w:p>
        </w:tc>
        <w:tc>
          <w:tcPr>
            <w:tcW w:type="dxa" w:w="3511"/>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val="false"/>
              <w:jc w:val="left"/>
            </w:pPr>
            <w:r>
              <w:rPr>
                <w:rFonts w:ascii="Calibri" w:cs="Calibri" w:eastAsia="Calibri" w:hAnsi="Calibri"/>
                <w:b w:val="false"/>
                <w:bCs w:val="false"/>
                <w:color w:val="000000"/>
                <w:sz w:val="20"/>
                <w:szCs w:val="20"/>
              </w:rPr>
              <w:t xml:space="preserve">Single balanced comparison figure</w:t>
            </w:r>
          </w:p>
        </w:tc>
      </w:tr>
    </w:tbl>
    <w:p>
      <w:pPr>
        <w:spacing w:after="80"/>
      </w:pPr>
    </w:p>
    <w:p>
      <w:pPr>
        <w:spacing w:after="140" w:line="312"/>
        <w:jc w:val="both"/>
      </w:pPr>
      <w:r>
        <w:rPr>
          <w:rFonts w:ascii="Calibri" w:cs="Calibri" w:eastAsia="Calibri" w:hAnsi="Calibri"/>
          <w:sz w:val="22"/>
          <w:szCs w:val="22"/>
        </w:rPr>
        <w:t xml:space="preserve">Models were trained on KDDTrain+ and scored on KDDTest+. Five-fold cross-validation on the training file was also run to measure how much performance drops on unseen attacks.</w:t>
      </w:r>
    </w:p>
    <w:p>
      <w:pPr>
        <w:pStyle w:val="Heading1"/>
        <w:pageBreakBefore/>
      </w:pPr>
      <w:r>
        <w:rPr>
          <w:rFonts w:ascii="Calibri" w:cs="Calibri" w:eastAsia="Calibri" w:hAnsi="Calibri"/>
        </w:rPr>
        <w:t xml:space="preserve">4. Results</w:t>
      </w:r>
    </w:p>
    <w:p>
      <w:pPr>
        <w:pStyle w:val="Heading2"/>
      </w:pPr>
      <w:r>
        <w:rPr>
          <w:rFonts w:ascii="Calibri" w:cs="Calibri" w:eastAsia="Calibri" w:hAnsi="Calibri"/>
        </w:rPr>
        <w:t xml:space="preserve">4.1 Binary Detection: Normal versus Attack</w:t>
      </w:r>
    </w:p>
    <w:p>
      <w:pPr>
        <w:keepNext/>
        <w:spacing w:after="80" w:before="200"/>
      </w:pPr>
      <w:r>
        <w:rPr>
          <w:rFonts w:ascii="Calibri" w:cs="Calibri" w:eastAsia="Calibri" w:hAnsi="Calibri"/>
          <w:b/>
          <w:bCs/>
          <w:color w:val="1F3864"/>
          <w:sz w:val="19"/>
          <w:szCs w:val="19"/>
        </w:rPr>
        <w:t xml:space="preserve">Table 5: Binary detection performance on KDDTest+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1504"/>
        <w:gridCol w:w="1504"/>
        <w:gridCol w:w="1504"/>
        <w:gridCol w:w="1505"/>
      </w:tblGrid>
      <w:tr>
        <w:trPr>
          <w:cantSplit/>
          <w:tblHeader/>
        </w:trPr>
        <w:tc>
          <w:tcPr>
            <w:tcW w:type="dxa" w:w="300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left"/>
            </w:pPr>
            <w:r>
              <w:rPr>
                <w:rFonts w:ascii="Calibri" w:cs="Calibri" w:eastAsia="Calibri" w:hAnsi="Calibri"/>
                <w:b/>
                <w:bCs/>
                <w:color w:val="FFFFFF"/>
                <w:sz w:val="20"/>
                <w:szCs w:val="20"/>
              </w:rPr>
              <w:t xml:space="preserve">Model</w:t>
            </w:r>
          </w:p>
        </w:tc>
        <w:tc>
          <w:tcPr>
            <w:tcW w:type="dxa" w:w="150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center"/>
            </w:pPr>
            <w:r>
              <w:rPr>
                <w:rFonts w:ascii="Calibri" w:cs="Calibri" w:eastAsia="Calibri" w:hAnsi="Calibri"/>
                <w:b/>
                <w:bCs/>
                <w:color w:val="FFFFFF"/>
                <w:sz w:val="20"/>
                <w:szCs w:val="20"/>
              </w:rPr>
              <w:t xml:space="preserve">Accuracy</w:t>
            </w:r>
          </w:p>
        </w:tc>
        <w:tc>
          <w:tcPr>
            <w:tcW w:type="dxa" w:w="150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center"/>
            </w:pPr>
            <w:r>
              <w:rPr>
                <w:rFonts w:ascii="Calibri" w:cs="Calibri" w:eastAsia="Calibri" w:hAnsi="Calibri"/>
                <w:b/>
                <w:bCs/>
                <w:color w:val="FFFFFF"/>
                <w:sz w:val="20"/>
                <w:szCs w:val="20"/>
              </w:rPr>
              <w:t xml:space="preserve">Precision</w:t>
            </w:r>
          </w:p>
        </w:tc>
        <w:tc>
          <w:tcPr>
            <w:tcW w:type="dxa" w:w="150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center"/>
            </w:pPr>
            <w:r>
              <w:rPr>
                <w:rFonts w:ascii="Calibri" w:cs="Calibri" w:eastAsia="Calibri" w:hAnsi="Calibri"/>
                <w:b/>
                <w:bCs/>
                <w:color w:val="FFFFFF"/>
                <w:sz w:val="20"/>
                <w:szCs w:val="20"/>
              </w:rPr>
              <w:t xml:space="preserve">Recall</w:t>
            </w:r>
          </w:p>
        </w:tc>
        <w:tc>
          <w:tcPr>
            <w:tcW w:type="dxa" w:w="150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center"/>
            </w:pPr>
            <w:r>
              <w:rPr>
                <w:rFonts w:ascii="Calibri" w:cs="Calibri" w:eastAsia="Calibri" w:hAnsi="Calibri"/>
                <w:b/>
                <w:bCs/>
                <w:color w:val="FFFFFF"/>
                <w:sz w:val="20"/>
                <w:szCs w:val="20"/>
              </w:rPr>
              <w:t xml:space="preserve">F1</w:t>
            </w:r>
          </w:p>
        </w:tc>
      </w:tr>
      <w:tr>
        <w:trPr>
          <w:cantSplit/>
          <w:tblHeader w:val="false"/>
        </w:trPr>
        <w:tc>
          <w:tcPr>
            <w:tcW w:type="dxa" w:w="3009"/>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Logistic Regression</w:t>
            </w:r>
          </w:p>
        </w:tc>
        <w:tc>
          <w:tcPr>
            <w:tcW w:type="dxa" w:w="1504"/>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0.7537</w:t>
            </w:r>
          </w:p>
        </w:tc>
        <w:tc>
          <w:tcPr>
            <w:tcW w:type="dxa" w:w="1504"/>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0.9174</w:t>
            </w:r>
          </w:p>
        </w:tc>
        <w:tc>
          <w:tcPr>
            <w:tcW w:type="dxa" w:w="1504"/>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0.6234</w:t>
            </w:r>
          </w:p>
        </w:tc>
        <w:tc>
          <w:tcPr>
            <w:tcW w:type="dxa" w:w="1505"/>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0.7424</w:t>
            </w:r>
          </w:p>
        </w:tc>
      </w:tr>
      <w:tr>
        <w:trPr>
          <w:cantSplit/>
          <w:tblHeader w:val="false"/>
        </w:trPr>
        <w:tc>
          <w:tcPr>
            <w:tcW w:type="dxa" w:w="3009"/>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Decision Tree</w:t>
            </w:r>
          </w:p>
        </w:tc>
        <w:tc>
          <w:tcPr>
            <w:tcW w:type="dxa" w:w="1504"/>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keepNext/>
              <w:jc w:val="center"/>
            </w:pPr>
            <w:r>
              <w:rPr>
                <w:rFonts w:ascii="Calibri" w:cs="Calibri" w:eastAsia="Calibri" w:hAnsi="Calibri"/>
                <w:b/>
                <w:bCs/>
                <w:color w:val="000000"/>
                <w:sz w:val="20"/>
                <w:szCs w:val="20"/>
              </w:rPr>
              <w:t xml:space="preserve">0.7831</w:t>
            </w:r>
          </w:p>
        </w:tc>
        <w:tc>
          <w:tcPr>
            <w:tcW w:type="dxa" w:w="1504"/>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keepNext/>
              <w:jc w:val="center"/>
            </w:pPr>
            <w:r>
              <w:rPr>
                <w:rFonts w:ascii="Calibri" w:cs="Calibri" w:eastAsia="Calibri" w:hAnsi="Calibri"/>
                <w:b/>
                <w:bCs/>
                <w:color w:val="000000"/>
                <w:sz w:val="20"/>
                <w:szCs w:val="20"/>
              </w:rPr>
              <w:t xml:space="preserve">0.9583</w:t>
            </w:r>
          </w:p>
        </w:tc>
        <w:tc>
          <w:tcPr>
            <w:tcW w:type="dxa" w:w="1504"/>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keepNext/>
              <w:jc w:val="center"/>
            </w:pPr>
            <w:r>
              <w:rPr>
                <w:rFonts w:ascii="Calibri" w:cs="Calibri" w:eastAsia="Calibri" w:hAnsi="Calibri"/>
                <w:b/>
                <w:bCs/>
                <w:color w:val="000000"/>
                <w:sz w:val="20"/>
                <w:szCs w:val="20"/>
              </w:rPr>
              <w:t xml:space="preserve">0.6471</w:t>
            </w:r>
          </w:p>
        </w:tc>
        <w:tc>
          <w:tcPr>
            <w:tcW w:type="dxa" w:w="1505"/>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tcPr>
          <w:p>
            <w:pPr>
              <w:keepNext/>
              <w:jc w:val="center"/>
            </w:pPr>
            <w:r>
              <w:rPr>
                <w:rFonts w:ascii="Calibri" w:cs="Calibri" w:eastAsia="Calibri" w:hAnsi="Calibri"/>
                <w:b/>
                <w:bCs/>
                <w:color w:val="000000"/>
                <w:sz w:val="20"/>
                <w:szCs w:val="20"/>
              </w:rPr>
              <w:t xml:space="preserve">0.7725</w:t>
            </w:r>
          </w:p>
        </w:tc>
      </w:tr>
      <w:tr>
        <w:trPr>
          <w:cantSplit/>
          <w:tblHeader w:val="false"/>
        </w:trPr>
        <w:tc>
          <w:tcPr>
            <w:tcW w:type="dxa" w:w="3009"/>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jc w:val="left"/>
            </w:pPr>
            <w:r>
              <w:rPr>
                <w:rFonts w:ascii="Calibri" w:cs="Calibri" w:eastAsia="Calibri" w:hAnsi="Calibri"/>
                <w:b/>
                <w:bCs/>
                <w:color w:val="000000"/>
                <w:sz w:val="20"/>
                <w:szCs w:val="20"/>
              </w:rPr>
              <w:t xml:space="preserve">Random Forest</w:t>
            </w:r>
          </w:p>
        </w:tc>
        <w:tc>
          <w:tcPr>
            <w:tcW w:type="dxa" w:w="1504"/>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jc w:val="center"/>
            </w:pPr>
            <w:r>
              <w:rPr>
                <w:rFonts w:ascii="Calibri" w:cs="Calibri" w:eastAsia="Calibri" w:hAnsi="Calibri"/>
                <w:b w:val="false"/>
                <w:bCs w:val="false"/>
                <w:color w:val="000000"/>
                <w:sz w:val="20"/>
                <w:szCs w:val="20"/>
              </w:rPr>
              <w:t xml:space="preserve">0.7677</w:t>
            </w:r>
          </w:p>
        </w:tc>
        <w:tc>
          <w:tcPr>
            <w:tcW w:type="dxa" w:w="1504"/>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jc w:val="center"/>
            </w:pPr>
            <w:r>
              <w:rPr>
                <w:rFonts w:ascii="Calibri" w:cs="Calibri" w:eastAsia="Calibri" w:hAnsi="Calibri"/>
                <w:b w:val="false"/>
                <w:bCs w:val="false"/>
                <w:color w:val="000000"/>
                <w:sz w:val="20"/>
                <w:szCs w:val="20"/>
              </w:rPr>
              <w:t xml:space="preserve">0.9676</w:t>
            </w:r>
          </w:p>
        </w:tc>
        <w:tc>
          <w:tcPr>
            <w:tcW w:type="dxa" w:w="1504"/>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jc w:val="center"/>
            </w:pPr>
            <w:r>
              <w:rPr>
                <w:rFonts w:ascii="Calibri" w:cs="Calibri" w:eastAsia="Calibri" w:hAnsi="Calibri"/>
                <w:b w:val="false"/>
                <w:bCs w:val="false"/>
                <w:color w:val="000000"/>
                <w:sz w:val="20"/>
                <w:szCs w:val="20"/>
              </w:rPr>
              <w:t xml:space="preserve">0.6123</w:t>
            </w:r>
          </w:p>
        </w:tc>
        <w:tc>
          <w:tcPr>
            <w:tcW w:type="dxa" w:w="1505"/>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jc w:val="center"/>
            </w:pPr>
            <w:r>
              <w:rPr>
                <w:rFonts w:ascii="Calibri" w:cs="Calibri" w:eastAsia="Calibri" w:hAnsi="Calibri"/>
                <w:b w:val="false"/>
                <w:bCs w:val="false"/>
                <w:color w:val="000000"/>
                <w:sz w:val="20"/>
                <w:szCs w:val="20"/>
              </w:rPr>
              <w:t xml:space="preserve">0.7500</w:t>
            </w:r>
          </w:p>
        </w:tc>
      </w:tr>
    </w:tbl>
    <w:p>
      <w:pPr>
        <w:spacing w:after="80"/>
      </w:pPr>
    </w:p>
    <w:p>
      <w:pPr>
        <w:spacing w:after="140" w:line="312"/>
        <w:jc w:val="both"/>
      </w:pPr>
      <w:r>
        <w:rPr>
          <w:rFonts w:ascii="Calibri" w:cs="Calibri" w:eastAsia="Calibri" w:hAnsi="Calibri"/>
          <w:sz w:val="22"/>
          <w:szCs w:val="22"/>
        </w:rPr>
        <w:t xml:space="preserve">The Decision Tree achieved the highest F1 (highlighted). Its false-positive rate is 3.72% (normal traffic wrongly flagged) and its false-negative rate is 35.29% (attacks missed). The three models perform similarly; Random Forest has the highest precision but the lowest recall.</w:t>
      </w:r>
    </w:p>
    <w:p>
      <w:pPr>
        <w:keepNext/>
        <w:spacing w:after="60" w:before="140"/>
        <w:jc w:val="center"/>
      </w:pPr>
      <w:r>
        <w:drawing>
          <wp:inline distT="0" distB="0" distL="0" distR="0">
            <wp:extent cx="4191000" cy="1819275"/>
            <wp:effectExtent t="0" r="0" b="0" l="0"/>
            <wp:docPr id="1" name="Figure 4: Model comparison on KDDTest+" descr="Figure 4: Model comparison on KDDTest+" title="Figure 4: Model comparison on KD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8192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4: Model comparison on KDDTest+</w:t>
      </w:r>
    </w:p>
    <w:p>
      <w:pPr>
        <w:keepNext/>
        <w:spacing w:after="60" w:before="140"/>
        <w:jc w:val="center"/>
      </w:pPr>
      <w:r>
        <w:drawing>
          <wp:inline distT="0" distB="0" distL="0" distR="0">
            <wp:extent cx="3048000" cy="2457450"/>
            <wp:effectExtent t="0" r="0" b="0" l="0"/>
            <wp:docPr id="1" name="Figure 5: Confusion matrix of the Decision Tree (binary)" descr="Figure 5: Confusion matrix of the Decision Tree (binary)" title="Figure 5: Confusion matrix of the Decision Tree (bi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45745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5: Confusion matrix of the Decision Tree (binary)</w:t>
      </w:r>
    </w:p>
    <w:p>
      <w:pPr>
        <w:pStyle w:val="Heading2"/>
      </w:pPr>
      <w:r>
        <w:rPr>
          <w:rFonts w:ascii="Calibri" w:cs="Calibri" w:eastAsia="Calibri" w:hAnsi="Calibri"/>
        </w:rPr>
        <w:t xml:space="preserve">4.2 Generalisation to Unseen Attacks</w:t>
      </w:r>
    </w:p>
    <w:p>
      <w:pPr>
        <w:keepNext/>
        <w:spacing w:after="80" w:before="200"/>
      </w:pPr>
      <w:r>
        <w:rPr>
          <w:rFonts w:ascii="Calibri" w:cs="Calibri" w:eastAsia="Calibri" w:hAnsi="Calibri"/>
          <w:b/>
          <w:bCs/>
          <w:color w:val="1F3864"/>
          <w:sz w:val="19"/>
          <w:szCs w:val="19"/>
        </w:rPr>
        <w:t xml:space="preserve">Table 6: Cross-validation versus test performance (F1)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10"/>
        <w:gridCol w:w="2808"/>
        <w:gridCol w:w="2808"/>
      </w:tblGrid>
      <w:tr>
        <w:trPr>
          <w:cantSplit/>
          <w:tblHeader/>
        </w:trPr>
        <w:tc>
          <w:tcPr>
            <w:tcW w:type="dxa" w:w="341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left"/>
            </w:pPr>
            <w:r>
              <w:rPr>
                <w:rFonts w:ascii="Calibri" w:cs="Calibri" w:eastAsia="Calibri" w:hAnsi="Calibri"/>
                <w:b/>
                <w:bCs/>
                <w:color w:val="FFFFFF"/>
                <w:sz w:val="20"/>
                <w:szCs w:val="20"/>
              </w:rPr>
              <w:t xml:space="preserve">Model</w:t>
            </w:r>
          </w:p>
        </w:tc>
        <w:tc>
          <w:tcPr>
            <w:tcW w:type="dxa" w:w="280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center"/>
            </w:pPr>
            <w:r>
              <w:rPr>
                <w:rFonts w:ascii="Calibri" w:cs="Calibri" w:eastAsia="Calibri" w:hAnsi="Calibri"/>
                <w:b/>
                <w:bCs/>
                <w:color w:val="FFFFFF"/>
                <w:sz w:val="20"/>
                <w:szCs w:val="20"/>
              </w:rPr>
              <w:t xml:space="preserve">CV F1 (training file)</w:t>
            </w:r>
          </w:p>
        </w:tc>
        <w:tc>
          <w:tcPr>
            <w:tcW w:type="dxa" w:w="280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center"/>
            </w:pPr>
            <w:r>
              <w:rPr>
                <w:rFonts w:ascii="Calibri" w:cs="Calibri" w:eastAsia="Calibri" w:hAnsi="Calibri"/>
                <w:b/>
                <w:bCs/>
                <w:color w:val="FFFFFF"/>
                <w:sz w:val="20"/>
                <w:szCs w:val="20"/>
              </w:rPr>
              <w:t xml:space="preserve">Test F1 (KDDTest+)</w:t>
            </w:r>
          </w:p>
        </w:tc>
      </w:tr>
      <w:tr>
        <w:trPr>
          <w:cantSplit/>
          <w:tblHeader w:val="false"/>
        </w:trPr>
        <w:tc>
          <w:tcPr>
            <w:tcW w:type="dxa" w:w="341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Logistic Regression</w:t>
            </w:r>
          </w:p>
        </w:tc>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0.9707</w:t>
            </w:r>
          </w:p>
        </w:tc>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0.7424</w:t>
            </w:r>
          </w:p>
        </w:tc>
      </w:tr>
      <w:tr>
        <w:trPr>
          <w:cantSplit/>
          <w:tblHeader w:val="false"/>
        </w:trPr>
        <w:tc>
          <w:tcPr>
            <w:tcW w:type="dxa" w:w="341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Decision Tree</w:t>
            </w:r>
          </w:p>
        </w:tc>
        <w:tc>
          <w:tcPr>
            <w:tcW w:type="dxa" w:w="280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0.9980</w:t>
            </w:r>
          </w:p>
        </w:tc>
        <w:tc>
          <w:tcPr>
            <w:tcW w:type="dxa" w:w="2808"/>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0.7725</w:t>
            </w:r>
          </w:p>
        </w:tc>
      </w:tr>
      <w:tr>
        <w:trPr>
          <w:cantSplit/>
          <w:tblHeader w:val="false"/>
        </w:trPr>
        <w:tc>
          <w:tcPr>
            <w:tcW w:type="dxa" w:w="341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jc w:val="left"/>
            </w:pPr>
            <w:r>
              <w:rPr>
                <w:rFonts w:ascii="Calibri" w:cs="Calibri" w:eastAsia="Calibri" w:hAnsi="Calibri"/>
                <w:b/>
                <w:bCs/>
                <w:color w:val="000000"/>
                <w:sz w:val="20"/>
                <w:szCs w:val="20"/>
              </w:rPr>
              <w:t xml:space="preserve">Random Forest</w:t>
            </w:r>
          </w:p>
        </w:tc>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jc w:val="center"/>
            </w:pPr>
            <w:r>
              <w:rPr>
                <w:rFonts w:ascii="Calibri" w:cs="Calibri" w:eastAsia="Calibri" w:hAnsi="Calibri"/>
                <w:b w:val="false"/>
                <w:bCs w:val="false"/>
                <w:color w:val="000000"/>
                <w:sz w:val="20"/>
                <w:szCs w:val="20"/>
              </w:rPr>
              <w:t xml:space="preserve">0.9989</w:t>
            </w:r>
          </w:p>
        </w:tc>
        <w:tc>
          <w:tcPr>
            <w:tcW w:type="dxa" w:w="2808"/>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jc w:val="center"/>
            </w:pPr>
            <w:r>
              <w:rPr>
                <w:rFonts w:ascii="Calibri" w:cs="Calibri" w:eastAsia="Calibri" w:hAnsi="Calibri"/>
                <w:b w:val="false"/>
                <w:bCs w:val="false"/>
                <w:color w:val="000000"/>
                <w:sz w:val="20"/>
                <w:szCs w:val="20"/>
              </w:rPr>
              <w:t xml:space="preserve">0.7500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5B6" w:sz="24"/>
              <w:bottom w:val="none" w:color="FFFFFF" w:sz="0"/>
              <w:right w:val="none" w:color="FFFFFF" w:sz="0"/>
            </w:tcBorders>
            <w:shd w:fill="EAF1FB" w:color="auto" w:val="clear"/>
            <w:tcMar>
              <w:top w:type="dxa" w:w="120"/>
              <w:left w:type="dxa" w:w="220"/>
              <w:bottom w:type="dxa" w:w="120"/>
              <w:right w:type="dxa" w:w="180"/>
            </w:tcMar>
          </w:tcPr>
          <w:p>
            <w:pPr>
              <w:spacing w:after="80"/>
            </w:pPr>
            <w:r>
              <w:rPr>
                <w:rFonts w:ascii="Calibri" w:cs="Calibri" w:eastAsia="Calibri" w:hAnsi="Calibri"/>
                <w:b/>
                <w:bCs/>
                <w:color w:val="1F3864"/>
                <w:sz w:val="22"/>
                <w:szCs w:val="22"/>
              </w:rPr>
              <w:t xml:space="preserve">Interpretation</w:t>
            </w:r>
          </w:p>
          <w:p>
            <w:pPr>
              <w:spacing w:after="60" w:line="288"/>
            </w:pPr>
            <w:r>
              <w:rPr>
                <w:rFonts w:ascii="Calibri" w:cs="Calibri" w:eastAsia="Calibri" w:hAnsi="Calibri"/>
                <w:sz w:val="21"/>
                <w:szCs w:val="21"/>
              </w:rPr>
              <w:t xml:space="preserve">Every model scores above 0.97 in cross-validation but only 0.74-0.77 on the test file. This gap is far larger than the difference between models, so the main difficulty is recognising attack variants not seen in training, not choosing a more complex algorithm.</w:t>
            </w:r>
          </w:p>
        </w:tc>
      </w:tr>
    </w:tbl>
    <w:p>
      <w:pPr>
        <w:spacing w:after="80"/>
      </w:pPr>
    </w:p>
    <w:p>
      <w:pPr>
        <w:pStyle w:val="Heading2"/>
      </w:pPr>
      <w:r>
        <w:rPr>
          <w:rFonts w:ascii="Calibri" w:cs="Calibri" w:eastAsia="Calibri" w:hAnsi="Calibri"/>
        </w:rPr>
        <w:t xml:space="preserve">4.3 Attack Family Classification</w:t>
      </w:r>
    </w:p>
    <w:p>
      <w:pPr>
        <w:spacing w:after="140" w:line="312"/>
        <w:jc w:val="both"/>
      </w:pPr>
      <w:r>
        <w:rPr>
          <w:rFonts w:ascii="Calibri" w:cs="Calibri" w:eastAsia="Calibri" w:hAnsi="Calibri"/>
          <w:sz w:val="22"/>
          <w:szCs w:val="22"/>
        </w:rPr>
        <w:t xml:space="preserve">A Random Forest trained on the five-class problem reached 75.3% overall accuracy.</w:t>
      </w:r>
    </w:p>
    <w:p>
      <w:pPr>
        <w:keepNext/>
        <w:spacing w:after="80" w:before="200"/>
      </w:pPr>
      <w:r>
        <w:rPr>
          <w:rFonts w:ascii="Calibri" w:cs="Calibri" w:eastAsia="Calibri" w:hAnsi="Calibri"/>
          <w:b/>
          <w:bCs/>
          <w:color w:val="1F3864"/>
          <w:sz w:val="19"/>
          <w:szCs w:val="19"/>
        </w:rPr>
        <w:t xml:space="preserve">Table 7: Per-class performance on KDDTest+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cantSplit/>
          <w:tblHeader/>
        </w:trPr>
        <w:tc>
          <w:tcPr>
            <w:tcW w:type="dxa" w:w="180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left"/>
            </w:pPr>
            <w:r>
              <w:rPr>
                <w:rFonts w:ascii="Calibri" w:cs="Calibri" w:eastAsia="Calibri" w:hAnsi="Calibri"/>
                <w:b/>
                <w:bCs/>
                <w:color w:val="FFFFFF"/>
                <w:sz w:val="20"/>
                <w:szCs w:val="20"/>
              </w:rPr>
              <w:t xml:space="preserve">Class</w:t>
            </w:r>
          </w:p>
        </w:tc>
        <w:tc>
          <w:tcPr>
            <w:tcW w:type="dxa" w:w="180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center"/>
            </w:pPr>
            <w:r>
              <w:rPr>
                <w:rFonts w:ascii="Calibri" w:cs="Calibri" w:eastAsia="Calibri" w:hAnsi="Calibri"/>
                <w:b/>
                <w:bCs/>
                <w:color w:val="FFFFFF"/>
                <w:sz w:val="20"/>
                <w:szCs w:val="20"/>
              </w:rPr>
              <w:t xml:space="preserve">Precision</w:t>
            </w:r>
          </w:p>
        </w:tc>
        <w:tc>
          <w:tcPr>
            <w:tcW w:type="dxa" w:w="180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center"/>
            </w:pPr>
            <w:r>
              <w:rPr>
                <w:rFonts w:ascii="Calibri" w:cs="Calibri" w:eastAsia="Calibri" w:hAnsi="Calibri"/>
                <w:b/>
                <w:bCs/>
                <w:color w:val="FFFFFF"/>
                <w:sz w:val="20"/>
                <w:szCs w:val="20"/>
              </w:rPr>
              <w:t xml:space="preserve">Recall</w:t>
            </w:r>
          </w:p>
        </w:tc>
        <w:tc>
          <w:tcPr>
            <w:tcW w:type="dxa" w:w="180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center"/>
            </w:pPr>
            <w:r>
              <w:rPr>
                <w:rFonts w:ascii="Calibri" w:cs="Calibri" w:eastAsia="Calibri" w:hAnsi="Calibri"/>
                <w:b/>
                <w:bCs/>
                <w:color w:val="FFFFFF"/>
                <w:sz w:val="20"/>
                <w:szCs w:val="20"/>
              </w:rPr>
              <w:t xml:space="preserve">F1</w:t>
            </w:r>
          </w:p>
        </w:tc>
        <w:tc>
          <w:tcPr>
            <w:tcW w:type="dxa" w:w="18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center"/>
            </w:pPr>
            <w:r>
              <w:rPr>
                <w:rFonts w:ascii="Calibri" w:cs="Calibri" w:eastAsia="Calibri" w:hAnsi="Calibri"/>
                <w:b/>
                <w:bCs/>
                <w:color w:val="FFFFFF"/>
                <w:sz w:val="20"/>
                <w:szCs w:val="20"/>
              </w:rPr>
              <w:t xml:space="preserve">Test records</w:t>
            </w:r>
          </w:p>
        </w:tc>
      </w:tr>
      <w:tr>
        <w:trPr>
          <w:cantSplit/>
          <w:tblHeader w:val="false"/>
        </w:trPr>
        <w:tc>
          <w:tcPr>
            <w:tcW w:type="dxa" w:w="1805"/>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normal</w:t>
            </w:r>
          </w:p>
        </w:tc>
        <w:tc>
          <w:tcPr>
            <w:tcW w:type="dxa" w:w="1805"/>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0.6533</w:t>
            </w:r>
          </w:p>
        </w:tc>
        <w:tc>
          <w:tcPr>
            <w:tcW w:type="dxa" w:w="1805"/>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0.9738</w:t>
            </w:r>
          </w:p>
        </w:tc>
        <w:tc>
          <w:tcPr>
            <w:tcW w:type="dxa" w:w="1805"/>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0.7820</w:t>
            </w:r>
          </w:p>
        </w:tc>
        <w:tc>
          <w:tcPr>
            <w:tcW w:type="dxa" w:w="1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9,711</w:t>
            </w:r>
          </w:p>
        </w:tc>
      </w:tr>
      <w:tr>
        <w:trPr>
          <w:cantSplit/>
          <w:tblHeader w:val="false"/>
        </w:trPr>
        <w:tc>
          <w:tcPr>
            <w:tcW w:type="dxa" w:w="1805"/>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DoS</w:t>
            </w:r>
          </w:p>
        </w:tc>
        <w:tc>
          <w:tcPr>
            <w:tcW w:type="dxa" w:w="1805"/>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0.9628</w:t>
            </w:r>
          </w:p>
        </w:tc>
        <w:tc>
          <w:tcPr>
            <w:tcW w:type="dxa" w:w="1805"/>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0.7971</w:t>
            </w:r>
          </w:p>
        </w:tc>
        <w:tc>
          <w:tcPr>
            <w:tcW w:type="dxa" w:w="1805"/>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0.8721</w:t>
            </w:r>
          </w:p>
        </w:tc>
        <w:tc>
          <w:tcPr>
            <w:tcW w:type="dxa" w:w="180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7,460</w:t>
            </w:r>
          </w:p>
        </w:tc>
      </w:tr>
      <w:tr>
        <w:trPr>
          <w:cantSplit/>
          <w:tblHeader w:val="false"/>
        </w:trPr>
        <w:tc>
          <w:tcPr>
            <w:tcW w:type="dxa" w:w="1805"/>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Probe</w:t>
            </w:r>
          </w:p>
        </w:tc>
        <w:tc>
          <w:tcPr>
            <w:tcW w:type="dxa" w:w="1805"/>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0.8242</w:t>
            </w:r>
          </w:p>
        </w:tc>
        <w:tc>
          <w:tcPr>
            <w:tcW w:type="dxa" w:w="1805"/>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0.6043</w:t>
            </w:r>
          </w:p>
        </w:tc>
        <w:tc>
          <w:tcPr>
            <w:tcW w:type="dxa" w:w="1805"/>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0.6973</w:t>
            </w:r>
          </w:p>
        </w:tc>
        <w:tc>
          <w:tcPr>
            <w:tcW w:type="dxa" w:w="1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2,421</w:t>
            </w:r>
          </w:p>
        </w:tc>
      </w:tr>
      <w:tr>
        <w:trPr>
          <w:cantSplit/>
          <w:tblHeader w:val="false"/>
        </w:trPr>
        <w:tc>
          <w:tcPr>
            <w:tcW w:type="dxa" w:w="1805"/>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R2L</w:t>
            </w:r>
          </w:p>
        </w:tc>
        <w:tc>
          <w:tcPr>
            <w:tcW w:type="dxa" w:w="1805"/>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0.9737</w:t>
            </w:r>
          </w:p>
        </w:tc>
        <w:tc>
          <w:tcPr>
            <w:tcW w:type="dxa" w:w="1805"/>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0.0385</w:t>
            </w:r>
          </w:p>
        </w:tc>
        <w:tc>
          <w:tcPr>
            <w:tcW w:type="dxa" w:w="1805"/>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0.0740</w:t>
            </w:r>
          </w:p>
        </w:tc>
        <w:tc>
          <w:tcPr>
            <w:tcW w:type="dxa" w:w="180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center"/>
            </w:pPr>
            <w:r>
              <w:rPr>
                <w:rFonts w:ascii="Calibri" w:cs="Calibri" w:eastAsia="Calibri" w:hAnsi="Calibri"/>
                <w:b w:val="false"/>
                <w:bCs w:val="false"/>
                <w:color w:val="000000"/>
                <w:sz w:val="20"/>
                <w:szCs w:val="20"/>
              </w:rPr>
              <w:t xml:space="preserve">2,885</w:t>
            </w:r>
          </w:p>
        </w:tc>
      </w:tr>
      <w:tr>
        <w:trPr>
          <w:cantSplit/>
          <w:tblHeader w:val="false"/>
        </w:trPr>
        <w:tc>
          <w:tcPr>
            <w:tcW w:type="dxa" w:w="1805"/>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jc w:val="left"/>
            </w:pPr>
            <w:r>
              <w:rPr>
                <w:rFonts w:ascii="Calibri" w:cs="Calibri" w:eastAsia="Calibri" w:hAnsi="Calibri"/>
                <w:b/>
                <w:bCs/>
                <w:color w:val="000000"/>
                <w:sz w:val="20"/>
                <w:szCs w:val="20"/>
              </w:rPr>
              <w:t xml:space="preserve">U2R</w:t>
            </w:r>
          </w:p>
        </w:tc>
        <w:tc>
          <w:tcPr>
            <w:tcW w:type="dxa" w:w="1805"/>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jc w:val="center"/>
            </w:pPr>
            <w:r>
              <w:rPr>
                <w:rFonts w:ascii="Calibri" w:cs="Calibri" w:eastAsia="Calibri" w:hAnsi="Calibri"/>
                <w:b w:val="false"/>
                <w:bCs w:val="false"/>
                <w:color w:val="000000"/>
                <w:sz w:val="20"/>
                <w:szCs w:val="20"/>
              </w:rPr>
              <w:t xml:space="preserve">0.3333</w:t>
            </w:r>
          </w:p>
        </w:tc>
        <w:tc>
          <w:tcPr>
            <w:tcW w:type="dxa" w:w="1805"/>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jc w:val="center"/>
            </w:pPr>
            <w:r>
              <w:rPr>
                <w:rFonts w:ascii="Calibri" w:cs="Calibri" w:eastAsia="Calibri" w:hAnsi="Calibri"/>
                <w:b w:val="false"/>
                <w:bCs w:val="false"/>
                <w:color w:val="000000"/>
                <w:sz w:val="20"/>
                <w:szCs w:val="20"/>
              </w:rPr>
              <w:t xml:space="preserve">0.0149</w:t>
            </w:r>
          </w:p>
        </w:tc>
        <w:tc>
          <w:tcPr>
            <w:tcW w:type="dxa" w:w="1805"/>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jc w:val="center"/>
            </w:pPr>
            <w:r>
              <w:rPr>
                <w:rFonts w:ascii="Calibri" w:cs="Calibri" w:eastAsia="Calibri" w:hAnsi="Calibri"/>
                <w:b w:val="false"/>
                <w:bCs w:val="false"/>
                <w:color w:val="000000"/>
                <w:sz w:val="20"/>
                <w:szCs w:val="20"/>
              </w:rPr>
              <w:t xml:space="preserve">0.0286</w:t>
            </w:r>
          </w:p>
        </w:tc>
        <w:tc>
          <w:tcPr>
            <w:tcW w:type="dxa" w:w="18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jc w:val="center"/>
            </w:pPr>
            <w:r>
              <w:rPr>
                <w:rFonts w:ascii="Calibri" w:cs="Calibri" w:eastAsia="Calibri" w:hAnsi="Calibri"/>
                <w:b w:val="false"/>
                <w:bCs w:val="false"/>
                <w:color w:val="000000"/>
                <w:sz w:val="20"/>
                <w:szCs w:val="20"/>
              </w:rPr>
              <w:t xml:space="preserve">67</w:t>
            </w:r>
          </w:p>
        </w:tc>
      </w:tr>
    </w:tbl>
    <w:p>
      <w:pPr>
        <w:spacing w:after="80"/>
      </w:pPr>
    </w:p>
    <w:p>
      <w:pPr>
        <w:keepNext/>
        <w:spacing w:after="60" w:before="140"/>
        <w:jc w:val="center"/>
      </w:pPr>
      <w:r>
        <w:drawing>
          <wp:inline distT="0" distB="0" distL="0" distR="0">
            <wp:extent cx="3048000" cy="2495550"/>
            <wp:effectExtent t="0" r="0" b="0" l="0"/>
            <wp:docPr id="1" name="Figure 6: Confusion matrix for attack family classification" descr="Figure 6: Confusion matrix for attack family classification" title="Figure 6: Confusion matrix for attack family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49555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6: Confusion matrix for attack family classification</w:t>
      </w:r>
    </w:p>
    <w:p>
      <w:pPr>
        <w:spacing w:after="140" w:line="312"/>
        <w:jc w:val="both"/>
      </w:pPr>
      <w:r>
        <w:rPr>
          <w:rFonts w:ascii="Calibri" w:cs="Calibri" w:eastAsia="Calibri" w:hAnsi="Calibri"/>
          <w:sz w:val="22"/>
          <w:szCs w:val="22"/>
        </w:rPr>
        <w:t xml:space="preserve">DoS attacks are detected well and Probe attacks moderately. R2L and U2R attacks are almost never recognised (recall below 4%): they have very few training samples, and the test set contains many R2L variants absent from training. Most of these attacks are misclassified as normal traffic.</w:t>
      </w:r>
    </w:p>
    <w:p>
      <w:pPr>
        <w:pStyle w:val="Heading2"/>
      </w:pPr>
      <w:r>
        <w:rPr>
          <w:rFonts w:ascii="Calibri" w:cs="Calibri" w:eastAsia="Calibri" w:hAnsi="Calibri"/>
        </w:rPr>
        <w:t xml:space="preserve">4.4 Feature Importance</w:t>
      </w:r>
    </w:p>
    <w:p>
      <w:pPr>
        <w:spacing w:after="140" w:line="312"/>
        <w:jc w:val="both"/>
      </w:pPr>
      <w:r>
        <w:rPr>
          <w:rFonts w:ascii="Calibri" w:cs="Calibri" w:eastAsia="Calibri" w:hAnsi="Calibri"/>
          <w:sz w:val="22"/>
          <w:szCs w:val="22"/>
        </w:rPr>
        <w:t xml:space="preserve">The Random Forest ranks src_bytes and dst_bytes as the most influential features, followed by the SF connection flag (a normally completed connection), the number of connections to the same destination service and the same-service rate. Error-rate features such as serror_rate also appear, consistent with how SYN-flood and scanning attacks behave.</w:t>
      </w:r>
    </w:p>
    <w:p>
      <w:pPr>
        <w:keepNext/>
        <w:spacing w:after="60" w:before="140"/>
        <w:jc w:val="center"/>
      </w:pPr>
      <w:r>
        <w:drawing>
          <wp:inline distT="0" distB="0" distL="0" distR="0">
            <wp:extent cx="4191000" cy="2600325"/>
            <wp:effectExtent t="0" r="0" b="0" l="0"/>
            <wp:docPr id="1" name="Figure 7: Top 15 features by Random Forest importance" descr="Figure 7: Top 15 features by Random Forest importance" title="Figure 7: Top 15 features by Random Forest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60032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Figure 7: Top 15 features by Random Forest importance</w:t>
      </w:r>
    </w:p>
    <w:p>
      <w:pPr>
        <w:pStyle w:val="Heading1"/>
        <w:pageBreakBefore/>
      </w:pPr>
      <w:r>
        <w:rPr>
          <w:rFonts w:ascii="Calibri" w:cs="Calibri" w:eastAsia="Calibri" w:hAnsi="Calibri"/>
        </w:rPr>
        <w:t xml:space="preserve">5. Discussion</w:t>
      </w:r>
    </w:p>
    <w:p>
      <w:pPr>
        <w:pStyle w:val="ListParagraph"/>
        <w:numPr>
          <w:ilvl w:val="0"/>
          <w:numId w:val="2"/>
        </w:numPr>
        <w:spacing w:after="80" w:line="300"/>
      </w:pPr>
      <w:r>
        <w:rPr>
          <w:rFonts w:ascii="Calibri" w:cs="Calibri" w:eastAsia="Calibri" w:hAnsi="Calibri"/>
          <w:b/>
          <w:bCs/>
          <w:sz w:val="22"/>
          <w:szCs w:val="22"/>
        </w:rPr>
        <w:t xml:space="preserve">Precision versus recall.</w:t>
      </w:r>
      <w:r>
        <w:rPr>
          <w:rFonts w:ascii="Calibri" w:cs="Calibri" w:eastAsia="Calibri" w:hAnsi="Calibri"/>
          <w:sz w:val="22"/>
          <w:szCs w:val="22"/>
        </w:rPr>
        <w:t xml:space="preserve"> Alerts are trustworthy (precision 92-97%), but about 35% of attacks are missed. In practice this detector should supplement, not replace, other controls.</w:t>
      </w:r>
    </w:p>
    <w:p>
      <w:pPr>
        <w:pStyle w:val="ListParagraph"/>
        <w:numPr>
          <w:ilvl w:val="0"/>
          <w:numId w:val="2"/>
        </w:numPr>
        <w:spacing w:after="80" w:line="300"/>
      </w:pPr>
      <w:r>
        <w:rPr>
          <w:rFonts w:ascii="Calibri" w:cs="Calibri" w:eastAsia="Calibri" w:hAnsi="Calibri"/>
          <w:b/>
          <w:bCs/>
          <w:sz w:val="22"/>
          <w:szCs w:val="22"/>
        </w:rPr>
        <w:t xml:space="preserve">Model choice.</w:t>
      </w:r>
      <w:r>
        <w:rPr>
          <w:rFonts w:ascii="Calibri" w:cs="Calibri" w:eastAsia="Calibri" w:hAnsi="Calibri"/>
          <w:sz w:val="22"/>
          <w:szCs w:val="22"/>
        </w:rPr>
        <w:t xml:space="preserve"> The simplest tree-based model scored best and differences between models are small. Gains are more likely to come from better data and rare-class handling than from a more complex algorithm.</w:t>
      </w:r>
    </w:p>
    <w:p>
      <w:pPr>
        <w:pStyle w:val="ListParagraph"/>
        <w:numPr>
          <w:ilvl w:val="0"/>
          <w:numId w:val="2"/>
        </w:numPr>
        <w:spacing w:after="80" w:line="300"/>
      </w:pPr>
      <w:r>
        <w:rPr>
          <w:rFonts w:ascii="Calibri" w:cs="Calibri" w:eastAsia="Calibri" w:hAnsi="Calibri"/>
          <w:b/>
          <w:bCs/>
          <w:sz w:val="22"/>
          <w:szCs w:val="22"/>
        </w:rPr>
        <w:t xml:space="preserve">Rare classes.</w:t>
      </w:r>
      <w:r>
        <w:rPr>
          <w:rFonts w:ascii="Calibri" w:cs="Calibri" w:eastAsia="Calibri" w:hAnsi="Calibri"/>
          <w:sz w:val="22"/>
          <w:szCs w:val="22"/>
        </w:rPr>
        <w:t xml:space="preserve"> R2L and U2R attacks carry high impact yet are the least detected, a common problem with imbalanced security data.</w:t>
      </w:r>
    </w:p>
    <w:p>
      <w:pPr>
        <w:pStyle w:val="ListParagraph"/>
        <w:numPr>
          <w:ilvl w:val="0"/>
          <w:numId w:val="2"/>
        </w:numPr>
        <w:spacing w:after="80" w:line="300"/>
      </w:pPr>
      <w:r>
        <w:rPr>
          <w:rFonts w:ascii="Calibri" w:cs="Calibri" w:eastAsia="Calibri" w:hAnsi="Calibri"/>
          <w:b/>
          <w:bCs/>
          <w:sz w:val="22"/>
          <w:szCs w:val="22"/>
        </w:rPr>
        <w:t xml:space="preserve">Dataset age.</w:t>
      </w:r>
      <w:r>
        <w:rPr>
          <w:rFonts w:ascii="Calibri" w:cs="Calibri" w:eastAsia="Calibri" w:hAnsi="Calibri"/>
          <w:sz w:val="22"/>
          <w:szCs w:val="22"/>
        </w:rPr>
        <w:t xml:space="preserve"> NSL-KDD reflects 1990s traffic and attacks, so the scores demonstrate a method rather than production performance.</w:t>
      </w:r>
    </w:p>
    <w:p>
      <w:pPr>
        <w:pStyle w:val="Heading2"/>
      </w:pPr>
      <w:r>
        <w:rPr>
          <w:rFonts w:ascii="Calibri" w:cs="Calibri" w:eastAsia="Calibri" w:hAnsi="Calibri"/>
        </w:rPr>
        <w:t xml:space="preserve">5.1 Limitations</w:t>
      </w:r>
    </w:p>
    <w:p>
      <w:pPr>
        <w:pStyle w:val="ListParagraph"/>
        <w:numPr>
          <w:ilvl w:val="0"/>
          <w:numId w:val="2"/>
        </w:numPr>
        <w:spacing w:after="80" w:line="300"/>
      </w:pPr>
      <w:r>
        <w:rPr>
          <w:rFonts w:ascii="Calibri" w:cs="Calibri" w:eastAsia="Calibri" w:hAnsi="Calibri"/>
          <w:sz w:val="22"/>
          <w:szCs w:val="22"/>
        </w:rPr>
        <w:t xml:space="preserve">Outdated attack types and network behaviour in the dataset.</w:t>
      </w:r>
    </w:p>
    <w:p>
      <w:pPr>
        <w:pStyle w:val="ListParagraph"/>
        <w:numPr>
          <w:ilvl w:val="0"/>
          <w:numId w:val="2"/>
        </w:numPr>
        <w:spacing w:after="80" w:line="300"/>
      </w:pPr>
      <w:r>
        <w:rPr>
          <w:rFonts w:ascii="Calibri" w:cs="Calibri" w:eastAsia="Calibri" w:hAnsi="Calibri"/>
          <w:sz w:val="22"/>
          <w:szCs w:val="22"/>
        </w:rPr>
        <w:t xml:space="preserve">Features are pre-computed by the dataset authors; the project does not extract features from live packets.</w:t>
      </w:r>
    </w:p>
    <w:p>
      <w:pPr>
        <w:pStyle w:val="ListParagraph"/>
        <w:numPr>
          <w:ilvl w:val="0"/>
          <w:numId w:val="2"/>
        </w:numPr>
        <w:spacing w:after="80" w:line="300"/>
      </w:pPr>
      <w:r>
        <w:rPr>
          <w:rFonts w:ascii="Calibri" w:cs="Calibri" w:eastAsia="Calibri" w:hAnsi="Calibri"/>
          <w:sz w:val="22"/>
          <w:szCs w:val="22"/>
        </w:rPr>
        <w:t xml:space="preserve">No hyper-parameter tuning or class balancing was applied.</w:t>
      </w:r>
    </w:p>
    <w:p>
      <w:pPr>
        <w:pStyle w:val="ListParagraph"/>
        <w:numPr>
          <w:ilvl w:val="0"/>
          <w:numId w:val="2"/>
        </w:numPr>
        <w:spacing w:after="80" w:line="300"/>
      </w:pPr>
      <w:r>
        <w:rPr>
          <w:rFonts w:ascii="Calibri" w:cs="Calibri" w:eastAsia="Calibri" w:hAnsi="Calibri"/>
          <w:sz w:val="22"/>
          <w:szCs w:val="22"/>
        </w:rPr>
        <w:t xml:space="preserve">A single train/test split was used for the headline results.</w:t>
      </w:r>
    </w:p>
    <w:p>
      <w:pPr>
        <w:pStyle w:val="Heading1"/>
      </w:pPr>
      <w:r>
        <w:rPr>
          <w:rFonts w:ascii="Calibri" w:cs="Calibri" w:eastAsia="Calibri" w:hAnsi="Calibri"/>
        </w:rPr>
        <w:t xml:space="preserve">6. Conclusion and Future Work</w:t>
      </w:r>
    </w:p>
    <w:p>
      <w:pPr>
        <w:spacing w:after="140" w:line="312"/>
        <w:jc w:val="both"/>
      </w:pPr>
      <w:r>
        <w:rPr>
          <w:rFonts w:ascii="Calibri" w:cs="Calibri" w:eastAsia="Calibri" w:hAnsi="Calibri"/>
          <w:sz w:val="22"/>
          <w:szCs w:val="22"/>
        </w:rPr>
        <w:t xml:space="preserve">This project delivered a complete, reproducible machine-learning pipeline for network intrusion detection: data loading, exploration, pre-processing, model comparison, error analysis and a saved model. The best model detects attacks with high precision but incomplete recall, and the analysis clearly identifies unseen and rare attack types as the main weakness.</w:t>
      </w:r>
    </w:p>
    <w:p>
      <w:pPr>
        <w:pStyle w:val="Heading2"/>
      </w:pPr>
      <w:r>
        <w:rPr>
          <w:rFonts w:ascii="Calibri" w:cs="Calibri" w:eastAsia="Calibri" w:hAnsi="Calibri"/>
        </w:rPr>
        <w:t xml:space="preserve">6.1 Recommended Next Steps</w:t>
      </w:r>
    </w:p>
    <w:p>
      <w:pPr>
        <w:pStyle w:val="ListParagraph"/>
        <w:numPr>
          <w:ilvl w:val="0"/>
          <w:numId w:val="2"/>
        </w:numPr>
        <w:spacing w:after="80" w:line="300"/>
      </w:pPr>
      <w:r>
        <w:rPr>
          <w:rFonts w:ascii="Calibri" w:cs="Calibri" w:eastAsia="Calibri" w:hAnsi="Calibri"/>
          <w:sz w:val="22"/>
          <w:szCs w:val="22"/>
        </w:rPr>
        <w:t xml:space="preserve">Apply SMOTE or class weights to improve R2L and U2R recall.</w:t>
      </w:r>
    </w:p>
    <w:p>
      <w:pPr>
        <w:pStyle w:val="ListParagraph"/>
        <w:numPr>
          <w:ilvl w:val="0"/>
          <w:numId w:val="2"/>
        </w:numPr>
        <w:spacing w:after="80" w:line="300"/>
      </w:pPr>
      <w:r>
        <w:rPr>
          <w:rFonts w:ascii="Calibri" w:cs="Calibri" w:eastAsia="Calibri" w:hAnsi="Calibri"/>
          <w:sz w:val="22"/>
          <w:szCs w:val="22"/>
        </w:rPr>
        <w:t xml:space="preserve">Lower the decision threshold or use cost-sensitive learning to trade precision for recall.</w:t>
      </w:r>
    </w:p>
    <w:p>
      <w:pPr>
        <w:pStyle w:val="ListParagraph"/>
        <w:numPr>
          <w:ilvl w:val="0"/>
          <w:numId w:val="2"/>
        </w:numPr>
        <w:spacing w:after="80" w:line="300"/>
      </w:pPr>
      <w:r>
        <w:rPr>
          <w:rFonts w:ascii="Calibri" w:cs="Calibri" w:eastAsia="Calibri" w:hAnsi="Calibri"/>
          <w:sz w:val="22"/>
          <w:szCs w:val="22"/>
        </w:rPr>
        <w:t xml:space="preserve">Tune hyper-parameters and test gradient-boosting models.</w:t>
      </w:r>
    </w:p>
    <w:p>
      <w:pPr>
        <w:pStyle w:val="ListParagraph"/>
        <w:numPr>
          <w:ilvl w:val="0"/>
          <w:numId w:val="2"/>
        </w:numPr>
        <w:spacing w:after="80" w:line="300"/>
      </w:pPr>
      <w:r>
        <w:rPr>
          <w:rFonts w:ascii="Calibri" w:cs="Calibri" w:eastAsia="Calibri" w:hAnsi="Calibri"/>
          <w:sz w:val="22"/>
          <w:szCs w:val="22"/>
        </w:rPr>
        <w:t xml:space="preserve">Retrain on modern datasets such as CIC-IDS2017 or CIC-IDS2018.</w:t>
      </w:r>
    </w:p>
    <w:p>
      <w:pPr>
        <w:pStyle w:val="ListParagraph"/>
        <w:numPr>
          <w:ilvl w:val="0"/>
          <w:numId w:val="2"/>
        </w:numPr>
        <w:spacing w:after="80" w:line="300"/>
      </w:pPr>
      <w:r>
        <w:rPr>
          <w:rFonts w:ascii="Calibri" w:cs="Calibri" w:eastAsia="Calibri" w:hAnsi="Calibri"/>
          <w:sz w:val="22"/>
          <w:szCs w:val="22"/>
        </w:rPr>
        <w:t xml:space="preserve">Build a live feature extractor and forward alerts to a SIEM such as Wazuh.</w:t>
      </w:r>
    </w:p>
    <w:p>
      <w:pPr>
        <w:pStyle w:val="Heading1"/>
      </w:pPr>
      <w:r>
        <w:rPr>
          <w:rFonts w:ascii="Calibri" w:cs="Calibri" w:eastAsia="Calibri" w:hAnsi="Calibri"/>
        </w:rPr>
        <w:t xml:space="preserve">7. References</w:t>
      </w:r>
    </w:p>
    <w:p>
      <w:pPr>
        <w:pStyle w:val="ListParagraph"/>
        <w:numPr>
          <w:ilvl w:val="0"/>
          <w:numId w:val="2"/>
        </w:numPr>
        <w:spacing w:after="80" w:line="300"/>
      </w:pPr>
      <w:r>
        <w:rPr>
          <w:rFonts w:ascii="Calibri" w:cs="Calibri" w:eastAsia="Calibri" w:hAnsi="Calibri"/>
          <w:sz w:val="22"/>
          <w:szCs w:val="22"/>
        </w:rPr>
        <w:t xml:space="preserve">Tavallaee, M., Bagheri, E., Lu, W., Ghorbani, A. (2009). A Detailed Analysis of the KDD CUP 99 Data Set. IEEE Symposium on Computational Intelligence for Security and Defense Applications.</w:t>
      </w:r>
    </w:p>
    <w:p>
      <w:pPr>
        <w:pStyle w:val="ListParagraph"/>
        <w:numPr>
          <w:ilvl w:val="0"/>
          <w:numId w:val="2"/>
        </w:numPr>
        <w:spacing w:after="80" w:line="300"/>
      </w:pPr>
      <w:r>
        <w:rPr>
          <w:rFonts w:ascii="Calibri" w:cs="Calibri" w:eastAsia="Calibri" w:hAnsi="Calibri"/>
          <w:sz w:val="22"/>
          <w:szCs w:val="22"/>
        </w:rPr>
        <w:t xml:space="preserve">Canadian Institute for Cybersecurity. NSL-KDD dataset: https://www.unb.ca/cic/datasets/nsl.html</w:t>
      </w:r>
    </w:p>
    <w:p>
      <w:pPr>
        <w:pStyle w:val="ListParagraph"/>
        <w:numPr>
          <w:ilvl w:val="0"/>
          <w:numId w:val="2"/>
        </w:numPr>
        <w:spacing w:after="80" w:line="300"/>
      </w:pPr>
      <w:r>
        <w:rPr>
          <w:rFonts w:ascii="Calibri" w:cs="Calibri" w:eastAsia="Calibri" w:hAnsi="Calibri"/>
          <w:sz w:val="22"/>
          <w:szCs w:val="22"/>
        </w:rPr>
        <w:t xml:space="preserve">NSL-KDD data mirror: https://github.com/defcom17/NSL_KDD</w:t>
      </w:r>
    </w:p>
    <w:p>
      <w:pPr>
        <w:pStyle w:val="ListParagraph"/>
        <w:numPr>
          <w:ilvl w:val="0"/>
          <w:numId w:val="2"/>
        </w:numPr>
        <w:spacing w:after="80" w:line="300"/>
      </w:pPr>
      <w:r>
        <w:rPr>
          <w:rFonts w:ascii="Calibri" w:cs="Calibri" w:eastAsia="Calibri" w:hAnsi="Calibri"/>
          <w:sz w:val="22"/>
          <w:szCs w:val="22"/>
        </w:rPr>
        <w:t xml:space="preserve">Pedregosa et al. (2011). Scikit-learn: Machine Learning in Python. Journal of Machine Learning Research, 12.</w:t>
      </w:r>
    </w:p>
    <w:p>
      <w:pPr>
        <w:pStyle w:val="Heading1"/>
      </w:pPr>
      <w:r>
        <w:rPr>
          <w:rFonts w:ascii="Calibri" w:cs="Calibri" w:eastAsia="Calibri" w:hAnsi="Calibri"/>
        </w:rPr>
        <w:t xml:space="preserve">Appendix A: How to Run the Project</w:t>
      </w:r>
    </w:p>
    <w:p>
      <w:pPr>
        <w:keepNext/>
        <w:spacing w:after="80" w:before="200"/>
      </w:pPr>
      <w:r>
        <w:rPr>
          <w:rFonts w:ascii="Calibri" w:cs="Calibri" w:eastAsia="Calibri" w:hAnsi="Calibri"/>
          <w:b/>
          <w:bCs/>
          <w:color w:val="1F3864"/>
          <w:sz w:val="19"/>
          <w:szCs w:val="19"/>
        </w:rPr>
        <w:t xml:space="preserve">Table 8: Run instructions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8123"/>
      </w:tblGrid>
      <w:tr>
        <w:trPr>
          <w:cantSplit/>
          <w:tblHeader/>
        </w:trPr>
        <w:tc>
          <w:tcPr>
            <w:tcW w:type="dxa" w:w="90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left"/>
            </w:pPr>
            <w:r>
              <w:rPr>
                <w:rFonts w:ascii="Calibri" w:cs="Calibri" w:eastAsia="Calibri" w:hAnsi="Calibri"/>
                <w:b/>
                <w:bCs/>
                <w:color w:val="FFFFFF"/>
                <w:sz w:val="20"/>
                <w:szCs w:val="20"/>
              </w:rPr>
              <w:t xml:space="preserve">Step</w:t>
            </w:r>
          </w:p>
        </w:tc>
        <w:tc>
          <w:tcPr>
            <w:tcW w:type="dxa" w:w="812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left"/>
            </w:pPr>
            <w:r>
              <w:rPr>
                <w:rFonts w:ascii="Calibri" w:cs="Calibri" w:eastAsia="Calibri" w:hAnsi="Calibri"/>
                <w:b/>
                <w:bCs/>
                <w:color w:val="FFFFFF"/>
                <w:sz w:val="20"/>
                <w:szCs w:val="20"/>
              </w:rPr>
              <w:t xml:space="preserve">Action</w:t>
            </w:r>
          </w:p>
        </w:tc>
      </w:tr>
      <w:tr>
        <w:trPr>
          <w:cantSplit/>
          <w:tblHeader w:val="false"/>
        </w:trPr>
        <w:tc>
          <w:tcPr>
            <w:tcW w:type="dxa" w:w="90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color w:val="000000"/>
                <w:sz w:val="20"/>
                <w:szCs w:val="20"/>
              </w:rPr>
              <w:t xml:space="preserve">1</w:t>
            </w:r>
          </w:p>
        </w:tc>
        <w:tc>
          <w:tcPr>
            <w:tcW w:type="dxa" w:w="812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color w:val="000000"/>
                <w:sz w:val="20"/>
                <w:szCs w:val="20"/>
              </w:rPr>
              <w:t xml:space="preserve">Install dependencies:  pip install -r requirements.txt</w:t>
            </w:r>
          </w:p>
        </w:tc>
      </w:tr>
      <w:tr>
        <w:trPr>
          <w:cantSplit/>
          <w:tblHeader w:val="false"/>
        </w:trPr>
        <w:tc>
          <w:tcPr>
            <w:tcW w:type="dxa" w:w="903"/>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color w:val="000000"/>
                <w:sz w:val="20"/>
                <w:szCs w:val="20"/>
              </w:rPr>
              <w:t xml:space="preserve">2</w:t>
            </w:r>
          </w:p>
        </w:tc>
        <w:tc>
          <w:tcPr>
            <w:tcW w:type="dxa" w:w="8123"/>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color w:val="000000"/>
                <w:sz w:val="20"/>
                <w:szCs w:val="20"/>
              </w:rPr>
              <w:t xml:space="preserve">Open the notebook:  jupyter notebook ArjunPundir_NetworkIntrusionDetector.ipynb</w:t>
            </w:r>
          </w:p>
        </w:tc>
      </w:tr>
      <w:tr>
        <w:trPr>
          <w:cantSplit/>
          <w:tblHeader w:val="false"/>
        </w:trPr>
        <w:tc>
          <w:tcPr>
            <w:tcW w:type="dxa" w:w="90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color w:val="000000"/>
                <w:sz w:val="20"/>
                <w:szCs w:val="20"/>
              </w:rPr>
              <w:t xml:space="preserve">3</w:t>
            </w:r>
          </w:p>
        </w:tc>
        <w:tc>
          <w:tcPr>
            <w:tcW w:type="dxa" w:w="8123"/>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color w:val="000000"/>
                <w:sz w:val="20"/>
                <w:szCs w:val="20"/>
              </w:rPr>
              <w:t xml:space="preserve">Choose Kernel &gt; Restart and Run All. The dataset downloads automatically on first run.</w:t>
            </w:r>
          </w:p>
        </w:tc>
      </w:tr>
      <w:tr>
        <w:trPr>
          <w:cantSplit/>
          <w:tblHeader w:val="false"/>
        </w:trPr>
        <w:tc>
          <w:tcPr>
            <w:tcW w:type="dxa" w:w="903"/>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val="false"/>
              <w:jc w:val="left"/>
            </w:pPr>
            <w:r>
              <w:rPr>
                <w:rFonts w:ascii="Calibri" w:cs="Calibri" w:eastAsia="Calibri" w:hAnsi="Calibri"/>
                <w:color w:val="000000"/>
                <w:sz w:val="20"/>
                <w:szCs w:val="20"/>
              </w:rPr>
              <w:t xml:space="preserve">4</w:t>
            </w:r>
          </w:p>
        </w:tc>
        <w:tc>
          <w:tcPr>
            <w:tcW w:type="dxa" w:w="8123"/>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val="false"/>
              <w:jc w:val="left"/>
            </w:pPr>
            <w:r>
              <w:rPr>
                <w:rFonts w:ascii="Calibri" w:cs="Calibri" w:eastAsia="Calibri" w:hAnsi="Calibri"/>
                <w:color w:val="000000"/>
                <w:sz w:val="20"/>
                <w:szCs w:val="20"/>
              </w:rPr>
              <w:t xml:space="preserve">The trained model is saved as intrusion_detector_model.joblib.</w:t>
            </w:r>
          </w:p>
        </w:tc>
      </w:tr>
    </w:tbl>
    <w:p>
      <w:pPr>
        <w:spacing w:after="80"/>
      </w:pPr>
    </w:p>
    <w:p>
      <w:pPr>
        <w:pStyle w:val="Heading1"/>
      </w:pPr>
      <w:r>
        <w:rPr>
          <w:rFonts w:ascii="Calibri" w:cs="Calibri" w:eastAsia="Calibri" w:hAnsi="Calibri"/>
        </w:rPr>
        <w:t xml:space="preserve">Appendix B: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trPr>
        <w:tc>
          <w:tcPr>
            <w:tcW w:type="dxa" w:w="22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left"/>
            </w:pPr>
            <w:r>
              <w:rPr>
                <w:rFonts w:ascii="Calibri" w:cs="Calibri" w:eastAsia="Calibri" w:hAnsi="Calibri"/>
                <w:b/>
                <w:bCs/>
                <w:color w:val="FFFFFF"/>
                <w:sz w:val="20"/>
                <w:szCs w:val="20"/>
              </w:rPr>
              <w:t xml:space="preserve">Term</w:t>
            </w:r>
          </w:p>
        </w:tc>
        <w:tc>
          <w:tcPr>
            <w:tcW w:type="dxa" w:w="68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keepNext/>
              <w:jc w:val="left"/>
            </w:pPr>
            <w:r>
              <w:rPr>
                <w:rFonts w:ascii="Calibri" w:cs="Calibri" w:eastAsia="Calibri" w:hAnsi="Calibri"/>
                <w:b/>
                <w:bCs/>
                <w:color w:val="FFFFFF"/>
                <w:sz w:val="20"/>
                <w:szCs w:val="20"/>
              </w:rPr>
              <w:t xml:space="preserve">Definition</w:t>
            </w:r>
          </w:p>
        </w:tc>
      </w:tr>
      <w:tr>
        <w:trPr>
          <w:cantSplit/>
          <w:tblHeader w:val="false"/>
        </w:trPr>
        <w:tc>
          <w:tcPr>
            <w:tcW w:type="dxa" w:w="2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IDS</w:t>
            </w:r>
          </w:p>
        </w:tc>
        <w:tc>
          <w:tcPr>
            <w:tcW w:type="dxa" w:w="68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color w:val="000000"/>
                <w:sz w:val="20"/>
                <w:szCs w:val="20"/>
              </w:rPr>
              <w:t xml:space="preserve">Intrusion detection system: monitors network traffic for malicious activity.</w:t>
            </w:r>
          </w:p>
        </w:tc>
      </w:tr>
      <w:tr>
        <w:trPr>
          <w:cantSplit/>
          <w:tblHeader w:val="false"/>
        </w:trPr>
        <w:tc>
          <w:tcPr>
            <w:tcW w:type="dxa" w:w="220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DoS</w:t>
            </w:r>
          </w:p>
        </w:tc>
        <w:tc>
          <w:tcPr>
            <w:tcW w:type="dxa" w:w="682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b w:val="false"/>
                <w:bCs w:val="false"/>
                <w:color w:val="000000"/>
                <w:sz w:val="20"/>
                <w:szCs w:val="20"/>
              </w:rPr>
              <w:t xml:space="preserve">Denial of service: an attack that exhausts a target's resources.</w:t>
            </w:r>
          </w:p>
        </w:tc>
      </w:tr>
      <w:tr>
        <w:trPr>
          <w:cantSplit/>
          <w:tblHeader w:val="false"/>
        </w:trPr>
        <w:tc>
          <w:tcPr>
            <w:tcW w:type="dxa" w:w="2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Probe</w:t>
            </w:r>
          </w:p>
        </w:tc>
        <w:tc>
          <w:tcPr>
            <w:tcW w:type="dxa" w:w="68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color w:val="000000"/>
                <w:sz w:val="20"/>
                <w:szCs w:val="20"/>
              </w:rPr>
              <w:t xml:space="preserve">Scanning activity used to discover hosts, ports and weaknesses.</w:t>
            </w:r>
          </w:p>
        </w:tc>
      </w:tr>
      <w:tr>
        <w:trPr>
          <w:cantSplit/>
          <w:tblHeader w:val="false"/>
        </w:trPr>
        <w:tc>
          <w:tcPr>
            <w:tcW w:type="dxa" w:w="220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R2L</w:t>
            </w:r>
          </w:p>
        </w:tc>
        <w:tc>
          <w:tcPr>
            <w:tcW w:type="dxa" w:w="682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b w:val="false"/>
                <w:bCs w:val="false"/>
                <w:color w:val="000000"/>
                <w:sz w:val="20"/>
                <w:szCs w:val="20"/>
              </w:rPr>
              <w:t xml:space="preserve">Remote-to-local: gaining access to a machine from a remote location.</w:t>
            </w:r>
          </w:p>
        </w:tc>
      </w:tr>
      <w:tr>
        <w:trPr>
          <w:cantSplit/>
          <w:tblHeader w:val="false"/>
        </w:trPr>
        <w:tc>
          <w:tcPr>
            <w:tcW w:type="dxa" w:w="2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U2R</w:t>
            </w:r>
          </w:p>
        </w:tc>
        <w:tc>
          <w:tcPr>
            <w:tcW w:type="dxa" w:w="68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color w:val="000000"/>
                <w:sz w:val="20"/>
                <w:szCs w:val="20"/>
              </w:rPr>
              <w:t xml:space="preserve">User-to-root: escalating from a normal user to administrator rights.</w:t>
            </w:r>
          </w:p>
        </w:tc>
      </w:tr>
      <w:tr>
        <w:trPr>
          <w:cantSplit/>
          <w:tblHeader w:val="false"/>
        </w:trPr>
        <w:tc>
          <w:tcPr>
            <w:tcW w:type="dxa" w:w="220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False positive</w:t>
            </w:r>
          </w:p>
        </w:tc>
        <w:tc>
          <w:tcPr>
            <w:tcW w:type="dxa" w:w="682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jc w:val="left"/>
            </w:pPr>
            <w:r>
              <w:rPr>
                <w:rFonts w:ascii="Calibri" w:cs="Calibri" w:eastAsia="Calibri" w:hAnsi="Calibri"/>
                <w:b w:val="false"/>
                <w:bCs w:val="false"/>
                <w:color w:val="000000"/>
                <w:sz w:val="20"/>
                <w:szCs w:val="20"/>
              </w:rPr>
              <w:t xml:space="preserve">Normal traffic wrongly flagged as an attack.</w:t>
            </w:r>
          </w:p>
        </w:tc>
      </w:tr>
      <w:tr>
        <w:trPr>
          <w:cantSplit/>
          <w:tblHeader w:val="false"/>
        </w:trPr>
        <w:tc>
          <w:tcPr>
            <w:tcW w:type="dxa" w:w="220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bCs/>
                <w:color w:val="000000"/>
                <w:sz w:val="20"/>
                <w:szCs w:val="20"/>
              </w:rPr>
              <w:t xml:space="preserve">False negative</w:t>
            </w:r>
          </w:p>
        </w:tc>
        <w:tc>
          <w:tcPr>
            <w:tcW w:type="dxa" w:w="682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Calibri" w:cs="Calibri" w:eastAsia="Calibri" w:hAnsi="Calibri"/>
                <w:b w:val="false"/>
                <w:bCs w:val="false"/>
                <w:color w:val="000000"/>
                <w:sz w:val="20"/>
                <w:szCs w:val="20"/>
              </w:rPr>
              <w:t xml:space="preserve">An attack that goes undetected.</w:t>
            </w:r>
          </w:p>
        </w:tc>
      </w:tr>
      <w:tr>
        <w:trPr>
          <w:cantSplit/>
          <w:tblHeader w:val="false"/>
        </w:trPr>
        <w:tc>
          <w:tcPr>
            <w:tcW w:type="dxa" w:w="2206"/>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val="false"/>
              <w:jc w:val="left"/>
            </w:pPr>
            <w:r>
              <w:rPr>
                <w:rFonts w:ascii="Calibri" w:cs="Calibri" w:eastAsia="Calibri" w:hAnsi="Calibri"/>
                <w:b/>
                <w:bCs/>
                <w:color w:val="000000"/>
                <w:sz w:val="20"/>
                <w:szCs w:val="20"/>
              </w:rPr>
              <w:t xml:space="preserve">Data leakage</w:t>
            </w:r>
          </w:p>
        </w:tc>
        <w:tc>
          <w:tcPr>
            <w:tcW w:type="dxa" w:w="6820"/>
            <w:tcBorders>
              <w:top w:val="single" w:color="BFBFBF" w:sz="4"/>
              <w:left w:val="single" w:color="BFBFBF" w:sz="4"/>
              <w:bottom w:val="single" w:color="BFBFBF" w:sz="4"/>
              <w:right w:val="single" w:color="BFBFBF" w:sz="4"/>
            </w:tcBorders>
            <w:shd w:fill="F5F8FC" w:color="auto" w:val="clear"/>
            <w:tcMar>
              <w:top w:type="dxa" w:w="70"/>
              <w:left w:type="dxa" w:w="110"/>
              <w:bottom w:type="dxa" w:w="70"/>
              <w:right w:type="dxa" w:w="110"/>
            </w:tcMar>
          </w:tcPr>
          <w:p>
            <w:pPr>
              <w:keepNext w:val="false"/>
              <w:jc w:val="left"/>
            </w:pPr>
            <w:r>
              <w:rPr>
                <w:rFonts w:ascii="Calibri" w:cs="Calibri" w:eastAsia="Calibri" w:hAnsi="Calibri"/>
                <w:b w:val="false"/>
                <w:bCs w:val="false"/>
                <w:color w:val="000000"/>
                <w:sz w:val="20"/>
                <w:szCs w:val="20"/>
              </w:rPr>
              <w:t xml:space="preserve">Information from the test set influencing training, inflating results.</w:t>
            </w:r>
          </w:p>
        </w:tc>
      </w:tr>
    </w:tbl>
    <w:sectPr>
      <w:headerReference w:type="default" r:id="rId7"/>
      <w:footerReference w:type="default" r:id="rId8"/>
      <w:pgSz w:w="11906" w:h="16838"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IBM SkillsBuild Cyber Security 2026 · BharatCares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F7F7F"/>
        <w:sz w:val="18"/>
        <w:szCs w:val="18"/>
      </w:rPr>
      <w:t xml:space="preserve">ML Network Intrusion Detector  |  Arjun Pundir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12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fbe3d7f57cddf9c4a359123a45b73d3fdf02ac8.png"/><Relationship Id="rId10" Type="http://schemas.openxmlformats.org/officeDocument/2006/relationships/image" Target="media/0642bb53fc5d1e768239dade50219ddf65cd6b93.png"/><Relationship Id="rId11" Type="http://schemas.openxmlformats.org/officeDocument/2006/relationships/image" Target="media/c791f666f420791a462498432ee61d390544e489.png"/><Relationship Id="rId12" Type="http://schemas.openxmlformats.org/officeDocument/2006/relationships/image" Target="media/6ebd420cc387c29e1fbd38ac0e63b77c6e99015e.png"/><Relationship Id="rId13" Type="http://schemas.openxmlformats.org/officeDocument/2006/relationships/image" Target="media/a97cf2dd49b6f784f197d7303091301131df2bc2.png"/><Relationship Id="rId14" Type="http://schemas.openxmlformats.org/officeDocument/2006/relationships/image" Target="media/b601a5456e3de9111cdbc5c102ba4e3385cdcef6.png"/><Relationship Id="rId15" Type="http://schemas.openxmlformats.org/officeDocument/2006/relationships/image" Target="media/560c9115fcf9dff975af13c0880c74649a6a350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 Network Intrusion Detector - Project Report</dc:title>
  <dc:creator>Arjun Pundir</dc:creator>
  <cp:lastModifiedBy>Un-named</cp:lastModifiedBy>
  <cp:revision>1</cp:revision>
  <dcterms:created xsi:type="dcterms:W3CDTF">2026-10-23T08:15:59.771Z</dcterms:created>
  <dcterms:modified xsi:type="dcterms:W3CDTF">2026-10-23T08:15:59.773Z</dcterms:modified>
</cp:coreProperties>
</file>

<file path=docProps/custom.xml><?xml version="1.0" encoding="utf-8"?>
<Properties xmlns="http://schemas.openxmlformats.org/officeDocument/2006/custom-properties" xmlns:vt="http://schemas.openxmlformats.org/officeDocument/2006/docPropsVTypes"/>
</file>