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5CDC" w14:textId="492C07E7" w:rsidR="00E81978" w:rsidRPr="00D64C5A" w:rsidRDefault="00000000">
      <w:pPr>
        <w:pStyle w:val="Title"/>
        <w:rPr>
          <w:b/>
          <w:bCs/>
        </w:rPr>
      </w:pPr>
      <w:sdt>
        <w:sdtPr>
          <w:rPr>
            <w:b/>
            <w:bCs/>
          </w:rPr>
          <w:alias w:val="Title:"/>
          <w:tag w:val="Title:"/>
          <w:id w:val="726351117"/>
          <w:placeholder>
            <w:docPart w:val="0513D8471EF340A89727D728718AE8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64C5A">
            <w:rPr>
              <w:b/>
              <w:bCs/>
            </w:rPr>
            <w:t xml:space="preserve">Exploring Life Expectancy: </w:t>
          </w:r>
          <w:r w:rsidR="00882B60">
            <w:rPr>
              <w:b/>
              <w:bCs/>
            </w:rPr>
            <w:br/>
          </w:r>
          <w:r w:rsidR="00D64C5A">
            <w:rPr>
              <w:b/>
              <w:bCs/>
            </w:rPr>
            <w:t xml:space="preserve">A </w:t>
          </w:r>
          <w:r w:rsidR="00882B60">
            <w:rPr>
              <w:b/>
              <w:bCs/>
            </w:rPr>
            <w:t>C</w:t>
          </w:r>
          <w:r w:rsidR="00D64C5A">
            <w:rPr>
              <w:b/>
              <w:bCs/>
            </w:rPr>
            <w:t>omprehensive Analysis</w:t>
          </w:r>
          <w:r w:rsidR="00882B60">
            <w:rPr>
              <w:b/>
              <w:bCs/>
            </w:rPr>
            <w:t xml:space="preserve"> of Modern Medicine </w:t>
          </w:r>
          <w:r w:rsidR="00882B60">
            <w:rPr>
              <w:b/>
              <w:bCs/>
            </w:rPr>
            <w:br/>
            <w:t>and the Life Cycle Allocation Theory</w:t>
          </w:r>
        </w:sdtContent>
      </w:sdt>
    </w:p>
    <w:p w14:paraId="5B9422C1" w14:textId="77777777" w:rsidR="00FB570B" w:rsidRPr="00D64C5A" w:rsidRDefault="00FB570B" w:rsidP="00B823AA">
      <w:pPr>
        <w:pStyle w:val="Title2"/>
      </w:pPr>
    </w:p>
    <w:p w14:paraId="290201E5" w14:textId="77777777" w:rsidR="00FB570B" w:rsidRDefault="00FB570B" w:rsidP="004276C8">
      <w:pPr>
        <w:pStyle w:val="Title2"/>
        <w:jc w:val="left"/>
      </w:pPr>
    </w:p>
    <w:p w14:paraId="662B1DF2" w14:textId="77777777" w:rsidR="001D42CF" w:rsidRDefault="001D42CF" w:rsidP="004276C8">
      <w:pPr>
        <w:pStyle w:val="Title2"/>
        <w:jc w:val="left"/>
      </w:pPr>
    </w:p>
    <w:p w14:paraId="772199CE" w14:textId="77777777" w:rsidR="001D42CF" w:rsidRDefault="001D42CF" w:rsidP="004276C8">
      <w:pPr>
        <w:pStyle w:val="Title2"/>
        <w:jc w:val="left"/>
      </w:pPr>
    </w:p>
    <w:p w14:paraId="7BC1D18D" w14:textId="77777777" w:rsidR="001D42CF" w:rsidRPr="00D64C5A" w:rsidRDefault="001D42CF" w:rsidP="004276C8">
      <w:pPr>
        <w:pStyle w:val="Title2"/>
        <w:jc w:val="left"/>
      </w:pPr>
    </w:p>
    <w:p w14:paraId="633C621E" w14:textId="77777777" w:rsidR="00FB570B" w:rsidRPr="00D64C5A" w:rsidRDefault="00FB570B" w:rsidP="00B823AA">
      <w:pPr>
        <w:pStyle w:val="Title2"/>
      </w:pPr>
    </w:p>
    <w:p w14:paraId="1D53684A" w14:textId="13F7EF3F" w:rsidR="00675BC8" w:rsidRPr="00D64C5A" w:rsidRDefault="004276C8" w:rsidP="00675BC8">
      <w:pPr>
        <w:pStyle w:val="Title2"/>
      </w:pPr>
      <w:r w:rsidRPr="00D64C5A">
        <w:t>Acacia Johnson</w:t>
      </w:r>
    </w:p>
    <w:p w14:paraId="051BC77A" w14:textId="0AFBC236" w:rsidR="004276C8" w:rsidRPr="00D64C5A" w:rsidRDefault="00FB570B" w:rsidP="00B823AA">
      <w:pPr>
        <w:pStyle w:val="Title2"/>
      </w:pPr>
      <w:r w:rsidRPr="00D64C5A">
        <w:t xml:space="preserve">Department of </w:t>
      </w:r>
      <w:r w:rsidR="004276C8" w:rsidRPr="00D64C5A">
        <w:t>Accounting, Finance, and Economics</w:t>
      </w:r>
    </w:p>
    <w:p w14:paraId="5D8CACD7" w14:textId="4BDD553C" w:rsidR="00E81978" w:rsidRPr="00D64C5A" w:rsidRDefault="004276C8" w:rsidP="00B823AA">
      <w:pPr>
        <w:pStyle w:val="Title2"/>
      </w:pPr>
      <w:r w:rsidRPr="00D64C5A">
        <w:t>Tarleton State</w:t>
      </w:r>
      <w:r w:rsidR="00675BC8" w:rsidRPr="00D64C5A">
        <w:t xml:space="preserve"> </w:t>
      </w:r>
      <w:r w:rsidR="00FB570B" w:rsidRPr="00D64C5A">
        <w:t>University</w:t>
      </w:r>
    </w:p>
    <w:p w14:paraId="21F5083C" w14:textId="67826927" w:rsidR="00FB570B" w:rsidRPr="00D64C5A" w:rsidRDefault="004276C8" w:rsidP="00B823AA">
      <w:pPr>
        <w:pStyle w:val="Title2"/>
      </w:pPr>
      <w:r w:rsidRPr="00D64C5A">
        <w:t>ECON 4311 – Econometrics and Forecasting</w:t>
      </w:r>
    </w:p>
    <w:p w14:paraId="7688985C" w14:textId="4CA93C84" w:rsidR="00FB570B" w:rsidRPr="00D64C5A" w:rsidRDefault="004276C8" w:rsidP="00B823AA">
      <w:pPr>
        <w:pStyle w:val="Title2"/>
      </w:pPr>
      <w:r w:rsidRPr="00D64C5A">
        <w:t>Dr. Watson</w:t>
      </w:r>
    </w:p>
    <w:p w14:paraId="19400A95" w14:textId="3F3BBA2D" w:rsidR="00FB570B" w:rsidRPr="00D64C5A" w:rsidRDefault="00D1399D" w:rsidP="00B823AA">
      <w:pPr>
        <w:pStyle w:val="Title2"/>
      </w:pPr>
      <w:r>
        <w:t>December</w:t>
      </w:r>
      <w:r w:rsidR="004276C8" w:rsidRPr="00D64C5A">
        <w:t xml:space="preserve"> </w:t>
      </w:r>
      <w:r>
        <w:t>5</w:t>
      </w:r>
      <w:r w:rsidR="004276C8" w:rsidRPr="00D64C5A">
        <w:t>, 202</w:t>
      </w:r>
      <w:r w:rsidR="00945F89" w:rsidRPr="00D64C5A">
        <w:t>3</w:t>
      </w:r>
    </w:p>
    <w:sdt>
      <w:sdtPr>
        <w:rPr>
          <w:highlight w:val="yellow"/>
        </w:rPr>
        <w:alias w:val="Abstract:"/>
        <w:tag w:val="Abstract:"/>
        <w:id w:val="202146031"/>
        <w:placeholder>
          <w:docPart w:val="ADFE11FECABE4CFD934A40FEB31A31D9"/>
        </w:placeholder>
        <w:temporary/>
        <w:showingPlcHdr/>
        <w15:appearance w15:val="hidden"/>
      </w:sdtPr>
      <w:sdtEndPr>
        <w:rPr>
          <w:highlight w:val="none"/>
        </w:rPr>
      </w:sdtEndPr>
      <w:sdtContent>
        <w:p w14:paraId="3E8ABB4D" w14:textId="77777777" w:rsidR="00E81978" w:rsidRPr="007425A4" w:rsidRDefault="005D3A03">
          <w:pPr>
            <w:pStyle w:val="SectionTitle"/>
          </w:pPr>
          <w:r w:rsidRPr="007425A4">
            <w:t>Abstract</w:t>
          </w:r>
        </w:p>
      </w:sdtContent>
    </w:sdt>
    <w:p w14:paraId="32156D4B" w14:textId="4A158CA5" w:rsidR="00790192" w:rsidRPr="007425A4" w:rsidRDefault="00BD168F">
      <w:r w:rsidRPr="007425A4">
        <w:t xml:space="preserve">Panel data consisting of life </w:t>
      </w:r>
      <w:r w:rsidR="006F0A3A" w:rsidRPr="007425A4">
        <w:t xml:space="preserve">expectancy factors </w:t>
      </w:r>
      <w:r w:rsidR="007425A4" w:rsidRPr="007425A4">
        <w:t>is analyzed internationally</w:t>
      </w:r>
      <w:r w:rsidR="006F0A3A" w:rsidRPr="007425A4">
        <w:t xml:space="preserve">. It is found through the effects of </w:t>
      </w:r>
      <w:r w:rsidR="005F2ED6">
        <w:t>healthcare</w:t>
      </w:r>
      <w:r w:rsidR="006F0A3A" w:rsidRPr="007425A4">
        <w:t xml:space="preserve"> that the </w:t>
      </w:r>
      <w:r w:rsidR="00960165">
        <w:t>L</w:t>
      </w:r>
      <w:r w:rsidR="006F0A3A" w:rsidRPr="007425A4">
        <w:t>ife</w:t>
      </w:r>
      <w:r w:rsidR="005F2ED6">
        <w:t>-</w:t>
      </w:r>
      <w:r w:rsidR="00960165">
        <w:t>C</w:t>
      </w:r>
      <w:r w:rsidR="006F0A3A" w:rsidRPr="007425A4">
        <w:t xml:space="preserve">ycle </w:t>
      </w:r>
      <w:r w:rsidR="00960165">
        <w:t>A</w:t>
      </w:r>
      <w:r w:rsidR="006F0A3A" w:rsidRPr="007425A4">
        <w:t>llocation</w:t>
      </w:r>
      <w:r w:rsidR="00960165">
        <w:t xml:space="preserve"> T</w:t>
      </w:r>
      <w:r w:rsidR="006F0A3A" w:rsidRPr="007425A4">
        <w:t xml:space="preserve">heory is </w:t>
      </w:r>
      <w:r w:rsidR="007425A4" w:rsidRPr="007425A4">
        <w:t>proven true.</w:t>
      </w:r>
      <w:r w:rsidR="00960165">
        <w:t xml:space="preserve"> Total expenditures </w:t>
      </w:r>
      <w:r w:rsidR="005F2ED6">
        <w:t xml:space="preserve">in </w:t>
      </w:r>
      <w:r w:rsidR="00C71F84">
        <w:t>health</w:t>
      </w:r>
      <w:r w:rsidR="009122AE">
        <w:t xml:space="preserve">care </w:t>
      </w:r>
      <w:r w:rsidR="00EB1726">
        <w:t xml:space="preserve">on younger individuals </w:t>
      </w:r>
      <w:r w:rsidR="00AA1CC1">
        <w:t xml:space="preserve">is proven to positively </w:t>
      </w:r>
      <w:r w:rsidR="000C28F3">
        <w:t>affect</w:t>
      </w:r>
      <w:r w:rsidR="00AA1CC1">
        <w:t xml:space="preserve"> life expectancy. </w:t>
      </w:r>
      <w:r w:rsidR="005F2ED6">
        <w:t xml:space="preserve">As more variables are added, total expenditures </w:t>
      </w:r>
      <w:proofErr w:type="gramStart"/>
      <w:r w:rsidR="005F2ED6">
        <w:t>lose</w:t>
      </w:r>
      <w:r w:rsidR="009122AE">
        <w:t>s</w:t>
      </w:r>
      <w:proofErr w:type="gramEnd"/>
      <w:r w:rsidR="005F2ED6">
        <w:t xml:space="preserve"> its significance. Healthcare</w:t>
      </w:r>
      <w:r w:rsidR="009122AE">
        <w:t xml:space="preserve"> ( through immunization rates)</w:t>
      </w:r>
      <w:r w:rsidR="005F2ED6">
        <w:t xml:space="preserve"> does have a positive impact of life expectancy.</w:t>
      </w:r>
    </w:p>
    <w:p w14:paraId="1F00585D" w14:textId="40C138D8" w:rsidR="008A330A" w:rsidRPr="007425A4" w:rsidRDefault="005D3A03">
      <w:r w:rsidRPr="007425A4">
        <w:rPr>
          <w:rStyle w:val="Emphasis"/>
        </w:rPr>
        <w:t>Keywords</w:t>
      </w:r>
      <w:r w:rsidRPr="007425A4">
        <w:t xml:space="preserve">:  </w:t>
      </w:r>
      <w:r w:rsidR="005F2ED6">
        <w:t>Healthcare</w:t>
      </w:r>
      <w:r w:rsidR="0051498C" w:rsidRPr="007425A4">
        <w:t>, Life-cycle Allocation Theory, Fixed-Effects</w:t>
      </w:r>
    </w:p>
    <w:p w14:paraId="6BBB2342" w14:textId="77777777" w:rsidR="008A330A" w:rsidRPr="00EA63E6" w:rsidRDefault="008A330A">
      <w:pPr>
        <w:rPr>
          <w:highlight w:val="yellow"/>
        </w:rPr>
      </w:pPr>
      <w:r w:rsidRPr="00EA63E6">
        <w:rPr>
          <w:highlight w:val="yellow"/>
        </w:rPr>
        <w:br w:type="page"/>
      </w:r>
    </w:p>
    <w:p w14:paraId="4C1657D8" w14:textId="46BBBE7F" w:rsidR="008A330A" w:rsidRPr="00D92A5A" w:rsidRDefault="004276C8" w:rsidP="008A330A">
      <w:pPr>
        <w:jc w:val="center"/>
        <w:rPr>
          <w:b/>
          <w:bCs/>
        </w:rPr>
      </w:pPr>
      <w:r w:rsidRPr="00D92A5A">
        <w:rPr>
          <w:b/>
          <w:bCs/>
        </w:rPr>
        <w:lastRenderedPageBreak/>
        <w:t>Introduction</w:t>
      </w:r>
    </w:p>
    <w:p w14:paraId="170B40B6" w14:textId="024F1D13" w:rsidR="00C9411B" w:rsidRDefault="005B7451" w:rsidP="00C9411B">
      <w:r>
        <w:t xml:space="preserve">There are </w:t>
      </w:r>
      <w:r w:rsidR="00EB1726">
        <w:t>several</w:t>
      </w:r>
      <w:r>
        <w:t xml:space="preserve"> influences on how long an individual </w:t>
      </w:r>
      <w:r w:rsidR="00A52B6E">
        <w:t xml:space="preserve">can expect to </w:t>
      </w:r>
      <w:proofErr w:type="gramStart"/>
      <w:r w:rsidR="00A52B6E">
        <w:t>life</w:t>
      </w:r>
      <w:proofErr w:type="gramEnd"/>
      <w:r w:rsidR="00A52B6E">
        <w:t xml:space="preserve">, also known as their life expectancy. Modern medicine plays </w:t>
      </w:r>
      <w:r w:rsidR="00905FE8">
        <w:t>a significant role</w:t>
      </w:r>
      <w:r w:rsidR="00A52B6E">
        <w:t xml:space="preserve"> in </w:t>
      </w:r>
      <w:r w:rsidR="002339BD">
        <w:t xml:space="preserve">positively improving </w:t>
      </w:r>
      <w:r w:rsidR="00FF083A">
        <w:t>that. With</w:t>
      </w:r>
      <w:r w:rsidR="002339BD">
        <w:t xml:space="preserve"> that in mind, this paper uses </w:t>
      </w:r>
      <w:r w:rsidR="008C7FDA">
        <w:t xml:space="preserve">the life-cycle allocation theory to analyze how societies </w:t>
      </w:r>
      <w:r w:rsidR="00FF083A">
        <w:t xml:space="preserve">distribute </w:t>
      </w:r>
      <w:r w:rsidR="00915171">
        <w:t xml:space="preserve">healthcare throughout </w:t>
      </w:r>
      <w:r w:rsidR="00ED3E4A">
        <w:t>the</w:t>
      </w:r>
      <w:r w:rsidR="00915171">
        <w:t xml:space="preserve"> individual</w:t>
      </w:r>
      <w:r w:rsidR="009D4777">
        <w:t>’</w:t>
      </w:r>
      <w:r w:rsidR="00915171">
        <w:t>s life.</w:t>
      </w:r>
      <w:r w:rsidR="00ED3E4A">
        <w:t xml:space="preserve"> </w:t>
      </w:r>
    </w:p>
    <w:p w14:paraId="6D52BCD9" w14:textId="2BD62607" w:rsidR="001F0C93" w:rsidRDefault="00ED3E4A" w:rsidP="00C9411B">
      <w:r>
        <w:t xml:space="preserve">These two concepts provide a strong image on how </w:t>
      </w:r>
      <w:r w:rsidR="009D4777">
        <w:t xml:space="preserve">each country has </w:t>
      </w:r>
      <w:r w:rsidR="002D1B93">
        <w:t>their</w:t>
      </w:r>
      <w:r w:rsidR="009D4777">
        <w:t xml:space="preserve"> own life expectancy</w:t>
      </w:r>
      <w:r w:rsidR="002D1B93">
        <w:t>.</w:t>
      </w:r>
      <w:r w:rsidR="00C9411B">
        <w:t xml:space="preserve"> </w:t>
      </w:r>
      <w:r w:rsidR="00FA69AB">
        <w:t>In the past century, breakthroughs in medicine</w:t>
      </w:r>
      <w:r w:rsidR="00BE41C6">
        <w:t xml:space="preserve"> have </w:t>
      </w:r>
      <w:r w:rsidR="0000681A">
        <w:t xml:space="preserve">allowed the severity </w:t>
      </w:r>
      <w:r w:rsidR="00277417">
        <w:t>of</w:t>
      </w:r>
      <w:r w:rsidR="00BE41C6">
        <w:t xml:space="preserve"> health issues to </w:t>
      </w:r>
      <w:r w:rsidR="0000681A">
        <w:t>diminish.</w:t>
      </w:r>
      <w:r w:rsidR="00CF711A">
        <w:t xml:space="preserve"> </w:t>
      </w:r>
      <w:r w:rsidR="00DA038B">
        <w:t>Internationally</w:t>
      </w:r>
      <w:r w:rsidR="00CF711A">
        <w:t xml:space="preserve">, new drugs and improved surgery methods have </w:t>
      </w:r>
      <w:r w:rsidR="00DA038B">
        <w:t>treated various diseases.</w:t>
      </w:r>
      <w:r w:rsidR="00277417">
        <w:t xml:space="preserve"> </w:t>
      </w:r>
    </w:p>
    <w:p w14:paraId="7CE390B2" w14:textId="3C92959C" w:rsidR="0056635D" w:rsidRDefault="00B7051B">
      <w:r w:rsidRPr="00BA4F6D">
        <w:t>Roser</w:t>
      </w:r>
      <w:r>
        <w:t xml:space="preserve"> analyzes international data from the last two centuries to determine how life expectancy has evolved over time. There are four main conclusions from the study. First, life expectancy </w:t>
      </w:r>
      <w:r w:rsidR="00611C95">
        <w:t>has grown to be as</w:t>
      </w:r>
      <w:r>
        <w:t xml:space="preserve"> twice as long. Second, life expectancy has positively improved around the </w:t>
      </w:r>
      <w:r w:rsidR="00611C95">
        <w:t>globe</w:t>
      </w:r>
      <w:r>
        <w:t xml:space="preserve">. Third, life expectancy </w:t>
      </w:r>
      <w:r w:rsidR="00611C95">
        <w:t>is increasing at a steady rate</w:t>
      </w:r>
      <w:r>
        <w:t xml:space="preserve">. Finally, life expectancy has increased </w:t>
      </w:r>
      <w:r w:rsidR="00611C95">
        <w:t>across</w:t>
      </w:r>
      <w:r>
        <w:t xml:space="preserve"> all countries.</w:t>
      </w:r>
    </w:p>
    <w:p w14:paraId="77746970" w14:textId="30FA2B63" w:rsidR="00B7051B" w:rsidRDefault="00B7051B">
      <w:r>
        <w:t xml:space="preserve"> At the beginning of the 19</w:t>
      </w:r>
      <w:r w:rsidRPr="002072F5">
        <w:rPr>
          <w:vertAlign w:val="superscript"/>
        </w:rPr>
        <w:t>th</w:t>
      </w:r>
      <w:r>
        <w:t xml:space="preserve"> century, </w:t>
      </w:r>
      <w:r w:rsidR="00611C95">
        <w:t>an individual’s expected life was</w:t>
      </w:r>
      <w:r>
        <w:t xml:space="preserve"> only 40 years old. Improvements in medicine have lower child mortality rates and extended older individuals. For each </w:t>
      </w:r>
      <w:r w:rsidR="00611C95">
        <w:t>improvement</w:t>
      </w:r>
      <w:r>
        <w:t xml:space="preserve">, the </w:t>
      </w:r>
      <w:r w:rsidR="00611C95">
        <w:t>advancement</w:t>
      </w:r>
      <w:r>
        <w:t xml:space="preserve"> of medicine seen in the last 200 seen years as had positive effects across the globe</w:t>
      </w:r>
      <w:r w:rsidR="0056635D">
        <w:t xml:space="preserve"> </w:t>
      </w:r>
      <w:r w:rsidR="005F2ED6">
        <w:t>(Ho, 202</w:t>
      </w:r>
      <w:r w:rsidR="005D2F15">
        <w:t>2</w:t>
      </w:r>
      <w:r w:rsidR="005F2ED6">
        <w:t>)</w:t>
      </w:r>
      <w:r w:rsidR="00905FE8">
        <w:t xml:space="preserve">. </w:t>
      </w:r>
      <w:r>
        <w:t xml:space="preserve">Instead of a stagnant life expectancy, there is </w:t>
      </w:r>
      <w:r w:rsidR="00611C95">
        <w:t xml:space="preserve">proof of </w:t>
      </w:r>
      <w:r>
        <w:t>a positive linear effect (excluding COVID-19). Interestingly, Japan has the highest life expectancy in 2021 by at least 10 years, the second closest being Oceania.</w:t>
      </w:r>
    </w:p>
    <w:p w14:paraId="78271F92" w14:textId="418FDBA6" w:rsidR="00676EF5" w:rsidRDefault="00953E3B">
      <w:r>
        <w:t xml:space="preserve">The dataset uses </w:t>
      </w:r>
      <w:r w:rsidR="00D70D3A">
        <w:t xml:space="preserve">percentage </w:t>
      </w:r>
      <w:r>
        <w:t xml:space="preserve">expenditure </w:t>
      </w:r>
      <w:r w:rsidR="00D70D3A">
        <w:t>(</w:t>
      </w:r>
      <w:r>
        <w:t xml:space="preserve">a percentage </w:t>
      </w:r>
      <w:r w:rsidR="00D70D3A">
        <w:t xml:space="preserve">of health on GDP per capita), </w:t>
      </w:r>
      <w:r w:rsidR="00B23498">
        <w:t>total expenditure</w:t>
      </w:r>
      <w:r w:rsidR="000F3B1A">
        <w:t xml:space="preserve"> (general government expenditure on health as a percentage of total government </w:t>
      </w:r>
      <w:r w:rsidR="006B1526">
        <w:t>expenditure</w:t>
      </w:r>
      <w:r w:rsidR="000F3B1A">
        <w:t xml:space="preserve">), and gross domestic </w:t>
      </w:r>
      <w:r w:rsidR="00676EF5">
        <w:t>product (GDP</w:t>
      </w:r>
      <w:r w:rsidR="006B1526">
        <w:t>) as measurements of allocation.</w:t>
      </w:r>
    </w:p>
    <w:p w14:paraId="63B8C891" w14:textId="429CD60E" w:rsidR="00E81978" w:rsidRPr="00EA63E6" w:rsidRDefault="00676EF5" w:rsidP="00D92A5A">
      <w:pPr>
        <w:rPr>
          <w:highlight w:val="yellow"/>
        </w:rPr>
      </w:pPr>
      <w:r>
        <w:lastRenderedPageBreak/>
        <w:t xml:space="preserve">The </w:t>
      </w:r>
      <w:r w:rsidR="00E13EF5">
        <w:t>comprehensive exploration</w:t>
      </w:r>
      <w:r>
        <w:t xml:space="preserve"> of both modern medicine and life-cycle allocation theory </w:t>
      </w:r>
      <w:r w:rsidR="00905FE8">
        <w:t>influences</w:t>
      </w:r>
      <w:r w:rsidR="001F26D1">
        <w:t xml:space="preserve"> how long an individual will live in modern times.</w:t>
      </w:r>
      <w:r w:rsidR="00E13EF5">
        <w:t xml:space="preserve"> </w:t>
      </w:r>
      <w:r w:rsidR="00E13EF5" w:rsidRPr="005F2ED6">
        <w:t xml:space="preserve">Using knowledge from </w:t>
      </w:r>
      <w:r w:rsidR="000972C3" w:rsidRPr="005F2ED6">
        <w:t>the fields of medicine, sociology, and public health, I ai</w:t>
      </w:r>
      <w:r w:rsidR="00B342B9" w:rsidRPr="005F2ED6">
        <w:t>m t</w:t>
      </w:r>
      <w:r w:rsidR="000972C3" w:rsidRPr="005F2ED6">
        <w:t xml:space="preserve">o </w:t>
      </w:r>
      <w:r w:rsidR="00B342B9" w:rsidRPr="005F2ED6">
        <w:t xml:space="preserve">contribute an explanation for </w:t>
      </w:r>
      <w:r w:rsidR="00905FCD" w:rsidRPr="005F2ED6">
        <w:t xml:space="preserve">the length and quality of human life, </w:t>
      </w:r>
      <w:r w:rsidR="000B4A5C" w:rsidRPr="005F2ED6">
        <w:t xml:space="preserve">The goal of this study is to </w:t>
      </w:r>
      <w:r w:rsidR="000716ED" w:rsidRPr="005F2ED6">
        <w:t xml:space="preserve">provide evidence to </w:t>
      </w:r>
      <w:r w:rsidR="00812228" w:rsidRPr="005F2ED6">
        <w:t>inform</w:t>
      </w:r>
      <w:r w:rsidR="000716ED" w:rsidRPr="005F2ED6">
        <w:t xml:space="preserve"> policy decisions </w:t>
      </w:r>
      <w:r w:rsidR="00D95680" w:rsidRPr="005F2ED6">
        <w:t>that will</w:t>
      </w:r>
      <w:r w:rsidR="00812228" w:rsidRPr="005F2ED6">
        <w:t xml:space="preserve"> support fair and healthy opportunities internationally.</w:t>
      </w:r>
    </w:p>
    <w:p w14:paraId="2B06D1BB" w14:textId="36849B60" w:rsidR="00CB1DA0" w:rsidRPr="00EA63E6" w:rsidRDefault="00B7051B" w:rsidP="00CB1DA0">
      <w:pPr>
        <w:ind w:firstLine="0"/>
        <w:jc w:val="center"/>
        <w:rPr>
          <w:b/>
          <w:bCs/>
        </w:rPr>
      </w:pPr>
      <w:r>
        <w:rPr>
          <w:b/>
          <w:bCs/>
        </w:rPr>
        <w:t>L</w:t>
      </w:r>
      <w:r w:rsidR="0040659B">
        <w:rPr>
          <w:b/>
          <w:bCs/>
        </w:rPr>
        <w:t>i</w:t>
      </w:r>
      <w:r>
        <w:rPr>
          <w:b/>
          <w:bCs/>
        </w:rPr>
        <w:t>fe-Cycle Allocation Theory</w:t>
      </w:r>
    </w:p>
    <w:p w14:paraId="152D1231" w14:textId="1E6013AE" w:rsidR="0040659B" w:rsidRDefault="0040659B" w:rsidP="0040659B">
      <w:r>
        <w:t xml:space="preserve">The life-cycle allocation theory implies that the distribution of resources at certain stages of age impact </w:t>
      </w:r>
      <w:r w:rsidR="00E079D8">
        <w:t xml:space="preserve">the average </w:t>
      </w:r>
      <w:r>
        <w:t xml:space="preserve">life </w:t>
      </w:r>
      <w:r w:rsidRPr="00D10C53">
        <w:t>expectancy</w:t>
      </w:r>
      <w:r w:rsidR="0058408E" w:rsidRPr="00D10C53">
        <w:t xml:space="preserve"> (</w:t>
      </w:r>
      <w:r w:rsidR="00D10C53" w:rsidRPr="00D10C53">
        <w:t>Ghez and Becker, 1975”</w:t>
      </w:r>
      <w:r w:rsidR="0058408E" w:rsidRPr="00D10C53">
        <w:t>)</w:t>
      </w:r>
      <w:r w:rsidRPr="00D10C53">
        <w:t>.</w:t>
      </w:r>
      <w:r>
        <w:t xml:space="preserve"> Each country </w:t>
      </w:r>
      <w:r w:rsidR="00C71F84">
        <w:t>has a different method to</w:t>
      </w:r>
      <w:r>
        <w:t xml:space="preserve"> allocate resources</w:t>
      </w:r>
      <w:r w:rsidR="008D0266">
        <w:t>. One</w:t>
      </w:r>
      <w:r>
        <w:t xml:space="preserve"> country may allocate more funds in</w:t>
      </w:r>
      <w:r w:rsidR="00DD79C2">
        <w:t>to</w:t>
      </w:r>
      <w:r w:rsidR="008D0266">
        <w:t xml:space="preserve"> </w:t>
      </w:r>
      <w:r w:rsidR="00DD79C2">
        <w:t>education</w:t>
      </w:r>
      <w:r w:rsidR="008D0266">
        <w:t xml:space="preserve"> for younger individuals</w:t>
      </w:r>
      <w:r>
        <w:t xml:space="preserve">, while another country </w:t>
      </w:r>
      <w:r w:rsidR="00DD79C2">
        <w:t>might</w:t>
      </w:r>
      <w:r>
        <w:t xml:space="preserve"> distribute more </w:t>
      </w:r>
      <w:r w:rsidR="008D0266">
        <w:t>healthcare resources for the elderly</w:t>
      </w:r>
      <w:r>
        <w:t xml:space="preserve">. </w:t>
      </w:r>
      <w:r w:rsidR="008D0266">
        <w:t>Th</w:t>
      </w:r>
      <w:r w:rsidR="00074502">
        <w:t xml:space="preserve">e varying distribution </w:t>
      </w:r>
      <w:r w:rsidR="008C152E">
        <w:t xml:space="preserve">will </w:t>
      </w:r>
      <w:r w:rsidR="00074502">
        <w:t>inevitably</w:t>
      </w:r>
      <w:r w:rsidR="008C152E">
        <w:t xml:space="preserve"> influence life expectancy.</w:t>
      </w:r>
    </w:p>
    <w:p w14:paraId="0DF7BCAF" w14:textId="495103BE" w:rsidR="008C152E" w:rsidRDefault="008C152E" w:rsidP="0040659B">
      <w:r>
        <w:t xml:space="preserve">The </w:t>
      </w:r>
      <w:r w:rsidR="00905FE8">
        <w:t>crucial point</w:t>
      </w:r>
      <w:r>
        <w:t xml:space="preserve"> of </w:t>
      </w:r>
      <w:r w:rsidR="007A3E4C">
        <w:t xml:space="preserve">the </w:t>
      </w:r>
      <w:r>
        <w:t xml:space="preserve">life-cycle allocation </w:t>
      </w:r>
      <w:r w:rsidR="00A72D54">
        <w:t xml:space="preserve">theory </w:t>
      </w:r>
      <w:r w:rsidR="00C56F17">
        <w:t xml:space="preserve">is that each life stage has different </w:t>
      </w:r>
      <w:r w:rsidR="00A72D54">
        <w:t xml:space="preserve">resources </w:t>
      </w:r>
      <w:r w:rsidR="00CF570E">
        <w:t>disp</w:t>
      </w:r>
      <w:r w:rsidR="009223CA">
        <w:t xml:space="preserve">ersed. What this study strives to explain is how </w:t>
      </w:r>
      <w:r w:rsidR="008C44DF">
        <w:t xml:space="preserve">certain resources, </w:t>
      </w:r>
      <w:r w:rsidR="00FB198E">
        <w:t>i.e.,</w:t>
      </w:r>
      <w:r w:rsidR="00395DC4">
        <w:t xml:space="preserve"> h</w:t>
      </w:r>
      <w:r w:rsidR="008C44DF">
        <w:t>ealthcare</w:t>
      </w:r>
      <w:r w:rsidR="00395DC4">
        <w:t xml:space="preserve"> and education</w:t>
      </w:r>
      <w:r w:rsidR="008C44DF">
        <w:t>, can contribute to a longer life expectancy</w:t>
      </w:r>
      <w:r w:rsidR="0075596B">
        <w:t xml:space="preserve">. </w:t>
      </w:r>
      <w:r w:rsidR="00DB63DB" w:rsidRPr="0075596B">
        <w:t>“This decrease is a historic change in the development of wo</w:t>
      </w:r>
      <w:r w:rsidR="00A51F11" w:rsidRPr="0075596B">
        <w:t>rldwide health status, and such a sustained trend</w:t>
      </w:r>
      <w:r w:rsidR="00884F28" w:rsidRPr="0075596B">
        <w:t xml:space="preserve"> has never been seen before for national populations…”(</w:t>
      </w:r>
      <w:r w:rsidR="0075596B" w:rsidRPr="0075596B">
        <w:t>Mathers et al.</w:t>
      </w:r>
      <w:r w:rsidR="008811F4">
        <w:t>,</w:t>
      </w:r>
      <w:r w:rsidR="0075596B" w:rsidRPr="0075596B">
        <w:t xml:space="preserve"> 2015</w:t>
      </w:r>
      <w:r w:rsidR="00E55D92" w:rsidRPr="0075596B">
        <w:t>)</w:t>
      </w:r>
      <w:r w:rsidR="008C44DF" w:rsidRPr="0075596B">
        <w:t>.</w:t>
      </w:r>
      <w:r w:rsidR="00714897">
        <w:t xml:space="preserve"> As mentioned earlier, </w:t>
      </w:r>
      <w:r w:rsidR="00395DC4">
        <w:t>choosing to distribute more educational resources</w:t>
      </w:r>
      <w:r w:rsidR="00094484">
        <w:t xml:space="preserve"> to </w:t>
      </w:r>
      <w:r w:rsidR="009D3B52">
        <w:t xml:space="preserve">younger individuals may provide an </w:t>
      </w:r>
      <w:r w:rsidR="00475C5E">
        <w:t xml:space="preserve">appropriate </w:t>
      </w:r>
      <w:r w:rsidR="00C71F84">
        <w:t xml:space="preserve">health </w:t>
      </w:r>
      <w:r w:rsidR="00475C5E">
        <w:t xml:space="preserve">foundation for later stages. Allocating healthcare and medicine to later stages may prolong </w:t>
      </w:r>
      <w:r w:rsidR="004F45FC">
        <w:t>an individual’s life expectancy.</w:t>
      </w:r>
    </w:p>
    <w:p w14:paraId="111804B3" w14:textId="2BD90B2A" w:rsidR="008C7D2C" w:rsidRDefault="003801BA" w:rsidP="0040659B">
      <w:r>
        <w:t xml:space="preserve">This leads me </w:t>
      </w:r>
      <w:r w:rsidR="00570228">
        <w:t xml:space="preserve">into my next point. </w:t>
      </w:r>
      <w:r w:rsidR="00026818">
        <w:t xml:space="preserve">The life-cycle allocation theory </w:t>
      </w:r>
      <w:r w:rsidR="008F36A8">
        <w:t>can</w:t>
      </w:r>
      <w:r w:rsidR="00026818">
        <w:t xml:space="preserve"> point out how </w:t>
      </w:r>
      <w:r w:rsidR="00CD6B57">
        <w:t xml:space="preserve">variations in the amount of available medicine </w:t>
      </w:r>
      <w:r w:rsidR="00DC5FE8">
        <w:t>can impact one’s overall health.</w:t>
      </w:r>
      <w:r w:rsidR="000601AF">
        <w:t xml:space="preserve"> </w:t>
      </w:r>
      <w:r w:rsidR="000601AF" w:rsidRPr="007B742E">
        <w:t>“The age at which Americans begin experiencing a mortality advantage relative to other countries has been pushed back to progressively older ages”(Ho, 202</w:t>
      </w:r>
      <w:r w:rsidR="005D2F15">
        <w:t>2</w:t>
      </w:r>
      <w:r w:rsidR="000601AF" w:rsidRPr="007B742E">
        <w:t xml:space="preserve"> )</w:t>
      </w:r>
      <w:r w:rsidR="00905FE8" w:rsidRPr="007B742E">
        <w:t>.</w:t>
      </w:r>
      <w:r w:rsidR="00905FE8">
        <w:t xml:space="preserve"> </w:t>
      </w:r>
      <w:r w:rsidR="00DC5FE8">
        <w:t xml:space="preserve">This can provide less benefit and more </w:t>
      </w:r>
      <w:r w:rsidR="00E55D92">
        <w:lastRenderedPageBreak/>
        <w:t>consequences than intended.</w:t>
      </w:r>
      <w:r w:rsidR="00E11482" w:rsidRPr="00E11482">
        <w:t xml:space="preserve"> </w:t>
      </w:r>
      <w:r w:rsidR="00E11482">
        <w:t xml:space="preserve">Each demographic group has its own disparity in healthcare and </w:t>
      </w:r>
      <w:r w:rsidR="007A3E4C">
        <w:t>medicine</w:t>
      </w:r>
      <w:r w:rsidR="00C71F84">
        <w:t>.</w:t>
      </w:r>
    </w:p>
    <w:p w14:paraId="6F8C1791" w14:textId="7EEC60DB" w:rsidR="00CB1DA0" w:rsidRPr="00184A0B" w:rsidRDefault="007F0631" w:rsidP="00184A0B">
      <w:r>
        <w:t xml:space="preserve">Another look </w:t>
      </w:r>
      <w:r w:rsidR="007A3E4C">
        <w:t>at the theory</w:t>
      </w:r>
      <w:r w:rsidR="00E71190">
        <w:t xml:space="preserve"> is how the elderly </w:t>
      </w:r>
      <w:r w:rsidR="00F264F7">
        <w:t>stages will face</w:t>
      </w:r>
      <w:r w:rsidR="00CE4C13">
        <w:t xml:space="preserve"> a challenging time </w:t>
      </w:r>
      <w:r w:rsidR="007A3E4C">
        <w:t>medically while</w:t>
      </w:r>
      <w:r w:rsidR="00CE4C13">
        <w:t xml:space="preserve"> maintaining a professional career. </w:t>
      </w:r>
      <w:r w:rsidR="00AA27EA">
        <w:t xml:space="preserve">It is </w:t>
      </w:r>
      <w:r w:rsidR="006461AB">
        <w:t xml:space="preserve">an expectation for those in later stages of life to retire from their chosen career field. In today’s economy, </w:t>
      </w:r>
      <w:r w:rsidR="00A322DC">
        <w:t xml:space="preserve">there is a staggering number of people </w:t>
      </w:r>
      <w:r w:rsidR="00063630">
        <w:t xml:space="preserve">unable to sustain the same economic productivity as in </w:t>
      </w:r>
      <w:r w:rsidR="004E7692">
        <w:t>earlier life stages.</w:t>
      </w:r>
      <w:r w:rsidR="00A322DC">
        <w:t xml:space="preserve"> </w:t>
      </w:r>
      <w:r w:rsidR="00F861A4">
        <w:t>“</w:t>
      </w:r>
      <w:r w:rsidR="000601AF">
        <w:t>T</w:t>
      </w:r>
      <w:r w:rsidR="00F861A4" w:rsidRPr="00F861A4">
        <w:t>he average worker in the sample is observed in the middle of work life, when relative age-earnings growth has mostly disappeared and subsequent living standards are largely set</w:t>
      </w:r>
      <w:r w:rsidR="000601AF">
        <w:t>” (Roser, 1988).</w:t>
      </w:r>
      <w:r w:rsidR="00CE4C13">
        <w:t xml:space="preserve"> </w:t>
      </w:r>
      <w:r w:rsidR="007A3E4C">
        <w:t>We, as a society, will have expectations on how our  later years will turn out. By the midlife point, living standards will remain stagnant. We can</w:t>
      </w:r>
      <w:r w:rsidR="007317C6">
        <w:t xml:space="preserve"> combat</w:t>
      </w:r>
      <w:r w:rsidR="007A3E4C">
        <w:t xml:space="preserve"> this stagnancy</w:t>
      </w:r>
      <w:r w:rsidR="007317C6">
        <w:t xml:space="preserve"> through </w:t>
      </w:r>
      <w:r w:rsidR="00C71F84">
        <w:t>health</w:t>
      </w:r>
      <w:r w:rsidR="007317C6">
        <w:t xml:space="preserve"> spending</w:t>
      </w:r>
      <w:r w:rsidR="00611C95">
        <w:t xml:space="preserve"> ( in the form of immunizations) for the young</w:t>
      </w:r>
      <w:r w:rsidR="007317C6">
        <w:t xml:space="preserve"> and </w:t>
      </w:r>
      <w:r w:rsidR="00811835">
        <w:t>support programs such as Social Security</w:t>
      </w:r>
      <w:r w:rsidR="00611C95">
        <w:t xml:space="preserve"> for the elderly</w:t>
      </w:r>
      <w:r w:rsidR="00811835">
        <w:t>.</w:t>
      </w:r>
    </w:p>
    <w:p w14:paraId="002F861F" w14:textId="77777777" w:rsidR="00C164A7" w:rsidRDefault="00C164A7">
      <w:pPr>
        <w:rPr>
          <w:b/>
          <w:bCs/>
        </w:rPr>
      </w:pPr>
      <w:r>
        <w:rPr>
          <w:b/>
          <w:bCs/>
        </w:rPr>
        <w:br w:type="page"/>
      </w:r>
    </w:p>
    <w:p w14:paraId="44E26912" w14:textId="2F5C3A26" w:rsidR="00CB1DA0" w:rsidRPr="00915CBA" w:rsidRDefault="00915CBA" w:rsidP="00CB1DA0">
      <w:pPr>
        <w:ind w:firstLine="0"/>
        <w:jc w:val="center"/>
        <w:rPr>
          <w:b/>
          <w:bCs/>
        </w:rPr>
      </w:pPr>
      <w:r w:rsidRPr="00915CBA">
        <w:rPr>
          <w:b/>
          <w:bCs/>
        </w:rPr>
        <w:lastRenderedPageBreak/>
        <w:t>Methodology</w:t>
      </w:r>
    </w:p>
    <w:p w14:paraId="11085316" w14:textId="3D6C3C63" w:rsidR="00CB1DA0" w:rsidRDefault="001D3905" w:rsidP="00CB1DA0">
      <w:pPr>
        <w:ind w:firstLine="0"/>
        <w:rPr>
          <w:b/>
          <w:bCs/>
        </w:rPr>
      </w:pPr>
      <w:r w:rsidRPr="001D3905">
        <w:rPr>
          <w:b/>
          <w:bCs/>
        </w:rPr>
        <w:t>Fixed Effects vs. Random Effects</w:t>
      </w:r>
      <w:r w:rsidR="00566F7C">
        <w:rPr>
          <w:b/>
          <w:bCs/>
        </w:rPr>
        <w:t xml:space="preserve"> vs. Pooled </w:t>
      </w:r>
      <w:r w:rsidR="009A4BAF">
        <w:rPr>
          <w:b/>
          <w:bCs/>
        </w:rPr>
        <w:t>Effects</w:t>
      </w:r>
    </w:p>
    <w:p w14:paraId="0263431F" w14:textId="42B881A0" w:rsidR="00A91279" w:rsidRDefault="00A91279" w:rsidP="00CB1DA0">
      <w:pPr>
        <w:ind w:firstLine="0"/>
      </w:pPr>
      <w:r>
        <w:rPr>
          <w:b/>
          <w:bCs/>
        </w:rPr>
        <w:tab/>
      </w:r>
      <w:r w:rsidRPr="00A91279">
        <w:t>The</w:t>
      </w:r>
      <w:r>
        <w:t xml:space="preserve"> following results will use </w:t>
      </w:r>
      <w:r w:rsidR="008D0A2B">
        <w:t xml:space="preserve">the </w:t>
      </w:r>
      <w:r>
        <w:t>fixed effects</w:t>
      </w:r>
      <w:r w:rsidR="00566F7C">
        <w:t xml:space="preserve"> </w:t>
      </w:r>
      <w:r w:rsidR="008D0A2B">
        <w:t>model for each,</w:t>
      </w:r>
      <w:r>
        <w:t xml:space="preserve"> as opposed to random effects</w:t>
      </w:r>
      <w:r w:rsidR="00566F7C">
        <w:t xml:space="preserve"> or pooled effects</w:t>
      </w:r>
      <w:r>
        <w:t xml:space="preserve">. </w:t>
      </w:r>
      <w:r w:rsidR="002812C1">
        <w:t>There</w:t>
      </w:r>
      <w:r w:rsidR="0004758B">
        <w:t xml:space="preserve"> </w:t>
      </w:r>
      <w:r w:rsidR="008D0A2B">
        <w:t xml:space="preserve">are </w:t>
      </w:r>
      <w:r w:rsidR="002812C1">
        <w:t xml:space="preserve">multiple </w:t>
      </w:r>
      <w:r w:rsidR="0004758B">
        <w:t>constant</w:t>
      </w:r>
      <w:r w:rsidR="002812C1">
        <w:t>s</w:t>
      </w:r>
      <w:r w:rsidR="0004758B">
        <w:t xml:space="preserve"> (the country)</w:t>
      </w:r>
      <w:r w:rsidR="002812C1">
        <w:t xml:space="preserve"> with differing years.</w:t>
      </w:r>
      <w:r w:rsidR="0004758B">
        <w:t xml:space="preserve"> </w:t>
      </w:r>
      <w:r w:rsidR="008D0461">
        <w:t>The only change in the data is the year recorded.</w:t>
      </w:r>
      <w:r w:rsidR="0088113E">
        <w:t xml:space="preserve"> </w:t>
      </w:r>
      <w:r w:rsidR="00932246">
        <w:t>Keeping a constant in the data allows for comparisons between each country in a certain year.</w:t>
      </w:r>
      <w:r w:rsidR="00566F7C">
        <w:t xml:space="preserve"> </w:t>
      </w:r>
    </w:p>
    <w:p w14:paraId="4028CDF3" w14:textId="3B20C235" w:rsidR="00C71F84" w:rsidRDefault="00C71F84" w:rsidP="00CB1DA0">
      <w:pPr>
        <w:ind w:firstLine="0"/>
      </w:pPr>
      <w:r>
        <w:tab/>
      </w:r>
      <w:r w:rsidR="00D569C1">
        <w:t>To</w:t>
      </w:r>
      <w:r>
        <w:t xml:space="preserve"> determine if </w:t>
      </w:r>
      <w:r w:rsidR="002812C1">
        <w:t xml:space="preserve">the </w:t>
      </w:r>
      <w:r>
        <w:t xml:space="preserve">random effects </w:t>
      </w:r>
      <w:r w:rsidR="002812C1">
        <w:t xml:space="preserve">model </w:t>
      </w:r>
      <w:r>
        <w:t xml:space="preserve">is appropriate, a </w:t>
      </w:r>
      <w:r w:rsidR="008D0A2B" w:rsidRPr="008D0A2B">
        <w:rPr>
          <w:rFonts w:ascii="Times New Roman" w:hAnsi="Times New Roman" w:cs="Times New Roman"/>
          <w:kern w:val="0"/>
        </w:rPr>
        <w:t xml:space="preserve">‘Test for differing group intercepts’ </w:t>
      </w:r>
      <w:r>
        <w:t xml:space="preserve">will be performed for each regression. </w:t>
      </w:r>
      <w:r w:rsidR="008D0A2B" w:rsidRPr="008D0A2B">
        <w:rPr>
          <w:rFonts w:ascii="Times New Roman" w:hAnsi="Times New Roman" w:cs="Times New Roman"/>
          <w:kern w:val="0"/>
        </w:rPr>
        <w:t xml:space="preserve">The </w:t>
      </w:r>
      <w:r w:rsidR="008D0A2B">
        <w:rPr>
          <w:rFonts w:ascii="Times New Roman" w:hAnsi="Times New Roman" w:cs="Times New Roman"/>
          <w:kern w:val="0"/>
        </w:rPr>
        <w:t xml:space="preserve">test </w:t>
      </w:r>
      <w:r w:rsidR="008D0A2B" w:rsidRPr="008D0A2B">
        <w:rPr>
          <w:rFonts w:ascii="Times New Roman" w:hAnsi="Times New Roman" w:cs="Times New Roman"/>
          <w:kern w:val="0"/>
        </w:rPr>
        <w:t xml:space="preserve"> establishes if fixed effects is a more appropriate fit than random effects and pooled effects</w:t>
      </w:r>
      <w:r w:rsidR="008D0A2B">
        <w:rPr>
          <w:rFonts w:ascii="Times New Roman" w:hAnsi="Times New Roman" w:cs="Times New Roman"/>
          <w:kern w:val="0"/>
        </w:rPr>
        <w:t xml:space="preserve"> for the regression</w:t>
      </w:r>
      <w:r w:rsidR="00905FE8" w:rsidRPr="008D0A2B">
        <w:rPr>
          <w:rFonts w:ascii="Times New Roman" w:hAnsi="Times New Roman" w:cs="Times New Roman"/>
          <w:kern w:val="0"/>
        </w:rPr>
        <w:t xml:space="preserve">. </w:t>
      </w:r>
      <w:r w:rsidRPr="008D0A2B">
        <w:t xml:space="preserve">The </w:t>
      </w:r>
      <w:r w:rsidR="008D0A2B" w:rsidRPr="008D0A2B">
        <w:rPr>
          <w:rFonts w:ascii="Times New Roman" w:hAnsi="Times New Roman" w:cs="Times New Roman"/>
          <w:kern w:val="0"/>
        </w:rPr>
        <w:t>‘Test for differing group intercepts’</w:t>
      </w:r>
      <w:r>
        <w:t xml:space="preserve"> will </w:t>
      </w:r>
      <w:r w:rsidR="008D0A2B">
        <w:t>conclude</w:t>
      </w:r>
      <w:r>
        <w:t xml:space="preserve"> if the </w:t>
      </w:r>
      <w:r w:rsidR="008D0A2B">
        <w:t>variable estimates are consistent. Any test with a p-value greater than 0.05 has consistent estimates. If the test returns inconsistent estimates the fixed-effects model will be used. For each regression in this study, the test returns inconsistent estimates where the p-value is less than 0.05.</w:t>
      </w:r>
    </w:p>
    <w:p w14:paraId="01A34A10" w14:textId="3C6A9C66" w:rsidR="00566F7C" w:rsidRDefault="00566F7C" w:rsidP="00566F7C">
      <w:r w:rsidRPr="009F69AD">
        <w:t xml:space="preserve">For </w:t>
      </w:r>
      <w:r w:rsidR="001537A6">
        <w:t>all three</w:t>
      </w:r>
      <w:r w:rsidRPr="009F69AD">
        <w:t xml:space="preserve"> instances, </w:t>
      </w:r>
      <w:r w:rsidR="002812C1">
        <w:t xml:space="preserve">the </w:t>
      </w:r>
      <w:r w:rsidR="009A4BAF" w:rsidRPr="009F69AD">
        <w:t xml:space="preserve">pooled effects </w:t>
      </w:r>
      <w:r w:rsidR="002812C1">
        <w:t xml:space="preserve">model </w:t>
      </w:r>
      <w:r w:rsidR="009A4BAF" w:rsidRPr="009F69AD">
        <w:t>will</w:t>
      </w:r>
      <w:r w:rsidR="001537A6">
        <w:t xml:space="preserve"> not</w:t>
      </w:r>
      <w:r w:rsidR="009A4BAF" w:rsidRPr="009F69AD">
        <w:t xml:space="preserve"> be utilized.</w:t>
      </w:r>
      <w:r w:rsidR="009A4BAF">
        <w:t xml:space="preserve"> </w:t>
      </w:r>
      <w:r w:rsidR="00F075A4">
        <w:t xml:space="preserve">Pooled effects </w:t>
      </w:r>
      <w:proofErr w:type="gramStart"/>
      <w:r w:rsidR="00F075A4">
        <w:t>is</w:t>
      </w:r>
      <w:proofErr w:type="gramEnd"/>
      <w:r w:rsidR="00F075A4">
        <w:t xml:space="preserve"> performed </w:t>
      </w:r>
      <w:r w:rsidR="000D1AA8">
        <w:t xml:space="preserve">in </w:t>
      </w:r>
      <w:r w:rsidR="001537A6">
        <w:t>a</w:t>
      </w:r>
      <w:r w:rsidR="000D1AA8">
        <w:t xml:space="preserve"> regression due to the added effects of </w:t>
      </w:r>
      <w:r w:rsidR="001537A6">
        <w:t>new variables</w:t>
      </w:r>
      <w:r w:rsidR="000D1AA8">
        <w:t>.</w:t>
      </w:r>
      <w:r w:rsidR="001537A6">
        <w:t xml:space="preserve"> </w:t>
      </w:r>
      <w:r w:rsidR="00BE1CEC">
        <w:t>Usually, large sets of data are interpreted in a broader sense to account for more than one changing variable. In this study,</w:t>
      </w:r>
      <w:r w:rsidR="001537A6">
        <w:t xml:space="preserve"> the only change for each observation, besides country, is the year.</w:t>
      </w:r>
      <w:r w:rsidR="001874E8">
        <w:t xml:space="preserve"> </w:t>
      </w:r>
    </w:p>
    <w:p w14:paraId="1E32389F" w14:textId="335B7377" w:rsidR="00474DDD" w:rsidRDefault="00474DDD" w:rsidP="00CB1DA0">
      <w:pPr>
        <w:ind w:firstLine="0"/>
        <w:rPr>
          <w:b/>
          <w:bCs/>
        </w:rPr>
      </w:pPr>
      <w:r>
        <w:rPr>
          <w:b/>
          <w:bCs/>
        </w:rPr>
        <w:t>Variables</w:t>
      </w:r>
    </w:p>
    <w:p w14:paraId="37F9C4E4" w14:textId="37B2AC25" w:rsidR="003B7632" w:rsidRPr="00722EAB" w:rsidRDefault="003B7632" w:rsidP="002E5A6E">
      <w:r>
        <w:tab/>
      </w:r>
      <w:r w:rsidR="00735AFF">
        <w:t xml:space="preserve">The dataset </w:t>
      </w:r>
      <w:r w:rsidR="007A3E4C">
        <w:t>was</w:t>
      </w:r>
      <w:r w:rsidR="00735AFF">
        <w:t xml:space="preserve"> obtained through the World Health Organization (WHO)</w:t>
      </w:r>
      <w:r w:rsidR="009C79CA">
        <w:t xml:space="preserve"> and presented in </w:t>
      </w:r>
      <w:r w:rsidR="007A3E4C">
        <w:t>a</w:t>
      </w:r>
      <w:r w:rsidR="009C79CA">
        <w:t xml:space="preserve"> panel format</w:t>
      </w:r>
      <w:r w:rsidR="00735AFF">
        <w:t>.</w:t>
      </w:r>
      <w:r w:rsidR="00C9411B">
        <w:t xml:space="preserve"> </w:t>
      </w:r>
      <w:r w:rsidR="002E5A6E">
        <w:t xml:space="preserve">It was aggregated </w:t>
      </w:r>
      <w:r w:rsidR="0020223F">
        <w:t>through</w:t>
      </w:r>
      <w:r w:rsidR="002E5A6E">
        <w:t xml:space="preserve"> Kaggle</w:t>
      </w:r>
      <w:r w:rsidR="00133418">
        <w:t xml:space="preserve">. </w:t>
      </w:r>
      <w:r w:rsidR="00AC3DC3">
        <w:t xml:space="preserve">Each variable </w:t>
      </w:r>
      <w:r w:rsidR="0020223F">
        <w:t>uses</w:t>
      </w:r>
      <w:r w:rsidR="00AC3DC3">
        <w:t xml:space="preserve">  a numerical value or a dummy variable. The variable of variable of interest is total expenditures. </w:t>
      </w:r>
      <w:r w:rsidR="00213328">
        <w:t xml:space="preserve">There are various countries </w:t>
      </w:r>
      <w:r w:rsidR="00433D28">
        <w:t xml:space="preserve">(over 3000 observations) </w:t>
      </w:r>
      <w:r w:rsidR="00213328">
        <w:t xml:space="preserve">recorded </w:t>
      </w:r>
      <w:r w:rsidR="006C08AF">
        <w:t>from 2000-2012 with each variable</w:t>
      </w:r>
      <w:r w:rsidR="00905FE8">
        <w:t xml:space="preserve">. </w:t>
      </w:r>
      <w:r w:rsidR="006C08AF">
        <w:t xml:space="preserve">Due to the </w:t>
      </w:r>
      <w:r w:rsidR="00935E46">
        <w:t>recen</w:t>
      </w:r>
      <w:r w:rsidR="00F87B31">
        <w:t>cy</w:t>
      </w:r>
      <w:r w:rsidR="00684F83">
        <w:t xml:space="preserve"> of some data, there are empty values in some of the</w:t>
      </w:r>
      <w:r w:rsidR="00E80440">
        <w:t xml:space="preserve"> medical variables. </w:t>
      </w:r>
      <w:r w:rsidR="00C9411B">
        <w:t xml:space="preserve">The dataset </w:t>
      </w:r>
      <w:r w:rsidR="00C9411B">
        <w:lastRenderedPageBreak/>
        <w:t xml:space="preserve">includes several diseases and health factors to measure the effect of modern medicine. </w:t>
      </w:r>
      <w:r w:rsidR="0081316E">
        <w:t>Diphtheria</w:t>
      </w:r>
      <w:r w:rsidR="00C9411B">
        <w:t xml:space="preserve">, </w:t>
      </w:r>
      <w:r w:rsidR="002E5A6E">
        <w:t>H</w:t>
      </w:r>
      <w:r w:rsidR="00C9411B">
        <w:t>epatitis</w:t>
      </w:r>
      <w:r w:rsidR="002E5A6E">
        <w:t xml:space="preserve"> B</w:t>
      </w:r>
      <w:r w:rsidR="00C9411B">
        <w:t xml:space="preserve">, </w:t>
      </w:r>
      <w:r w:rsidR="007A3E4C">
        <w:t xml:space="preserve">and </w:t>
      </w:r>
      <w:r w:rsidR="00545E8D">
        <w:t>P</w:t>
      </w:r>
      <w:r w:rsidR="00C9411B">
        <w:t>olio</w:t>
      </w:r>
      <w:r w:rsidR="007A3E4C">
        <w:t xml:space="preserve"> </w:t>
      </w:r>
      <w:r w:rsidR="00C9411B">
        <w:t>are some of those factors.</w:t>
      </w:r>
      <w:r w:rsidR="002E5A6E">
        <w:t xml:space="preserve"> </w:t>
      </w:r>
      <w:r>
        <w:t>All variables used in the dataset are listed below with their definition.</w:t>
      </w:r>
    </w:p>
    <w:tbl>
      <w:tblPr>
        <w:tblStyle w:val="APAReport"/>
        <w:tblW w:w="0" w:type="auto"/>
        <w:tblLook w:val="04A0" w:firstRow="1" w:lastRow="0" w:firstColumn="1" w:lastColumn="0" w:noHBand="0" w:noVBand="1"/>
      </w:tblPr>
      <w:tblGrid>
        <w:gridCol w:w="4675"/>
        <w:gridCol w:w="4675"/>
      </w:tblGrid>
      <w:tr w:rsidR="00184A0B" w:rsidRPr="00722EAB" w14:paraId="436C318D" w14:textId="77777777" w:rsidTr="00184A0B">
        <w:trPr>
          <w:cnfStyle w:val="100000000000" w:firstRow="1" w:lastRow="0" w:firstColumn="0" w:lastColumn="0" w:oddVBand="0" w:evenVBand="0" w:oddHBand="0" w:evenHBand="0" w:firstRowFirstColumn="0" w:firstRowLastColumn="0" w:lastRowFirstColumn="0" w:lastRowLastColumn="0"/>
        </w:trPr>
        <w:tc>
          <w:tcPr>
            <w:tcW w:w="4675" w:type="dxa"/>
          </w:tcPr>
          <w:p w14:paraId="168E2F8E" w14:textId="20DA3941" w:rsidR="00184A0B" w:rsidRPr="00184A0B" w:rsidRDefault="00184A0B" w:rsidP="00184A0B">
            <w:pPr>
              <w:jc w:val="center"/>
              <w:rPr>
                <w:b/>
                <w:bCs/>
              </w:rPr>
            </w:pPr>
            <w:r w:rsidRPr="00184A0B">
              <w:rPr>
                <w:b/>
                <w:bCs/>
              </w:rPr>
              <w:t>Variable</w:t>
            </w:r>
          </w:p>
        </w:tc>
        <w:tc>
          <w:tcPr>
            <w:tcW w:w="4675" w:type="dxa"/>
          </w:tcPr>
          <w:p w14:paraId="67C31E3E" w14:textId="1902672B" w:rsidR="00184A0B" w:rsidRPr="00184A0B" w:rsidRDefault="00184A0B" w:rsidP="00184A0B">
            <w:pPr>
              <w:jc w:val="center"/>
              <w:rPr>
                <w:b/>
                <w:bCs/>
              </w:rPr>
            </w:pPr>
            <w:r w:rsidRPr="00184A0B">
              <w:rPr>
                <w:b/>
                <w:bCs/>
              </w:rPr>
              <w:t>Definition</w:t>
            </w:r>
          </w:p>
        </w:tc>
      </w:tr>
      <w:tr w:rsidR="00573A38" w:rsidRPr="00722EAB" w14:paraId="3E74ABA3" w14:textId="77777777" w:rsidTr="00184A0B">
        <w:tc>
          <w:tcPr>
            <w:tcW w:w="4675" w:type="dxa"/>
          </w:tcPr>
          <w:p w14:paraId="35020DE2" w14:textId="4E2F1052" w:rsidR="0009623B" w:rsidRPr="00722EAB" w:rsidRDefault="0009623B" w:rsidP="00CB1DA0">
            <w:r w:rsidRPr="00722EAB">
              <w:t>Country</w:t>
            </w:r>
          </w:p>
        </w:tc>
        <w:tc>
          <w:tcPr>
            <w:tcW w:w="4675" w:type="dxa"/>
          </w:tcPr>
          <w:p w14:paraId="2ADB69C0" w14:textId="19B5B3CE" w:rsidR="00573A38" w:rsidRPr="00722EAB" w:rsidRDefault="00722EAB" w:rsidP="00CB1DA0">
            <w:r w:rsidRPr="00722EAB">
              <w:t xml:space="preserve">Dummy variable. </w:t>
            </w:r>
          </w:p>
        </w:tc>
      </w:tr>
      <w:tr w:rsidR="00573A38" w:rsidRPr="00722EAB" w14:paraId="0169F7A3" w14:textId="77777777" w:rsidTr="00184A0B">
        <w:tc>
          <w:tcPr>
            <w:tcW w:w="4675" w:type="dxa"/>
          </w:tcPr>
          <w:p w14:paraId="7FE96919" w14:textId="3BC8C34A" w:rsidR="00573A38" w:rsidRPr="00722EAB" w:rsidRDefault="0009623B" w:rsidP="00CB1DA0">
            <w:r w:rsidRPr="00722EAB">
              <w:t>Life Expectancy</w:t>
            </w:r>
          </w:p>
        </w:tc>
        <w:tc>
          <w:tcPr>
            <w:tcW w:w="4675" w:type="dxa"/>
          </w:tcPr>
          <w:p w14:paraId="3871D0F4" w14:textId="5062B6B9" w:rsidR="00573A38" w:rsidRPr="00722EAB" w:rsidRDefault="00ED0B0D" w:rsidP="00CB1DA0">
            <w:r>
              <w:t xml:space="preserve">Dummy variable. </w:t>
            </w:r>
            <w:r w:rsidR="008501EF">
              <w:t>Age in years</w:t>
            </w:r>
          </w:p>
        </w:tc>
      </w:tr>
      <w:tr w:rsidR="00573A38" w:rsidRPr="00722EAB" w14:paraId="62FC5BC2" w14:textId="77777777" w:rsidTr="00184A0B">
        <w:tc>
          <w:tcPr>
            <w:tcW w:w="4675" w:type="dxa"/>
          </w:tcPr>
          <w:p w14:paraId="594DD745" w14:textId="75DCE2DA" w:rsidR="0009623B" w:rsidRPr="00722EAB" w:rsidRDefault="0009623B" w:rsidP="00CB1DA0">
            <w:r w:rsidRPr="00722EAB">
              <w:t>Adult Mortality</w:t>
            </w:r>
          </w:p>
        </w:tc>
        <w:tc>
          <w:tcPr>
            <w:tcW w:w="4675" w:type="dxa"/>
          </w:tcPr>
          <w:p w14:paraId="1A484E9B" w14:textId="23EA5746" w:rsidR="00573A38" w:rsidRPr="00722EAB" w:rsidRDefault="00D27281" w:rsidP="00CB1DA0">
            <w:r>
              <w:t>Adult Mortality Rates of both sexes (probability of dying between 15 and 60 years per 1000 population)</w:t>
            </w:r>
          </w:p>
        </w:tc>
      </w:tr>
      <w:tr w:rsidR="00573A38" w:rsidRPr="00722EAB" w14:paraId="441ED769" w14:textId="77777777" w:rsidTr="00184A0B">
        <w:tc>
          <w:tcPr>
            <w:tcW w:w="4675" w:type="dxa"/>
          </w:tcPr>
          <w:p w14:paraId="06591E50" w14:textId="55CC87D3" w:rsidR="00573A38" w:rsidRPr="00722EAB" w:rsidRDefault="0009623B" w:rsidP="00CB1DA0">
            <w:r w:rsidRPr="00722EAB">
              <w:t>Infant Deaths</w:t>
            </w:r>
          </w:p>
        </w:tc>
        <w:tc>
          <w:tcPr>
            <w:tcW w:w="4675" w:type="dxa"/>
          </w:tcPr>
          <w:p w14:paraId="23EC87B4" w14:textId="5D058BB2" w:rsidR="00573A38" w:rsidRPr="00722EAB" w:rsidRDefault="00D27281" w:rsidP="00CB1DA0">
            <w:r>
              <w:t>Number of Infant Deaths per 1000 population</w:t>
            </w:r>
          </w:p>
        </w:tc>
      </w:tr>
      <w:tr w:rsidR="00573A38" w:rsidRPr="00722EAB" w14:paraId="2645FE5C" w14:textId="77777777" w:rsidTr="00184A0B">
        <w:tc>
          <w:tcPr>
            <w:tcW w:w="4675" w:type="dxa"/>
          </w:tcPr>
          <w:p w14:paraId="3AAAAB07" w14:textId="5FB0A4FE" w:rsidR="00573A38" w:rsidRPr="00722EAB" w:rsidRDefault="00A17B10" w:rsidP="00CB1DA0">
            <w:r w:rsidRPr="00722EAB">
              <w:t>Percentage Expenditure</w:t>
            </w:r>
          </w:p>
        </w:tc>
        <w:tc>
          <w:tcPr>
            <w:tcW w:w="4675" w:type="dxa"/>
          </w:tcPr>
          <w:p w14:paraId="407010EC" w14:textId="661DEA9C" w:rsidR="00573A38" w:rsidRPr="00722EAB" w:rsidRDefault="007C5FBD" w:rsidP="00CB1DA0">
            <w:r>
              <w:t xml:space="preserve">Expenditure on health as a percentage of Gross Domestic Product per </w:t>
            </w:r>
            <w:r w:rsidR="003F3AA3">
              <w:t>capita (</w:t>
            </w:r>
            <w:r>
              <w:t>%)</w:t>
            </w:r>
          </w:p>
        </w:tc>
      </w:tr>
      <w:tr w:rsidR="00573A38" w:rsidRPr="00722EAB" w14:paraId="57F4B088" w14:textId="77777777" w:rsidTr="00184A0B">
        <w:tc>
          <w:tcPr>
            <w:tcW w:w="4675" w:type="dxa"/>
          </w:tcPr>
          <w:p w14:paraId="663BD3FB" w14:textId="642DF781" w:rsidR="00573A38" w:rsidRPr="00722EAB" w:rsidRDefault="00A17B10" w:rsidP="00CB1DA0">
            <w:r w:rsidRPr="00722EAB">
              <w:t>Hepatitis B</w:t>
            </w:r>
          </w:p>
        </w:tc>
        <w:tc>
          <w:tcPr>
            <w:tcW w:w="4675" w:type="dxa"/>
          </w:tcPr>
          <w:p w14:paraId="204025BE" w14:textId="3A753CEA" w:rsidR="00573A38" w:rsidRPr="00722EAB" w:rsidRDefault="00A41F50" w:rsidP="00CB1DA0">
            <w:r>
              <w:t>I</w:t>
            </w:r>
            <w:r w:rsidR="00931627">
              <w:t>mmunization coverage among 1-year-olds (%)</w:t>
            </w:r>
          </w:p>
        </w:tc>
      </w:tr>
      <w:tr w:rsidR="00A17B10" w:rsidRPr="00722EAB" w14:paraId="0112EA90" w14:textId="77777777" w:rsidTr="00184A0B">
        <w:tc>
          <w:tcPr>
            <w:tcW w:w="4675" w:type="dxa"/>
          </w:tcPr>
          <w:p w14:paraId="1F7337C3" w14:textId="21BE903D" w:rsidR="00A17B10" w:rsidRPr="00722EAB" w:rsidRDefault="00446041" w:rsidP="00CB1DA0">
            <w:r w:rsidRPr="00722EAB">
              <w:t>Under Five Deaths</w:t>
            </w:r>
          </w:p>
        </w:tc>
        <w:tc>
          <w:tcPr>
            <w:tcW w:w="4675" w:type="dxa"/>
          </w:tcPr>
          <w:p w14:paraId="222F0657" w14:textId="622C6706" w:rsidR="00A17B10" w:rsidRPr="00722EAB" w:rsidRDefault="003475D9" w:rsidP="00CB1DA0">
            <w:r>
              <w:t>Number of under-five deaths per 1000 population</w:t>
            </w:r>
          </w:p>
        </w:tc>
      </w:tr>
      <w:tr w:rsidR="00446041" w:rsidRPr="00722EAB" w14:paraId="5C6060EB" w14:textId="77777777" w:rsidTr="00184A0B">
        <w:tc>
          <w:tcPr>
            <w:tcW w:w="4675" w:type="dxa"/>
          </w:tcPr>
          <w:p w14:paraId="3BD96F08" w14:textId="3F503566" w:rsidR="00446041" w:rsidRPr="00722EAB" w:rsidRDefault="00446041" w:rsidP="00CB1DA0">
            <w:r w:rsidRPr="00722EAB">
              <w:t>Polio</w:t>
            </w:r>
          </w:p>
        </w:tc>
        <w:tc>
          <w:tcPr>
            <w:tcW w:w="4675" w:type="dxa"/>
          </w:tcPr>
          <w:p w14:paraId="1F856AD6" w14:textId="3E0BF28E" w:rsidR="00446041" w:rsidRPr="00722EAB" w:rsidRDefault="003475D9" w:rsidP="00CB1DA0">
            <w:r>
              <w:t>Immunization coverage among 1-year-olds (%)</w:t>
            </w:r>
          </w:p>
        </w:tc>
      </w:tr>
      <w:tr w:rsidR="00446041" w:rsidRPr="00722EAB" w14:paraId="1419F558" w14:textId="77777777" w:rsidTr="00184A0B">
        <w:tc>
          <w:tcPr>
            <w:tcW w:w="4675" w:type="dxa"/>
          </w:tcPr>
          <w:p w14:paraId="3ACDD4DC" w14:textId="5DA29D55" w:rsidR="00446041" w:rsidRPr="00722EAB" w:rsidRDefault="00446041" w:rsidP="00CB1DA0">
            <w:r w:rsidRPr="00722EAB">
              <w:t>Total Expenditures</w:t>
            </w:r>
          </w:p>
        </w:tc>
        <w:tc>
          <w:tcPr>
            <w:tcW w:w="4675" w:type="dxa"/>
          </w:tcPr>
          <w:p w14:paraId="056BD012" w14:textId="04ACB0A0" w:rsidR="00446041" w:rsidRPr="00722EAB" w:rsidRDefault="00A84415" w:rsidP="00CB1DA0">
            <w:r>
              <w:t>General government expenditure on health as a percentage of total government expenditure (%)</w:t>
            </w:r>
          </w:p>
        </w:tc>
      </w:tr>
      <w:tr w:rsidR="00446041" w:rsidRPr="00722EAB" w14:paraId="7F71C171" w14:textId="77777777" w:rsidTr="00184A0B">
        <w:tc>
          <w:tcPr>
            <w:tcW w:w="4675" w:type="dxa"/>
          </w:tcPr>
          <w:p w14:paraId="4A17AA8D" w14:textId="726E9DA6" w:rsidR="00446041" w:rsidRPr="00722EAB" w:rsidRDefault="00446041" w:rsidP="00CB1DA0">
            <w:r w:rsidRPr="00722EAB">
              <w:t>Diphtheria</w:t>
            </w:r>
          </w:p>
        </w:tc>
        <w:tc>
          <w:tcPr>
            <w:tcW w:w="4675" w:type="dxa"/>
          </w:tcPr>
          <w:p w14:paraId="08F6CF0C" w14:textId="7F0D9587" w:rsidR="00446041" w:rsidRPr="00722EAB" w:rsidRDefault="00633F8F" w:rsidP="00CB1DA0">
            <w:r>
              <w:t>Immunization coverage among 1-year-olds (%)</w:t>
            </w:r>
          </w:p>
        </w:tc>
      </w:tr>
      <w:tr w:rsidR="005D4D4E" w:rsidRPr="00722EAB" w14:paraId="630FC93D" w14:textId="77777777" w:rsidTr="00184A0B">
        <w:tc>
          <w:tcPr>
            <w:tcW w:w="4675" w:type="dxa"/>
          </w:tcPr>
          <w:p w14:paraId="3841637A" w14:textId="2228DC11" w:rsidR="005D4D4E" w:rsidRPr="00722EAB" w:rsidRDefault="005D4D4E" w:rsidP="005D4D4E">
            <w:r w:rsidRPr="00722EAB">
              <w:t>GDP</w:t>
            </w:r>
          </w:p>
        </w:tc>
        <w:tc>
          <w:tcPr>
            <w:tcW w:w="4675" w:type="dxa"/>
          </w:tcPr>
          <w:p w14:paraId="3F921A82" w14:textId="26877CEA" w:rsidR="005D4D4E" w:rsidRPr="00722EAB" w:rsidRDefault="00633F8F" w:rsidP="00CB1DA0">
            <w:r>
              <w:t>Gross Domestic Product per capita (in USD)</w:t>
            </w:r>
          </w:p>
        </w:tc>
      </w:tr>
      <w:tr w:rsidR="005D4D4E" w:rsidRPr="00722EAB" w14:paraId="773CB2D9" w14:textId="77777777" w:rsidTr="00184A0B">
        <w:tc>
          <w:tcPr>
            <w:tcW w:w="4675" w:type="dxa"/>
          </w:tcPr>
          <w:p w14:paraId="65BD0D9A" w14:textId="47702508" w:rsidR="005D4D4E" w:rsidRPr="00722EAB" w:rsidRDefault="005D4D4E" w:rsidP="005D4D4E">
            <w:r w:rsidRPr="00722EAB">
              <w:t>Population</w:t>
            </w:r>
          </w:p>
        </w:tc>
        <w:tc>
          <w:tcPr>
            <w:tcW w:w="4675" w:type="dxa"/>
          </w:tcPr>
          <w:p w14:paraId="20BFC030" w14:textId="53FF4DC2" w:rsidR="005D4D4E" w:rsidRPr="00722EAB" w:rsidRDefault="005D4D4E" w:rsidP="00CB1DA0"/>
        </w:tc>
      </w:tr>
      <w:tr w:rsidR="0081316E" w:rsidRPr="00722EAB" w14:paraId="0BAEE767" w14:textId="77777777" w:rsidTr="00184A0B">
        <w:tc>
          <w:tcPr>
            <w:tcW w:w="4675" w:type="dxa"/>
          </w:tcPr>
          <w:p w14:paraId="40198D94" w14:textId="51DED1A8" w:rsidR="0081316E" w:rsidRPr="00722EAB" w:rsidRDefault="0081316E" w:rsidP="005D4D4E">
            <w:r w:rsidRPr="00722EAB">
              <w:t>Schooling</w:t>
            </w:r>
          </w:p>
        </w:tc>
        <w:tc>
          <w:tcPr>
            <w:tcW w:w="4675" w:type="dxa"/>
          </w:tcPr>
          <w:p w14:paraId="2F5930B9" w14:textId="5738001E" w:rsidR="0081316E" w:rsidRPr="00722EAB" w:rsidRDefault="0081316E" w:rsidP="00CB1DA0">
            <w:r>
              <w:t>Number of years of Schooling(years)</w:t>
            </w:r>
          </w:p>
        </w:tc>
      </w:tr>
    </w:tbl>
    <w:p w14:paraId="25D52E5F" w14:textId="77777777" w:rsidR="00474DDD" w:rsidRPr="001D3905" w:rsidRDefault="00474DDD" w:rsidP="00CB1DA0">
      <w:pPr>
        <w:ind w:firstLine="0"/>
        <w:rPr>
          <w:b/>
          <w:bCs/>
        </w:rPr>
      </w:pPr>
    </w:p>
    <w:p w14:paraId="105589B3" w14:textId="430FC034" w:rsidR="007B1FDC" w:rsidRPr="007B1FDC" w:rsidRDefault="007B1FDC" w:rsidP="007B1FDC">
      <w:pPr>
        <w:ind w:firstLine="0"/>
        <w:rPr>
          <w:b/>
        </w:rPr>
      </w:pPr>
      <w:r w:rsidRPr="007B1FDC">
        <w:rPr>
          <w:b/>
        </w:rPr>
        <w:t>Influences</w:t>
      </w:r>
    </w:p>
    <w:p w14:paraId="4965342A" w14:textId="5CFA80CE" w:rsidR="00657996" w:rsidRDefault="00657996" w:rsidP="00657996">
      <w:r w:rsidRPr="0090257C">
        <w:t>Mathers</w:t>
      </w:r>
      <w:r>
        <w:t xml:space="preserve"> starts by introducing their results, Life expectancy is </w:t>
      </w:r>
      <w:r w:rsidR="00D569C1">
        <w:t>stable</w:t>
      </w:r>
      <w:r>
        <w:t xml:space="preserve"> in a few countries for both men and women, Countries with higher incomes, have seen a positive correlation to an increasing life expectancy. In addition, there is no evidence the rate of improvement is slowing down. The data in this article is retrieved from the WHO, starting in the year 1990 and ending in 2012. This </w:t>
      </w:r>
      <w:r w:rsidR="00076716">
        <w:t>data</w:t>
      </w:r>
      <w:r>
        <w:t xml:space="preserve"> shares a 12</w:t>
      </w:r>
      <w:r w:rsidR="00076716">
        <w:t>-</w:t>
      </w:r>
      <w:r>
        <w:t xml:space="preserve">year </w:t>
      </w:r>
      <w:r w:rsidR="00076716">
        <w:t xml:space="preserve">time segment </w:t>
      </w:r>
      <w:r>
        <w:t xml:space="preserve">with my own personal data. This means the results seen from Mathers should be like the ones I find. </w:t>
      </w:r>
    </w:p>
    <w:p w14:paraId="4A8F178F" w14:textId="11C37347" w:rsidR="00657996" w:rsidRDefault="00657996" w:rsidP="00657996">
      <w:r>
        <w:lastRenderedPageBreak/>
        <w:t xml:space="preserve">When </w:t>
      </w:r>
      <w:proofErr w:type="gramStart"/>
      <w:r>
        <w:t>preforming</w:t>
      </w:r>
      <w:proofErr w:type="gramEnd"/>
      <w:r>
        <w:t xml:space="preserve"> the regressions, Mathers split</w:t>
      </w:r>
      <w:r w:rsidR="0081316E">
        <w:t>s</w:t>
      </w:r>
      <w:r>
        <w:t xml:space="preserve"> each result based on gender and region. This gives the researchers the opportunity to analyze how exactly geographic location and sex impact life expectancy. One more </w:t>
      </w:r>
      <w:r w:rsidR="00905FE8">
        <w:t>key factor</w:t>
      </w:r>
      <w:r>
        <w:t xml:space="preserve"> about the data is the age range. Mathers only used data from people 50 years and older. The assumption that most individuals will live to 50 years. Child death is not included and eliminates the need for any outliers.</w:t>
      </w:r>
    </w:p>
    <w:p w14:paraId="4D7DA1B0" w14:textId="2B619125" w:rsidR="007B1FDC" w:rsidRDefault="007B1FDC" w:rsidP="007B1FDC">
      <w:r w:rsidRPr="00DE6F71">
        <w:t xml:space="preserve">Rosen uses </w:t>
      </w:r>
      <w:r>
        <w:t xml:space="preserve">life-cycle allocation theory to estimate the inherent value of life. Changes in an age-specific mortality risk affects the entire function and changes consummation and labor supply in the entire cycle. Based on multiple cross-sectional </w:t>
      </w:r>
      <w:r w:rsidRPr="00A9234A">
        <w:t>regressions, life values decrease between the current age and the age of risk. This means an ol</w:t>
      </w:r>
      <w:r>
        <w:t xml:space="preserve">der person is </w:t>
      </w:r>
      <w:r w:rsidR="009C330A">
        <w:t>receives more benefits from healthcare</w:t>
      </w:r>
      <w:r>
        <w:t xml:space="preserve"> than a younger person. </w:t>
      </w:r>
      <w:r w:rsidR="009C330A">
        <w:t xml:space="preserve">A </w:t>
      </w:r>
      <w:r>
        <w:t xml:space="preserve"> younger person may </w:t>
      </w:r>
      <w:r w:rsidR="009C330A">
        <w:t>need healthcare on average, but not at the same severity of later</w:t>
      </w:r>
      <w:r w:rsidR="00A9234A">
        <w:t xml:space="preserve"> life</w:t>
      </w:r>
      <w:r w:rsidR="009C330A">
        <w:t xml:space="preserve"> </w:t>
      </w:r>
      <w:r w:rsidR="00A9234A">
        <w:t>stages.</w:t>
      </w:r>
    </w:p>
    <w:p w14:paraId="01023A27" w14:textId="6883BED1" w:rsidR="007B1FDC" w:rsidRPr="0090257C" w:rsidRDefault="007B1FDC" w:rsidP="007B1FDC">
      <w:r>
        <w:t>Since there is not a direct method to determine the value of life, Rosen uses Two-Stage Least Squares. The instrumental variable is “the probability of surviving to any given age</w:t>
      </w:r>
      <w:r w:rsidR="00905FE8">
        <w:t>.”</w:t>
      </w:r>
      <w:r>
        <w:t xml:space="preserve"> The first formula is </w:t>
      </w:r>
      <w:r w:rsidRPr="00AC5C0C">
        <w:t xml:space="preserve">the conditional probability of surviving until age </w:t>
      </w:r>
      <w:r w:rsidRPr="002A20B0">
        <w:rPr>
          <w:i/>
          <w:iCs/>
        </w:rPr>
        <w:t>t</w:t>
      </w:r>
      <w:r w:rsidRPr="00AC5C0C">
        <w:t xml:space="preserve"> given that one has survived until age </w:t>
      </w:r>
      <w:r w:rsidRPr="002A20B0">
        <w:rPr>
          <w:i/>
          <w:iCs/>
        </w:rPr>
        <w:t>a</w:t>
      </w:r>
      <w:r w:rsidR="002A20B0">
        <w:t xml:space="preserve">. </w:t>
      </w:r>
      <w:r>
        <w:t xml:space="preserve">The second stage uses expected utility as the </w:t>
      </w:r>
      <w:r>
        <w:rPr>
          <w:i/>
          <w:iCs/>
        </w:rPr>
        <w:t>y</w:t>
      </w:r>
      <w:r>
        <w:t xml:space="preserve"> variable. This formula expects the individual has survived until age </w:t>
      </w:r>
      <w:r>
        <w:rPr>
          <w:i/>
          <w:iCs/>
        </w:rPr>
        <w:t>a</w:t>
      </w:r>
      <w:r w:rsidR="00076716">
        <w:rPr>
          <w:i/>
          <w:iCs/>
        </w:rPr>
        <w:t xml:space="preserve"> </w:t>
      </w:r>
      <w:r w:rsidR="00076716">
        <w:t xml:space="preserve">(Rosen, 1988) </w:t>
      </w:r>
      <w:r>
        <w:t xml:space="preserve">. </w:t>
      </w:r>
      <w:r w:rsidR="00474BBC">
        <w:t>While</w:t>
      </w:r>
      <w:r w:rsidR="002A20B0">
        <w:t xml:space="preserve"> I would like to use Tw</w:t>
      </w:r>
      <w:r w:rsidR="00F17060">
        <w:t>o</w:t>
      </w:r>
      <w:r w:rsidR="002A20B0">
        <w:t>-Stage least squares, it is more effective to perf</w:t>
      </w:r>
      <w:r w:rsidR="00F17060">
        <w:t>orm a f-test on the added healthcare variables. Th</w:t>
      </w:r>
      <w:r w:rsidR="0020223F">
        <w:t>ere are too many variables with differing meanings to combine into one group</w:t>
      </w:r>
      <w:r w:rsidR="009C330A">
        <w:t>.</w:t>
      </w:r>
      <w:r w:rsidR="0020223F">
        <w:t xml:space="preserve"> Dues to this, I will only be focusing on immunizations as a form of medicine.</w:t>
      </w:r>
    </w:p>
    <w:p w14:paraId="42E60C44" w14:textId="182CBAD3" w:rsidR="00CB1DA0" w:rsidRPr="001D3905" w:rsidRDefault="003179E7" w:rsidP="00CB1DA0">
      <w:pPr>
        <w:ind w:firstLine="0"/>
        <w:rPr>
          <w:b/>
          <w:bCs/>
        </w:rPr>
      </w:pPr>
      <w:r>
        <w:rPr>
          <w:b/>
          <w:bCs/>
        </w:rPr>
        <w:t>Hypotheses</w:t>
      </w:r>
    </w:p>
    <w:p w14:paraId="77C74C9B" w14:textId="21973733" w:rsidR="005C6672" w:rsidRDefault="00B42F22" w:rsidP="005C6672">
      <w:pPr>
        <w:autoSpaceDE w:val="0"/>
        <w:autoSpaceDN w:val="0"/>
        <w:adjustRightInd w:val="0"/>
        <w:rPr>
          <w:rFonts w:ascii="Times New Roman" w:hAnsi="Times New Roman" w:cs="Times New Roman"/>
          <w:kern w:val="0"/>
        </w:rPr>
      </w:pPr>
      <w:r w:rsidRPr="003B4B4E">
        <w:t xml:space="preserve">There are three main </w:t>
      </w:r>
      <w:r w:rsidR="00781658">
        <w:t>hypotheses</w:t>
      </w:r>
      <w:r w:rsidRPr="003B4B4E">
        <w:t xml:space="preserve"> for life expectancy in this study</w:t>
      </w:r>
      <w:r w:rsidR="00383695" w:rsidRPr="003B4B4E">
        <w:t xml:space="preserve">. The first prediction strives to determine </w:t>
      </w:r>
      <w:r w:rsidR="008B08E2">
        <w:t xml:space="preserve">if </w:t>
      </w:r>
      <w:r w:rsidR="00383695" w:rsidRPr="003B4B4E">
        <w:t xml:space="preserve">total expenditures </w:t>
      </w:r>
      <w:r w:rsidR="008D0A2B">
        <w:t xml:space="preserve">on health </w:t>
      </w:r>
      <w:r w:rsidR="00282C07" w:rsidRPr="003B4B4E">
        <w:t>have</w:t>
      </w:r>
      <w:r w:rsidR="00383695" w:rsidRPr="003B4B4E">
        <w:t xml:space="preserve"> a positive effect of life expectancy. In </w:t>
      </w:r>
      <w:r w:rsidR="00383695" w:rsidRPr="003B4B4E">
        <w:lastRenderedPageBreak/>
        <w:t xml:space="preserve">accordance </w:t>
      </w:r>
      <w:r w:rsidR="007C5779" w:rsidRPr="003B4B4E">
        <w:t>with</w:t>
      </w:r>
      <w:r w:rsidR="00383695" w:rsidRPr="003B4B4E">
        <w:t xml:space="preserve"> Rosen, the life-cycle </w:t>
      </w:r>
      <w:r w:rsidR="00E97633" w:rsidRPr="003B4B4E">
        <w:t xml:space="preserve">allocation theory </w:t>
      </w:r>
      <w:r w:rsidR="003B4B4E" w:rsidRPr="003B4B4E">
        <w:t xml:space="preserve">is broken down into its basic form: more allocated resources </w:t>
      </w:r>
      <w:r w:rsidR="00781658" w:rsidRPr="003B4B4E">
        <w:t>increase</w:t>
      </w:r>
      <w:r w:rsidR="003B4B4E" w:rsidRPr="003B4B4E">
        <w:t xml:space="preserve"> life expectancy.</w:t>
      </w:r>
      <w:r w:rsidR="003B4B4E">
        <w:t xml:space="preserve"> </w:t>
      </w:r>
      <w:r w:rsidR="005C6672">
        <w:rPr>
          <w:rFonts w:ascii="Times New Roman" w:hAnsi="Times New Roman" w:cs="Times New Roman"/>
          <w:kern w:val="0"/>
        </w:rPr>
        <w:t>This is represented by the equation:</w:t>
      </w:r>
    </w:p>
    <w:p w14:paraId="33D2CB0C" w14:textId="77777777" w:rsidR="005C6672" w:rsidRDefault="005C6672" w:rsidP="005C6672">
      <w:pPr>
        <w:autoSpaceDE w:val="0"/>
        <w:autoSpaceDN w:val="0"/>
        <w:adjustRightInd w:val="0"/>
        <w:rPr>
          <w:rFonts w:ascii="Times New Roman" w:hAnsi="Times New Roman" w:cs="Times New Roman"/>
          <w:kern w:val="0"/>
        </w:rPr>
      </w:pPr>
      <m:oMathPara>
        <m:oMath>
          <m:r>
            <w:rPr>
              <w:rFonts w:ascii="Cambria Math" w:hAnsi="Cambria Math" w:cs="Times New Roman"/>
              <w:kern w:val="0"/>
            </w:rPr>
            <m:t>Life Expectancy= α+β1TotalExpenditure+ ε</m:t>
          </m:r>
        </m:oMath>
      </m:oMathPara>
    </w:p>
    <w:p w14:paraId="078B3510" w14:textId="6BF6C644" w:rsidR="005C6672" w:rsidRDefault="007C5779" w:rsidP="005C6672">
      <w:r>
        <w:t xml:space="preserve">The second hypothesis </w:t>
      </w:r>
      <w:r w:rsidR="0085676A">
        <w:t>investigates</w:t>
      </w:r>
      <w:r w:rsidR="00781658">
        <w:t xml:space="preserve"> </w:t>
      </w:r>
      <w:r w:rsidR="00611C95">
        <w:t>if total expenditures is still significant with the inclusion of other general variables</w:t>
      </w:r>
      <w:r w:rsidR="00781658">
        <w:t xml:space="preserve">. The </w:t>
      </w:r>
      <w:r w:rsidR="00A942CD">
        <w:t xml:space="preserve">regression will </w:t>
      </w:r>
      <w:r w:rsidR="00A942CD" w:rsidRPr="00F437FF">
        <w:t xml:space="preserve">include </w:t>
      </w:r>
      <w:r w:rsidR="0085676A" w:rsidRPr="00F437FF">
        <w:t>total expenditure, adult mortality,</w:t>
      </w:r>
      <w:r w:rsidR="00611C95">
        <w:t xml:space="preserve"> </w:t>
      </w:r>
      <w:r w:rsidR="008428EB" w:rsidRPr="00F437FF">
        <w:t>deaths</w:t>
      </w:r>
      <w:r w:rsidR="0085676A" w:rsidRPr="00F437FF">
        <w:t xml:space="preserve"> under five years </w:t>
      </w:r>
      <w:r w:rsidR="00F437FF" w:rsidRPr="00F437FF">
        <w:t>old</w:t>
      </w:r>
      <w:r w:rsidR="008D0A2B">
        <w:t>, schooling, and GDP</w:t>
      </w:r>
      <w:r w:rsidR="00F437FF">
        <w:t>.</w:t>
      </w:r>
      <w:r w:rsidR="008D0A2B">
        <w:t xml:space="preserve"> </w:t>
      </w:r>
      <w:r w:rsidR="00F437FF">
        <w:t>The</w:t>
      </w:r>
      <w:r w:rsidR="005C6672">
        <w:t xml:space="preserve"> regression strives to explain the </w:t>
      </w:r>
      <w:r w:rsidR="008D0A2B">
        <w:t>how much total expenditures affects life expectancy with the inclusion of other variables</w:t>
      </w:r>
      <w:r w:rsidR="005C6672">
        <w:t>.</w:t>
      </w:r>
    </w:p>
    <w:p w14:paraId="027F6468" w14:textId="34228E94" w:rsidR="005C6672" w:rsidRPr="00006A8C" w:rsidRDefault="005C6672" w:rsidP="005C6672">
      <w:pPr>
        <w:ind w:firstLine="0"/>
        <w:rPr>
          <w:kern w:val="0"/>
        </w:rPr>
      </w:pPr>
      <m:oMathPara>
        <m:oMath>
          <m:r>
            <w:rPr>
              <w:rFonts w:ascii="Cambria Math" w:hAnsi="Cambria Math" w:cs="Times New Roman"/>
              <w:kern w:val="0"/>
            </w:rPr>
            <m:t>LifeExpectancy=α+β1TotalExpenditure+</m:t>
          </m:r>
          <m:r>
            <m:rPr>
              <m:sty m:val="p"/>
            </m:rPr>
            <w:rPr>
              <w:rFonts w:ascii="Cambria Math" w:hAnsi="Cambria Math" w:cs="Times New Roman"/>
              <w:kern w:val="0"/>
            </w:rPr>
            <m:t>β</m:t>
          </m:r>
          <m:r>
            <w:rPr>
              <w:rFonts w:ascii="Cambria Math" w:hAnsi="Cambria Math" w:cs="Times New Roman"/>
              <w:kern w:val="0"/>
            </w:rPr>
            <m:t>2AdultMortality</m:t>
          </m:r>
          <m:r>
            <m:rPr>
              <m:sty m:val="p"/>
            </m:rPr>
            <w:rPr>
              <w:rFonts w:ascii="Cambria Math" w:hAnsi="Cambria Math" w:cs="Times New Roman"/>
              <w:kern w:val="0"/>
            </w:rPr>
            <m:t>+β3</m:t>
          </m:r>
          <m:r>
            <w:rPr>
              <w:rFonts w:ascii="Cambria Math" w:hAnsi="Cambria Math" w:cs="Times New Roman"/>
              <w:kern w:val="0"/>
            </w:rPr>
            <m:t>Underfivedeaths+β4Schooling+β5GDP+ ε</m:t>
          </m:r>
        </m:oMath>
      </m:oMathPara>
    </w:p>
    <w:p w14:paraId="382F874F" w14:textId="67D1FEAA" w:rsidR="00285017" w:rsidRPr="00C10E71" w:rsidRDefault="00447CF6" w:rsidP="00285017">
      <w:pPr>
        <w:rPr>
          <w:rFonts w:ascii="Cambria Math" w:hAnsi="Cambria Math" w:cs="Times New Roman"/>
          <w:i/>
          <w:kern w:val="0"/>
          <w:highlight w:val="yellow"/>
        </w:rPr>
      </w:pPr>
      <w:r>
        <w:t xml:space="preserve">The third </w:t>
      </w:r>
      <w:r w:rsidR="0037781B">
        <w:t>hypothesis</w:t>
      </w:r>
      <w:r>
        <w:t xml:space="preserve"> will focus on </w:t>
      </w:r>
      <w:r w:rsidR="007A3A95">
        <w:t>medicine’s effect on life expectancies</w:t>
      </w:r>
      <w:r w:rsidR="005F0A78">
        <w:t>. As mentioned in R</w:t>
      </w:r>
      <w:r w:rsidR="00B86350">
        <w:t xml:space="preserve">oser’s analysis of international life expectancies, </w:t>
      </w:r>
      <w:r w:rsidR="007A3A95">
        <w:t>modern medicine may decrease the number of deaths in a country</w:t>
      </w:r>
      <w:r w:rsidR="000673CA">
        <w:t>.</w:t>
      </w:r>
      <w:r w:rsidR="00285017" w:rsidRPr="00285017">
        <w:t xml:space="preserve"> </w:t>
      </w:r>
      <w:r w:rsidR="001537A6">
        <w:t xml:space="preserve">Hepatitis B, </w:t>
      </w:r>
      <w:r w:rsidR="002812C1">
        <w:t>Polio</w:t>
      </w:r>
      <w:r w:rsidR="001537A6">
        <w:t xml:space="preserve">, and Diphtheria immunizations are the </w:t>
      </w:r>
      <w:r w:rsidR="00D569C1">
        <w:t>focus</w:t>
      </w:r>
      <w:r w:rsidR="001537A6">
        <w:t xml:space="preserve"> for medicine. If a country can vaccinate </w:t>
      </w:r>
      <w:r w:rsidR="00905FE8">
        <w:t>a substantial portion</w:t>
      </w:r>
      <w:r w:rsidR="001537A6">
        <w:t xml:space="preserve"> of the </w:t>
      </w:r>
      <w:r w:rsidR="002812C1">
        <w:t>1-year-olds</w:t>
      </w:r>
      <w:r w:rsidR="001537A6">
        <w:t xml:space="preserve">, the chance for </w:t>
      </w:r>
      <w:r w:rsidR="002812C1">
        <w:t xml:space="preserve">future </w:t>
      </w:r>
      <w:r w:rsidR="001537A6">
        <w:t xml:space="preserve">deaths from these diseases decrease. </w:t>
      </w:r>
      <w:r w:rsidR="00285017" w:rsidRPr="00285017">
        <w:t xml:space="preserve">The thought process behind this regression is to set up a f-test to explain if </w:t>
      </w:r>
      <w:r w:rsidR="00AB67C7">
        <w:t>medicine</w:t>
      </w:r>
      <w:r w:rsidR="00285017" w:rsidRPr="00285017">
        <w:t xml:space="preserve"> will increase life expectancy.</w:t>
      </w:r>
      <w:r w:rsidR="00285017" w:rsidRPr="00285017">
        <w:rPr>
          <w:rFonts w:ascii="Cambria Math" w:hAnsi="Cambria Math" w:cs="Times New Roman"/>
          <w:i/>
          <w:kern w:val="0"/>
        </w:rPr>
        <w:br/>
      </w:r>
      <m:oMathPara>
        <m:oMath>
          <m:r>
            <w:rPr>
              <w:rFonts w:ascii="Cambria Math" w:hAnsi="Cambria Math" w:cs="Times New Roman"/>
              <w:kern w:val="0"/>
            </w:rPr>
            <m:t>LifeExpectancy=α+β1TotalExpenditure+</m:t>
          </m:r>
          <m:r>
            <m:rPr>
              <m:sty m:val="p"/>
            </m:rPr>
            <w:rPr>
              <w:rFonts w:ascii="Cambria Math" w:hAnsi="Cambria Math" w:cs="Times New Roman"/>
              <w:kern w:val="0"/>
            </w:rPr>
            <m:t>β</m:t>
          </m:r>
          <m:r>
            <w:rPr>
              <w:rFonts w:ascii="Cambria Math" w:hAnsi="Cambria Math" w:cs="Times New Roman"/>
              <w:kern w:val="0"/>
            </w:rPr>
            <m:t>2AdultMortality</m:t>
          </m:r>
          <m:r>
            <m:rPr>
              <m:sty m:val="p"/>
            </m:rPr>
            <w:rPr>
              <w:rFonts w:ascii="Cambria Math" w:hAnsi="Cambria Math" w:cs="Times New Roman"/>
              <w:kern w:val="0"/>
            </w:rPr>
            <m:t>+β3</m:t>
          </m:r>
          <m:r>
            <w:rPr>
              <w:rFonts w:ascii="Cambria Math" w:hAnsi="Cambria Math" w:cs="Times New Roman"/>
              <w:kern w:val="0"/>
            </w:rPr>
            <m:t xml:space="preserve">Underfivedeaths+β4Schooling+β5GDP+ </m:t>
          </m:r>
          <m:r>
            <m:rPr>
              <m:sty m:val="p"/>
            </m:rPr>
            <w:rPr>
              <w:rFonts w:ascii="Cambria Math" w:hAnsi="Cambria Math" w:cs="Times New Roman"/>
              <w:kern w:val="0"/>
            </w:rPr>
            <m:t>β</m:t>
          </m:r>
          <m:r>
            <w:rPr>
              <w:rFonts w:ascii="Cambria Math" w:hAnsi="Cambria Math" w:cs="Times New Roman"/>
              <w:kern w:val="0"/>
            </w:rPr>
            <m:t>6 Medicne+ε</m:t>
          </m:r>
        </m:oMath>
      </m:oMathPara>
    </w:p>
    <w:p w14:paraId="42583D65" w14:textId="1266B4F3" w:rsidR="00CB1DA0" w:rsidRPr="00C23693" w:rsidRDefault="00CB1DA0" w:rsidP="00C23693"/>
    <w:p w14:paraId="0DB9965D" w14:textId="77777777" w:rsidR="00D30EBD" w:rsidRDefault="00D30EBD">
      <w:pPr>
        <w:rPr>
          <w:b/>
          <w:bCs/>
        </w:rPr>
      </w:pPr>
      <w:r>
        <w:rPr>
          <w:b/>
          <w:bCs/>
        </w:rPr>
        <w:br w:type="page"/>
      </w:r>
    </w:p>
    <w:p w14:paraId="777ECD44" w14:textId="7AF7C125" w:rsidR="00CB1DA0" w:rsidRPr="00915CBA" w:rsidRDefault="00915CBA" w:rsidP="00CB1DA0">
      <w:pPr>
        <w:ind w:firstLine="0"/>
        <w:jc w:val="center"/>
        <w:rPr>
          <w:b/>
          <w:bCs/>
        </w:rPr>
      </w:pPr>
      <w:r w:rsidRPr="00915CBA">
        <w:rPr>
          <w:b/>
          <w:bCs/>
        </w:rPr>
        <w:lastRenderedPageBreak/>
        <w:t>Results</w:t>
      </w:r>
    </w:p>
    <w:p w14:paraId="5C0F6186" w14:textId="3F44D1CB" w:rsidR="00D457EB" w:rsidRPr="00AB483E" w:rsidRDefault="00D06926" w:rsidP="00AB483E">
      <w:pPr>
        <w:ind w:firstLine="0"/>
        <w:rPr>
          <w:b/>
          <w:bCs/>
        </w:rPr>
      </w:pPr>
      <w:r w:rsidRPr="00D06926">
        <w:rPr>
          <w:b/>
          <w:bCs/>
        </w:rPr>
        <w:t>Univariate</w:t>
      </w:r>
    </w:p>
    <w:p w14:paraId="11A5D41C" w14:textId="5AF600AB"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 xml:space="preserve">Model </w:t>
      </w:r>
      <w:r w:rsidR="00D457EB">
        <w:rPr>
          <w:rFonts w:ascii="Times New Roman" w:hAnsi="Times New Roman" w:cs="Times New Roman"/>
          <w:kern w:val="0"/>
        </w:rPr>
        <w:t>1</w:t>
      </w:r>
      <w:r>
        <w:rPr>
          <w:rFonts w:ascii="Times New Roman" w:hAnsi="Times New Roman" w:cs="Times New Roman"/>
          <w:kern w:val="0"/>
        </w:rPr>
        <w:t>: Fixed-effects, using 2702 observations</w:t>
      </w:r>
    </w:p>
    <w:p w14:paraId="21C6E215" w14:textId="77777777"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Included 181 cross-sectional units</w:t>
      </w:r>
    </w:p>
    <w:p w14:paraId="65DC0409" w14:textId="77777777"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Time-series length: minimum 3, maximum 16</w:t>
      </w:r>
    </w:p>
    <w:p w14:paraId="4493C741" w14:textId="1DBBE09A"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 xml:space="preserve">Dependent variable: </w:t>
      </w:r>
      <w:r w:rsidR="003F3AA3">
        <w:rPr>
          <w:rFonts w:ascii="Times New Roman" w:hAnsi="Times New Roman" w:cs="Times New Roman"/>
          <w:kern w:val="0"/>
        </w:rPr>
        <w:t>Life expectancy</w:t>
      </w:r>
    </w:p>
    <w:p w14:paraId="744FD75C" w14:textId="77777777"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996576" w14:paraId="051C1A1E" w14:textId="77777777">
        <w:trPr>
          <w:trHeight w:val="262"/>
          <w:jc w:val="center"/>
        </w:trPr>
        <w:tc>
          <w:tcPr>
            <w:tcW w:w="1930" w:type="dxa"/>
            <w:tcBorders>
              <w:top w:val="nil"/>
              <w:left w:val="nil"/>
              <w:bottom w:val="nil"/>
              <w:right w:val="nil"/>
            </w:tcBorders>
          </w:tcPr>
          <w:p w14:paraId="3605E0F4"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 xml:space="preserve"> </w:t>
            </w:r>
          </w:p>
        </w:tc>
        <w:tc>
          <w:tcPr>
            <w:tcW w:w="1400" w:type="dxa"/>
            <w:tcBorders>
              <w:top w:val="nil"/>
              <w:left w:val="nil"/>
              <w:bottom w:val="nil"/>
              <w:right w:val="nil"/>
            </w:tcBorders>
          </w:tcPr>
          <w:p w14:paraId="1A93C649"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Coefficient</w:t>
            </w:r>
          </w:p>
        </w:tc>
        <w:tc>
          <w:tcPr>
            <w:tcW w:w="1400" w:type="dxa"/>
            <w:tcBorders>
              <w:top w:val="nil"/>
              <w:left w:val="nil"/>
              <w:bottom w:val="nil"/>
              <w:right w:val="nil"/>
            </w:tcBorders>
          </w:tcPr>
          <w:p w14:paraId="322AA999"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Std. Error</w:t>
            </w:r>
          </w:p>
        </w:tc>
        <w:tc>
          <w:tcPr>
            <w:tcW w:w="1400" w:type="dxa"/>
            <w:tcBorders>
              <w:top w:val="nil"/>
              <w:left w:val="nil"/>
              <w:bottom w:val="nil"/>
              <w:right w:val="nil"/>
            </w:tcBorders>
          </w:tcPr>
          <w:p w14:paraId="29B92C93"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t-ratio</w:t>
            </w:r>
          </w:p>
        </w:tc>
        <w:tc>
          <w:tcPr>
            <w:tcW w:w="1400" w:type="dxa"/>
            <w:tcBorders>
              <w:top w:val="nil"/>
              <w:left w:val="nil"/>
              <w:bottom w:val="nil"/>
              <w:right w:val="nil"/>
            </w:tcBorders>
          </w:tcPr>
          <w:p w14:paraId="3FEFBCA6"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p-value</w:t>
            </w:r>
          </w:p>
        </w:tc>
        <w:tc>
          <w:tcPr>
            <w:tcW w:w="500" w:type="dxa"/>
            <w:tcBorders>
              <w:top w:val="nil"/>
              <w:left w:val="nil"/>
              <w:bottom w:val="nil"/>
              <w:right w:val="nil"/>
            </w:tcBorders>
          </w:tcPr>
          <w:p w14:paraId="6B24FD73" w14:textId="77777777" w:rsidR="00996576" w:rsidRDefault="00996576">
            <w:pPr>
              <w:autoSpaceDE w:val="0"/>
              <w:autoSpaceDN w:val="0"/>
              <w:adjustRightInd w:val="0"/>
              <w:spacing w:line="240" w:lineRule="auto"/>
              <w:ind w:firstLine="0"/>
              <w:rPr>
                <w:rFonts w:ascii="Times New Roman" w:hAnsi="Times New Roman" w:cs="Times New Roman"/>
                <w:kern w:val="0"/>
              </w:rPr>
            </w:pPr>
          </w:p>
        </w:tc>
      </w:tr>
      <w:tr w:rsidR="00996576" w14:paraId="17713975" w14:textId="77777777">
        <w:trPr>
          <w:trHeight w:val="262"/>
          <w:jc w:val="center"/>
        </w:trPr>
        <w:tc>
          <w:tcPr>
            <w:tcW w:w="1930" w:type="dxa"/>
            <w:tcBorders>
              <w:top w:val="nil"/>
              <w:left w:val="nil"/>
              <w:bottom w:val="nil"/>
              <w:right w:val="nil"/>
            </w:tcBorders>
          </w:tcPr>
          <w:p w14:paraId="2222B5C2"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const</w:t>
            </w:r>
          </w:p>
        </w:tc>
        <w:tc>
          <w:tcPr>
            <w:tcW w:w="1400" w:type="dxa"/>
            <w:tcBorders>
              <w:top w:val="nil"/>
              <w:left w:val="nil"/>
              <w:bottom w:val="nil"/>
              <w:right w:val="nil"/>
            </w:tcBorders>
          </w:tcPr>
          <w:p w14:paraId="28A3AA8C"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68.5852</w:t>
            </w:r>
          </w:p>
        </w:tc>
        <w:tc>
          <w:tcPr>
            <w:tcW w:w="1400" w:type="dxa"/>
            <w:tcBorders>
              <w:top w:val="nil"/>
              <w:left w:val="nil"/>
              <w:bottom w:val="nil"/>
              <w:right w:val="nil"/>
            </w:tcBorders>
          </w:tcPr>
          <w:p w14:paraId="29D272E2"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0.195049</w:t>
            </w:r>
          </w:p>
        </w:tc>
        <w:tc>
          <w:tcPr>
            <w:tcW w:w="1400" w:type="dxa"/>
            <w:tcBorders>
              <w:top w:val="nil"/>
              <w:left w:val="nil"/>
              <w:bottom w:val="nil"/>
              <w:right w:val="nil"/>
            </w:tcBorders>
          </w:tcPr>
          <w:p w14:paraId="098E2085"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351.6</w:t>
            </w:r>
          </w:p>
        </w:tc>
        <w:tc>
          <w:tcPr>
            <w:tcW w:w="1400" w:type="dxa"/>
            <w:tcBorders>
              <w:top w:val="nil"/>
              <w:left w:val="nil"/>
              <w:bottom w:val="nil"/>
              <w:right w:val="nil"/>
            </w:tcBorders>
          </w:tcPr>
          <w:p w14:paraId="2C824EAE"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1E11442D"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996576" w14:paraId="416245F5" w14:textId="77777777">
        <w:trPr>
          <w:trHeight w:val="262"/>
          <w:jc w:val="center"/>
        </w:trPr>
        <w:tc>
          <w:tcPr>
            <w:tcW w:w="1930" w:type="dxa"/>
            <w:tcBorders>
              <w:top w:val="nil"/>
              <w:left w:val="nil"/>
              <w:bottom w:val="nil"/>
              <w:right w:val="nil"/>
            </w:tcBorders>
          </w:tcPr>
          <w:p w14:paraId="6DB5FF70" w14:textId="50829E5E" w:rsidR="00996576" w:rsidRDefault="003F3AA3">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Total expenditure</w:t>
            </w:r>
          </w:p>
        </w:tc>
        <w:tc>
          <w:tcPr>
            <w:tcW w:w="1400" w:type="dxa"/>
            <w:tcBorders>
              <w:top w:val="nil"/>
              <w:left w:val="nil"/>
              <w:bottom w:val="nil"/>
              <w:right w:val="nil"/>
            </w:tcBorders>
          </w:tcPr>
          <w:p w14:paraId="7A1565E4"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0.107923</w:t>
            </w:r>
          </w:p>
        </w:tc>
        <w:tc>
          <w:tcPr>
            <w:tcW w:w="1400" w:type="dxa"/>
            <w:tcBorders>
              <w:top w:val="nil"/>
              <w:left w:val="nil"/>
              <w:bottom w:val="nil"/>
              <w:right w:val="nil"/>
            </w:tcBorders>
          </w:tcPr>
          <w:p w14:paraId="21F2E5EC"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0.0317741</w:t>
            </w:r>
          </w:p>
        </w:tc>
        <w:tc>
          <w:tcPr>
            <w:tcW w:w="1400" w:type="dxa"/>
            <w:tcBorders>
              <w:top w:val="nil"/>
              <w:left w:val="nil"/>
              <w:bottom w:val="nil"/>
              <w:right w:val="nil"/>
            </w:tcBorders>
          </w:tcPr>
          <w:p w14:paraId="7E6B5F94"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3.397</w:t>
            </w:r>
          </w:p>
        </w:tc>
        <w:tc>
          <w:tcPr>
            <w:tcW w:w="1400" w:type="dxa"/>
            <w:tcBorders>
              <w:top w:val="nil"/>
              <w:left w:val="nil"/>
              <w:bottom w:val="nil"/>
              <w:right w:val="nil"/>
            </w:tcBorders>
          </w:tcPr>
          <w:p w14:paraId="783EB097"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0.0007</w:t>
            </w:r>
          </w:p>
        </w:tc>
        <w:tc>
          <w:tcPr>
            <w:tcW w:w="500" w:type="dxa"/>
            <w:tcBorders>
              <w:top w:val="nil"/>
              <w:left w:val="nil"/>
              <w:bottom w:val="nil"/>
              <w:right w:val="nil"/>
            </w:tcBorders>
          </w:tcPr>
          <w:p w14:paraId="18098C91"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bl>
    <w:p w14:paraId="72229314" w14:textId="77777777"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996576" w14:paraId="79954F6D" w14:textId="77777777">
        <w:trPr>
          <w:trHeight w:val="262"/>
          <w:jc w:val="center"/>
        </w:trPr>
        <w:tc>
          <w:tcPr>
            <w:tcW w:w="2530" w:type="dxa"/>
            <w:tcBorders>
              <w:top w:val="nil"/>
              <w:left w:val="nil"/>
              <w:bottom w:val="nil"/>
              <w:right w:val="nil"/>
            </w:tcBorders>
          </w:tcPr>
          <w:p w14:paraId="3371669E"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Mean dependent var</w:t>
            </w:r>
          </w:p>
        </w:tc>
        <w:tc>
          <w:tcPr>
            <w:tcW w:w="1300" w:type="dxa"/>
            <w:tcBorders>
              <w:top w:val="nil"/>
              <w:left w:val="nil"/>
              <w:bottom w:val="nil"/>
              <w:right w:val="nil"/>
            </w:tcBorders>
          </w:tcPr>
          <w:p w14:paraId="207A9B16"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69.22524</w:t>
            </w:r>
          </w:p>
        </w:tc>
        <w:tc>
          <w:tcPr>
            <w:tcW w:w="400" w:type="dxa"/>
            <w:tcBorders>
              <w:top w:val="nil"/>
              <w:left w:val="nil"/>
              <w:bottom w:val="nil"/>
              <w:right w:val="nil"/>
            </w:tcBorders>
          </w:tcPr>
          <w:p w14:paraId="1A9C4CBF"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7939063D"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S.D. dependent var</w:t>
            </w:r>
          </w:p>
        </w:tc>
        <w:tc>
          <w:tcPr>
            <w:tcW w:w="1300" w:type="dxa"/>
            <w:tcBorders>
              <w:top w:val="nil"/>
              <w:left w:val="nil"/>
              <w:bottom w:val="nil"/>
              <w:right w:val="nil"/>
            </w:tcBorders>
          </w:tcPr>
          <w:p w14:paraId="1BB13D9C"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9.529783</w:t>
            </w:r>
          </w:p>
        </w:tc>
      </w:tr>
      <w:tr w:rsidR="00996576" w14:paraId="286E6F7A" w14:textId="77777777">
        <w:trPr>
          <w:trHeight w:val="262"/>
          <w:jc w:val="center"/>
        </w:trPr>
        <w:tc>
          <w:tcPr>
            <w:tcW w:w="2530" w:type="dxa"/>
            <w:tcBorders>
              <w:top w:val="nil"/>
              <w:left w:val="nil"/>
              <w:bottom w:val="nil"/>
              <w:right w:val="nil"/>
            </w:tcBorders>
          </w:tcPr>
          <w:p w14:paraId="70150CEB"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Sum squared resid</w:t>
            </w:r>
          </w:p>
        </w:tc>
        <w:tc>
          <w:tcPr>
            <w:tcW w:w="1300" w:type="dxa"/>
            <w:tcBorders>
              <w:top w:val="nil"/>
              <w:left w:val="nil"/>
              <w:bottom w:val="nil"/>
              <w:right w:val="nil"/>
            </w:tcBorders>
          </w:tcPr>
          <w:p w14:paraId="729D8B2E"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17293.90</w:t>
            </w:r>
          </w:p>
        </w:tc>
        <w:tc>
          <w:tcPr>
            <w:tcW w:w="400" w:type="dxa"/>
            <w:tcBorders>
              <w:top w:val="nil"/>
              <w:left w:val="nil"/>
              <w:bottom w:val="nil"/>
              <w:right w:val="nil"/>
            </w:tcBorders>
          </w:tcPr>
          <w:p w14:paraId="20F14EA3"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64627E7B"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S.E. of regression</w:t>
            </w:r>
          </w:p>
        </w:tc>
        <w:tc>
          <w:tcPr>
            <w:tcW w:w="1300" w:type="dxa"/>
            <w:tcBorders>
              <w:top w:val="nil"/>
              <w:left w:val="nil"/>
              <w:bottom w:val="nil"/>
              <w:right w:val="nil"/>
            </w:tcBorders>
          </w:tcPr>
          <w:p w14:paraId="319B2886"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2.619668</w:t>
            </w:r>
          </w:p>
        </w:tc>
      </w:tr>
      <w:tr w:rsidR="00996576" w14:paraId="3C631CB7" w14:textId="77777777">
        <w:trPr>
          <w:trHeight w:val="262"/>
          <w:jc w:val="center"/>
        </w:trPr>
        <w:tc>
          <w:tcPr>
            <w:tcW w:w="2530" w:type="dxa"/>
            <w:tcBorders>
              <w:top w:val="nil"/>
              <w:left w:val="nil"/>
              <w:bottom w:val="nil"/>
              <w:right w:val="nil"/>
            </w:tcBorders>
          </w:tcPr>
          <w:p w14:paraId="2FB76A25"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R-squared</w:t>
            </w:r>
          </w:p>
        </w:tc>
        <w:tc>
          <w:tcPr>
            <w:tcW w:w="1300" w:type="dxa"/>
            <w:tcBorders>
              <w:top w:val="nil"/>
              <w:left w:val="nil"/>
              <w:bottom w:val="nil"/>
              <w:right w:val="nil"/>
            </w:tcBorders>
          </w:tcPr>
          <w:p w14:paraId="2A6FEA94"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0.929498</w:t>
            </w:r>
          </w:p>
        </w:tc>
        <w:tc>
          <w:tcPr>
            <w:tcW w:w="400" w:type="dxa"/>
            <w:tcBorders>
              <w:top w:val="nil"/>
              <w:left w:val="nil"/>
              <w:bottom w:val="nil"/>
              <w:right w:val="nil"/>
            </w:tcBorders>
          </w:tcPr>
          <w:p w14:paraId="22870124"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0437F98"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Within R-squared</w:t>
            </w:r>
          </w:p>
        </w:tc>
        <w:tc>
          <w:tcPr>
            <w:tcW w:w="1300" w:type="dxa"/>
            <w:tcBorders>
              <w:top w:val="nil"/>
              <w:left w:val="nil"/>
              <w:bottom w:val="nil"/>
              <w:right w:val="nil"/>
            </w:tcBorders>
          </w:tcPr>
          <w:p w14:paraId="2882C8EE"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0.004557</w:t>
            </w:r>
          </w:p>
        </w:tc>
      </w:tr>
      <w:tr w:rsidR="00996576" w14:paraId="04A8AB83" w14:textId="77777777">
        <w:trPr>
          <w:trHeight w:val="262"/>
          <w:jc w:val="center"/>
        </w:trPr>
        <w:tc>
          <w:tcPr>
            <w:tcW w:w="2530" w:type="dxa"/>
            <w:tcBorders>
              <w:top w:val="nil"/>
              <w:left w:val="nil"/>
              <w:bottom w:val="nil"/>
              <w:right w:val="nil"/>
            </w:tcBorders>
          </w:tcPr>
          <w:p w14:paraId="4151728B"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F(181, 2520)</w:t>
            </w:r>
          </w:p>
        </w:tc>
        <w:tc>
          <w:tcPr>
            <w:tcW w:w="1300" w:type="dxa"/>
            <w:tcBorders>
              <w:top w:val="nil"/>
              <w:left w:val="nil"/>
              <w:bottom w:val="nil"/>
              <w:right w:val="nil"/>
            </w:tcBorders>
          </w:tcPr>
          <w:p w14:paraId="6CA42512"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183.5557</w:t>
            </w:r>
          </w:p>
        </w:tc>
        <w:tc>
          <w:tcPr>
            <w:tcW w:w="400" w:type="dxa"/>
            <w:tcBorders>
              <w:top w:val="nil"/>
              <w:left w:val="nil"/>
              <w:bottom w:val="nil"/>
              <w:right w:val="nil"/>
            </w:tcBorders>
          </w:tcPr>
          <w:p w14:paraId="702F16ED"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598F77CF"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P-value(F)</w:t>
            </w:r>
          </w:p>
        </w:tc>
        <w:tc>
          <w:tcPr>
            <w:tcW w:w="1300" w:type="dxa"/>
            <w:tcBorders>
              <w:top w:val="nil"/>
              <w:left w:val="nil"/>
              <w:bottom w:val="nil"/>
              <w:right w:val="nil"/>
            </w:tcBorders>
          </w:tcPr>
          <w:p w14:paraId="6FF427D3"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0.000000</w:t>
            </w:r>
          </w:p>
        </w:tc>
      </w:tr>
      <w:tr w:rsidR="00996576" w14:paraId="001035E5" w14:textId="77777777">
        <w:trPr>
          <w:trHeight w:val="262"/>
          <w:jc w:val="center"/>
        </w:trPr>
        <w:tc>
          <w:tcPr>
            <w:tcW w:w="2530" w:type="dxa"/>
            <w:tcBorders>
              <w:top w:val="nil"/>
              <w:left w:val="nil"/>
              <w:bottom w:val="nil"/>
              <w:right w:val="nil"/>
            </w:tcBorders>
          </w:tcPr>
          <w:p w14:paraId="55C87CC2"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Log-likelihood</w:t>
            </w:r>
          </w:p>
        </w:tc>
        <w:tc>
          <w:tcPr>
            <w:tcW w:w="1300" w:type="dxa"/>
            <w:tcBorders>
              <w:top w:val="nil"/>
              <w:left w:val="nil"/>
              <w:bottom w:val="nil"/>
              <w:right w:val="nil"/>
            </w:tcBorders>
          </w:tcPr>
          <w:p w14:paraId="0766F2D9"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−6341.917</w:t>
            </w:r>
          </w:p>
        </w:tc>
        <w:tc>
          <w:tcPr>
            <w:tcW w:w="400" w:type="dxa"/>
            <w:tcBorders>
              <w:top w:val="nil"/>
              <w:left w:val="nil"/>
              <w:bottom w:val="nil"/>
              <w:right w:val="nil"/>
            </w:tcBorders>
          </w:tcPr>
          <w:p w14:paraId="137F368B"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125C1F75"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Akaike criterion</w:t>
            </w:r>
          </w:p>
        </w:tc>
        <w:tc>
          <w:tcPr>
            <w:tcW w:w="1300" w:type="dxa"/>
            <w:tcBorders>
              <w:top w:val="nil"/>
              <w:left w:val="nil"/>
              <w:bottom w:val="nil"/>
              <w:right w:val="nil"/>
            </w:tcBorders>
          </w:tcPr>
          <w:p w14:paraId="732F7E61"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13047.83</w:t>
            </w:r>
          </w:p>
        </w:tc>
      </w:tr>
      <w:tr w:rsidR="00996576" w14:paraId="56E78C69" w14:textId="77777777">
        <w:trPr>
          <w:trHeight w:val="262"/>
          <w:jc w:val="center"/>
        </w:trPr>
        <w:tc>
          <w:tcPr>
            <w:tcW w:w="2530" w:type="dxa"/>
            <w:tcBorders>
              <w:top w:val="nil"/>
              <w:left w:val="nil"/>
              <w:bottom w:val="nil"/>
              <w:right w:val="nil"/>
            </w:tcBorders>
          </w:tcPr>
          <w:p w14:paraId="08F03FFA"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Schwarz criterion</w:t>
            </w:r>
          </w:p>
        </w:tc>
        <w:tc>
          <w:tcPr>
            <w:tcW w:w="1300" w:type="dxa"/>
            <w:tcBorders>
              <w:top w:val="nil"/>
              <w:left w:val="nil"/>
              <w:bottom w:val="nil"/>
              <w:right w:val="nil"/>
            </w:tcBorders>
          </w:tcPr>
          <w:p w14:paraId="03D30CA1"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14121.95</w:t>
            </w:r>
          </w:p>
        </w:tc>
        <w:tc>
          <w:tcPr>
            <w:tcW w:w="400" w:type="dxa"/>
            <w:tcBorders>
              <w:top w:val="nil"/>
              <w:left w:val="nil"/>
              <w:bottom w:val="nil"/>
              <w:right w:val="nil"/>
            </w:tcBorders>
          </w:tcPr>
          <w:p w14:paraId="52981D1A"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0A140F6"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Hannan-Quinn</w:t>
            </w:r>
          </w:p>
        </w:tc>
        <w:tc>
          <w:tcPr>
            <w:tcW w:w="1300" w:type="dxa"/>
            <w:tcBorders>
              <w:top w:val="nil"/>
              <w:left w:val="nil"/>
              <w:bottom w:val="nil"/>
              <w:right w:val="nil"/>
            </w:tcBorders>
          </w:tcPr>
          <w:p w14:paraId="3545EED1"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13436.25</w:t>
            </w:r>
          </w:p>
        </w:tc>
      </w:tr>
      <w:tr w:rsidR="00996576" w14:paraId="109B285E" w14:textId="77777777">
        <w:trPr>
          <w:trHeight w:val="262"/>
          <w:jc w:val="center"/>
        </w:trPr>
        <w:tc>
          <w:tcPr>
            <w:tcW w:w="2530" w:type="dxa"/>
            <w:tcBorders>
              <w:top w:val="nil"/>
              <w:left w:val="nil"/>
              <w:bottom w:val="nil"/>
              <w:right w:val="nil"/>
            </w:tcBorders>
          </w:tcPr>
          <w:p w14:paraId="0C0272BD"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rho</w:t>
            </w:r>
          </w:p>
        </w:tc>
        <w:tc>
          <w:tcPr>
            <w:tcW w:w="1300" w:type="dxa"/>
            <w:tcBorders>
              <w:top w:val="nil"/>
              <w:left w:val="nil"/>
              <w:bottom w:val="nil"/>
              <w:right w:val="nil"/>
            </w:tcBorders>
          </w:tcPr>
          <w:p w14:paraId="54F860ED"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0.705982</w:t>
            </w:r>
          </w:p>
        </w:tc>
        <w:tc>
          <w:tcPr>
            <w:tcW w:w="400" w:type="dxa"/>
            <w:tcBorders>
              <w:top w:val="nil"/>
              <w:left w:val="nil"/>
              <w:bottom w:val="nil"/>
              <w:right w:val="nil"/>
            </w:tcBorders>
          </w:tcPr>
          <w:p w14:paraId="57AB3AA4" w14:textId="77777777" w:rsidR="00996576" w:rsidRDefault="00996576">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5EF5778C" w14:textId="77777777" w:rsidR="00996576" w:rsidRDefault="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Durbin-Watson</w:t>
            </w:r>
          </w:p>
        </w:tc>
        <w:tc>
          <w:tcPr>
            <w:tcW w:w="1300" w:type="dxa"/>
            <w:tcBorders>
              <w:top w:val="nil"/>
              <w:left w:val="nil"/>
              <w:bottom w:val="nil"/>
              <w:right w:val="nil"/>
            </w:tcBorders>
          </w:tcPr>
          <w:p w14:paraId="09F82B20" w14:textId="77777777" w:rsidR="00996576" w:rsidRDefault="00996576">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0.520524</w:t>
            </w:r>
          </w:p>
        </w:tc>
      </w:tr>
    </w:tbl>
    <w:p w14:paraId="2B686B67" w14:textId="77777777" w:rsidR="00996576" w:rsidRDefault="00996576" w:rsidP="00996576">
      <w:pPr>
        <w:autoSpaceDE w:val="0"/>
        <w:autoSpaceDN w:val="0"/>
        <w:adjustRightInd w:val="0"/>
        <w:spacing w:line="240" w:lineRule="auto"/>
        <w:ind w:firstLine="0"/>
        <w:jc w:val="center"/>
        <w:rPr>
          <w:rFonts w:ascii="Times New Roman" w:hAnsi="Times New Roman" w:cs="Times New Roman"/>
          <w:kern w:val="0"/>
        </w:rPr>
      </w:pPr>
    </w:p>
    <w:p w14:paraId="5FED0C4F"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Joint test on named regressors -</w:t>
      </w:r>
    </w:p>
    <w:p w14:paraId="23FE0DE4"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F(1, 2520) = 11.5367</w:t>
      </w:r>
    </w:p>
    <w:p w14:paraId="6467997A"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P(F(1, 2520) &gt; 11.5367) = 0.000692935</w:t>
      </w:r>
    </w:p>
    <w:p w14:paraId="7577B941"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p>
    <w:p w14:paraId="0D0AEDF3"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Test for differing group intercepts -</w:t>
      </w:r>
    </w:p>
    <w:p w14:paraId="77573627"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Null hypothesis: The groups have a common intercept</w:t>
      </w:r>
    </w:p>
    <w:p w14:paraId="67C55CD1"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F(180, 2520) = 175.131</w:t>
      </w:r>
    </w:p>
    <w:p w14:paraId="1986B870" w14:textId="77777777" w:rsidR="00996576" w:rsidRDefault="00996576" w:rsidP="00996576">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P(F(180, 2520) &gt; 175.131) = 0</w:t>
      </w:r>
    </w:p>
    <w:p w14:paraId="7A091903" w14:textId="3F44D1CB" w:rsidR="00AB483E" w:rsidRDefault="00AB483E" w:rsidP="00996576">
      <w:pPr>
        <w:autoSpaceDE w:val="0"/>
        <w:autoSpaceDN w:val="0"/>
        <w:adjustRightInd w:val="0"/>
        <w:spacing w:line="240" w:lineRule="auto"/>
        <w:ind w:firstLine="0"/>
        <w:rPr>
          <w:rFonts w:ascii="Times New Roman" w:hAnsi="Times New Roman" w:cs="Times New Roman"/>
          <w:kern w:val="0"/>
        </w:rPr>
      </w:pPr>
    </w:p>
    <w:p w14:paraId="41CBDE7B" w14:textId="538EDD59" w:rsidR="00C71FEB" w:rsidRPr="000920CF" w:rsidRDefault="00AB483E" w:rsidP="00184A0B">
      <w:pPr>
        <w:autoSpaceDE w:val="0"/>
        <w:autoSpaceDN w:val="0"/>
        <w:adjustRightInd w:val="0"/>
        <w:rPr>
          <w:rFonts w:ascii="Times New Roman" w:hAnsi="Times New Roman" w:cs="Times New Roman"/>
          <w:kern w:val="0"/>
        </w:rPr>
      </w:pPr>
      <w:r>
        <w:rPr>
          <w:rFonts w:ascii="Times New Roman" w:hAnsi="Times New Roman" w:cs="Times New Roman"/>
          <w:kern w:val="0"/>
        </w:rPr>
        <w:t xml:space="preserve">The model </w:t>
      </w:r>
      <w:r w:rsidR="00702FAA">
        <w:rPr>
          <w:rFonts w:ascii="Times New Roman" w:hAnsi="Times New Roman" w:cs="Times New Roman"/>
          <w:kern w:val="0"/>
        </w:rPr>
        <w:t>above</w:t>
      </w:r>
      <w:r>
        <w:rPr>
          <w:rFonts w:ascii="Times New Roman" w:hAnsi="Times New Roman" w:cs="Times New Roman"/>
          <w:kern w:val="0"/>
        </w:rPr>
        <w:t xml:space="preserve"> uses an univariate regression to describe the effects of total expenditure on life expectancy. </w:t>
      </w:r>
      <w:r w:rsidR="00A63775" w:rsidRPr="00611C95">
        <w:rPr>
          <w:rFonts w:ascii="Times New Roman" w:hAnsi="Times New Roman" w:cs="Times New Roman"/>
          <w:kern w:val="0"/>
        </w:rPr>
        <w:t xml:space="preserve">Since the p-value on ‘Test for differing group intercepts’ is less than 0.05, I can safely reject that the </w:t>
      </w:r>
      <w:r w:rsidR="00595183" w:rsidRPr="00611C95">
        <w:rPr>
          <w:rFonts w:ascii="Times New Roman" w:hAnsi="Times New Roman" w:cs="Times New Roman"/>
          <w:kern w:val="0"/>
        </w:rPr>
        <w:t>groups have a common intercept. Therefore, the fixed effects model is appropriate to use.</w:t>
      </w:r>
      <w:r w:rsidR="00A63775" w:rsidRPr="00611C95">
        <w:rPr>
          <w:rFonts w:ascii="Times New Roman" w:hAnsi="Times New Roman" w:cs="Times New Roman"/>
          <w:kern w:val="0"/>
        </w:rPr>
        <w:t xml:space="preserve"> </w:t>
      </w:r>
      <w:r w:rsidRPr="00611C95">
        <w:rPr>
          <w:rFonts w:ascii="Times New Roman" w:hAnsi="Times New Roman" w:cs="Times New Roman"/>
          <w:kern w:val="0"/>
        </w:rPr>
        <w:t>As</w:t>
      </w:r>
      <w:r>
        <w:rPr>
          <w:rFonts w:ascii="Times New Roman" w:hAnsi="Times New Roman" w:cs="Times New Roman"/>
          <w:kern w:val="0"/>
        </w:rPr>
        <w:t xml:space="preserve"> predicted in the methodology section, it is statistically significant at the 99% confidence level. </w:t>
      </w:r>
      <w:r w:rsidR="00E77FF1">
        <w:rPr>
          <w:rFonts w:ascii="Times New Roman" w:hAnsi="Times New Roman" w:cs="Times New Roman"/>
          <w:kern w:val="0"/>
        </w:rPr>
        <w:t xml:space="preserve">The average person lives </w:t>
      </w:r>
      <w:r w:rsidR="001D2271">
        <w:rPr>
          <w:rFonts w:ascii="Times New Roman" w:hAnsi="Times New Roman" w:cs="Times New Roman"/>
          <w:kern w:val="0"/>
        </w:rPr>
        <w:t xml:space="preserve">for 68.5 years without any help from government spending. </w:t>
      </w:r>
      <w:r>
        <w:rPr>
          <w:rFonts w:ascii="Times New Roman" w:hAnsi="Times New Roman" w:cs="Times New Roman"/>
          <w:kern w:val="0"/>
        </w:rPr>
        <w:t>For each additional percentage point in total expenditure, life expectancy is expected to increase by 0.10 years, on average.</w:t>
      </w:r>
      <w:r w:rsidR="00DC0B43">
        <w:rPr>
          <w:rFonts w:ascii="Times New Roman" w:hAnsi="Times New Roman" w:cs="Times New Roman"/>
          <w:kern w:val="0"/>
        </w:rPr>
        <w:t xml:space="preserve"> </w:t>
      </w:r>
      <w:r w:rsidR="00C71FEB">
        <w:rPr>
          <w:b/>
          <w:bCs/>
        </w:rPr>
        <w:br w:type="page"/>
      </w:r>
    </w:p>
    <w:p w14:paraId="26A8F5F6" w14:textId="61E81AD5" w:rsidR="001B0A4C" w:rsidRPr="008831A9" w:rsidRDefault="00B75F66" w:rsidP="008831A9">
      <w:pPr>
        <w:ind w:firstLine="0"/>
        <w:rPr>
          <w:b/>
          <w:bCs/>
        </w:rPr>
      </w:pPr>
      <w:r>
        <w:rPr>
          <w:b/>
          <w:bCs/>
        </w:rPr>
        <w:lastRenderedPageBreak/>
        <w:t>Multivariate</w:t>
      </w:r>
    </w:p>
    <w:p w14:paraId="4FBF8708"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p>
    <w:p w14:paraId="01AC278F"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Model 2: Fixed-effects, using 2327 observations</w:t>
      </w:r>
    </w:p>
    <w:p w14:paraId="447650C5"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Included 157 cross-sectional units</w:t>
      </w:r>
    </w:p>
    <w:p w14:paraId="0A057BC6"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Time-series length: minimum 3, maximum 16</w:t>
      </w:r>
    </w:p>
    <w:p w14:paraId="0F6A1C1F"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Dependent variable: Lifeexpectancy</w:t>
      </w:r>
    </w:p>
    <w:p w14:paraId="74C585C9"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8831A9" w14:paraId="2075D8D6" w14:textId="77777777">
        <w:trPr>
          <w:trHeight w:val="262"/>
          <w:jc w:val="center"/>
        </w:trPr>
        <w:tc>
          <w:tcPr>
            <w:tcW w:w="1930" w:type="dxa"/>
            <w:tcBorders>
              <w:top w:val="nil"/>
              <w:left w:val="nil"/>
              <w:bottom w:val="nil"/>
              <w:right w:val="nil"/>
            </w:tcBorders>
          </w:tcPr>
          <w:p w14:paraId="58AA5685"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 xml:space="preserve"> </w:t>
            </w:r>
          </w:p>
        </w:tc>
        <w:tc>
          <w:tcPr>
            <w:tcW w:w="1400" w:type="dxa"/>
            <w:tcBorders>
              <w:top w:val="nil"/>
              <w:left w:val="nil"/>
              <w:bottom w:val="nil"/>
              <w:right w:val="nil"/>
            </w:tcBorders>
          </w:tcPr>
          <w:p w14:paraId="19C618BE"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Coefficient</w:t>
            </w:r>
          </w:p>
        </w:tc>
        <w:tc>
          <w:tcPr>
            <w:tcW w:w="1400" w:type="dxa"/>
            <w:tcBorders>
              <w:top w:val="nil"/>
              <w:left w:val="nil"/>
              <w:bottom w:val="nil"/>
              <w:right w:val="nil"/>
            </w:tcBorders>
          </w:tcPr>
          <w:p w14:paraId="5FAFDE21"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Std. Error</w:t>
            </w:r>
          </w:p>
        </w:tc>
        <w:tc>
          <w:tcPr>
            <w:tcW w:w="1400" w:type="dxa"/>
            <w:tcBorders>
              <w:top w:val="nil"/>
              <w:left w:val="nil"/>
              <w:bottom w:val="nil"/>
              <w:right w:val="nil"/>
            </w:tcBorders>
          </w:tcPr>
          <w:p w14:paraId="78E97F29"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t-ratio</w:t>
            </w:r>
          </w:p>
        </w:tc>
        <w:tc>
          <w:tcPr>
            <w:tcW w:w="1400" w:type="dxa"/>
            <w:tcBorders>
              <w:top w:val="nil"/>
              <w:left w:val="nil"/>
              <w:bottom w:val="nil"/>
              <w:right w:val="nil"/>
            </w:tcBorders>
          </w:tcPr>
          <w:p w14:paraId="30C04CAB"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p-value</w:t>
            </w:r>
          </w:p>
        </w:tc>
        <w:tc>
          <w:tcPr>
            <w:tcW w:w="500" w:type="dxa"/>
            <w:tcBorders>
              <w:top w:val="nil"/>
              <w:left w:val="nil"/>
              <w:bottom w:val="nil"/>
              <w:right w:val="nil"/>
            </w:tcBorders>
          </w:tcPr>
          <w:p w14:paraId="5C4A10DD" w14:textId="77777777" w:rsidR="008831A9" w:rsidRDefault="008831A9">
            <w:pPr>
              <w:autoSpaceDE w:val="0"/>
              <w:autoSpaceDN w:val="0"/>
              <w:adjustRightInd w:val="0"/>
              <w:spacing w:line="240" w:lineRule="auto"/>
              <w:ind w:firstLine="0"/>
              <w:rPr>
                <w:rFonts w:ascii="Times New Roman" w:hAnsi="Times New Roman" w:cs="Times New Roman"/>
                <w:kern w:val="0"/>
              </w:rPr>
            </w:pPr>
          </w:p>
        </w:tc>
      </w:tr>
      <w:tr w:rsidR="008831A9" w14:paraId="6F0319E1" w14:textId="77777777">
        <w:trPr>
          <w:trHeight w:val="262"/>
          <w:jc w:val="center"/>
        </w:trPr>
        <w:tc>
          <w:tcPr>
            <w:tcW w:w="1930" w:type="dxa"/>
            <w:tcBorders>
              <w:top w:val="nil"/>
              <w:left w:val="nil"/>
              <w:bottom w:val="nil"/>
              <w:right w:val="nil"/>
            </w:tcBorders>
          </w:tcPr>
          <w:p w14:paraId="640C4875"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const</w:t>
            </w:r>
          </w:p>
        </w:tc>
        <w:tc>
          <w:tcPr>
            <w:tcW w:w="1400" w:type="dxa"/>
            <w:tcBorders>
              <w:top w:val="nil"/>
              <w:left w:val="nil"/>
              <w:bottom w:val="nil"/>
              <w:right w:val="nil"/>
            </w:tcBorders>
          </w:tcPr>
          <w:p w14:paraId="46448B9E"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61.0775</w:t>
            </w:r>
          </w:p>
        </w:tc>
        <w:tc>
          <w:tcPr>
            <w:tcW w:w="1400" w:type="dxa"/>
            <w:tcBorders>
              <w:top w:val="nil"/>
              <w:left w:val="nil"/>
              <w:bottom w:val="nil"/>
              <w:right w:val="nil"/>
            </w:tcBorders>
          </w:tcPr>
          <w:p w14:paraId="4EAD0171"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0.549935</w:t>
            </w:r>
          </w:p>
        </w:tc>
        <w:tc>
          <w:tcPr>
            <w:tcW w:w="1400" w:type="dxa"/>
            <w:tcBorders>
              <w:top w:val="nil"/>
              <w:left w:val="nil"/>
              <w:bottom w:val="nil"/>
              <w:right w:val="nil"/>
            </w:tcBorders>
          </w:tcPr>
          <w:p w14:paraId="5E1D2C1B"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111.1</w:t>
            </w:r>
          </w:p>
        </w:tc>
        <w:tc>
          <w:tcPr>
            <w:tcW w:w="1400" w:type="dxa"/>
            <w:tcBorders>
              <w:top w:val="nil"/>
              <w:left w:val="nil"/>
              <w:bottom w:val="nil"/>
              <w:right w:val="nil"/>
            </w:tcBorders>
          </w:tcPr>
          <w:p w14:paraId="203202C5"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39A0F5D1"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8831A9" w14:paraId="6361A2BF" w14:textId="77777777">
        <w:trPr>
          <w:trHeight w:val="262"/>
          <w:jc w:val="center"/>
        </w:trPr>
        <w:tc>
          <w:tcPr>
            <w:tcW w:w="1930" w:type="dxa"/>
            <w:tcBorders>
              <w:top w:val="nil"/>
              <w:left w:val="nil"/>
              <w:bottom w:val="nil"/>
              <w:right w:val="nil"/>
            </w:tcBorders>
          </w:tcPr>
          <w:p w14:paraId="6504CD77"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Totalexpenditure</w:t>
            </w:r>
          </w:p>
        </w:tc>
        <w:tc>
          <w:tcPr>
            <w:tcW w:w="1400" w:type="dxa"/>
            <w:tcBorders>
              <w:top w:val="nil"/>
              <w:left w:val="nil"/>
              <w:bottom w:val="nil"/>
              <w:right w:val="nil"/>
            </w:tcBorders>
          </w:tcPr>
          <w:p w14:paraId="044B2A79"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0.0351654</w:t>
            </w:r>
          </w:p>
        </w:tc>
        <w:tc>
          <w:tcPr>
            <w:tcW w:w="1400" w:type="dxa"/>
            <w:tcBorders>
              <w:top w:val="nil"/>
              <w:left w:val="nil"/>
              <w:bottom w:val="nil"/>
              <w:right w:val="nil"/>
            </w:tcBorders>
          </w:tcPr>
          <w:p w14:paraId="52A90812"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0.0302042</w:t>
            </w:r>
          </w:p>
        </w:tc>
        <w:tc>
          <w:tcPr>
            <w:tcW w:w="1400" w:type="dxa"/>
            <w:tcBorders>
              <w:top w:val="nil"/>
              <w:left w:val="nil"/>
              <w:bottom w:val="nil"/>
              <w:right w:val="nil"/>
            </w:tcBorders>
          </w:tcPr>
          <w:p w14:paraId="39A78982"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1.164</w:t>
            </w:r>
          </w:p>
        </w:tc>
        <w:tc>
          <w:tcPr>
            <w:tcW w:w="1400" w:type="dxa"/>
            <w:tcBorders>
              <w:top w:val="nil"/>
              <w:left w:val="nil"/>
              <w:bottom w:val="nil"/>
              <w:right w:val="nil"/>
            </w:tcBorders>
          </w:tcPr>
          <w:p w14:paraId="6B531A70"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0.2444</w:t>
            </w:r>
          </w:p>
        </w:tc>
        <w:tc>
          <w:tcPr>
            <w:tcW w:w="500" w:type="dxa"/>
            <w:tcBorders>
              <w:top w:val="nil"/>
              <w:left w:val="nil"/>
              <w:bottom w:val="nil"/>
              <w:right w:val="nil"/>
            </w:tcBorders>
          </w:tcPr>
          <w:p w14:paraId="6E2A2F33" w14:textId="77777777" w:rsidR="008831A9" w:rsidRDefault="008831A9">
            <w:pPr>
              <w:autoSpaceDE w:val="0"/>
              <w:autoSpaceDN w:val="0"/>
              <w:adjustRightInd w:val="0"/>
              <w:spacing w:line="240" w:lineRule="auto"/>
              <w:ind w:firstLine="0"/>
              <w:rPr>
                <w:rFonts w:ascii="Times New Roman" w:hAnsi="Times New Roman" w:cs="Times New Roman"/>
                <w:kern w:val="0"/>
              </w:rPr>
            </w:pPr>
          </w:p>
        </w:tc>
      </w:tr>
      <w:tr w:rsidR="008831A9" w14:paraId="5B16926E" w14:textId="77777777">
        <w:trPr>
          <w:trHeight w:val="262"/>
          <w:jc w:val="center"/>
        </w:trPr>
        <w:tc>
          <w:tcPr>
            <w:tcW w:w="1930" w:type="dxa"/>
            <w:tcBorders>
              <w:top w:val="nil"/>
              <w:left w:val="nil"/>
              <w:bottom w:val="nil"/>
              <w:right w:val="nil"/>
            </w:tcBorders>
          </w:tcPr>
          <w:p w14:paraId="33AD76E5"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AdultMortality</w:t>
            </w:r>
          </w:p>
        </w:tc>
        <w:tc>
          <w:tcPr>
            <w:tcW w:w="1400" w:type="dxa"/>
            <w:tcBorders>
              <w:top w:val="nil"/>
              <w:left w:val="nil"/>
              <w:bottom w:val="nil"/>
              <w:right w:val="nil"/>
            </w:tcBorders>
          </w:tcPr>
          <w:p w14:paraId="20B6EC2F"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−0.00402836</w:t>
            </w:r>
          </w:p>
        </w:tc>
        <w:tc>
          <w:tcPr>
            <w:tcW w:w="1400" w:type="dxa"/>
            <w:tcBorders>
              <w:top w:val="nil"/>
              <w:left w:val="nil"/>
              <w:bottom w:val="nil"/>
              <w:right w:val="nil"/>
            </w:tcBorders>
          </w:tcPr>
          <w:p w14:paraId="248F9B5F"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0.000597465</w:t>
            </w:r>
          </w:p>
        </w:tc>
        <w:tc>
          <w:tcPr>
            <w:tcW w:w="1400" w:type="dxa"/>
            <w:tcBorders>
              <w:top w:val="nil"/>
              <w:left w:val="nil"/>
              <w:bottom w:val="nil"/>
              <w:right w:val="nil"/>
            </w:tcBorders>
          </w:tcPr>
          <w:p w14:paraId="34484C40"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−6.742</w:t>
            </w:r>
          </w:p>
        </w:tc>
        <w:tc>
          <w:tcPr>
            <w:tcW w:w="1400" w:type="dxa"/>
            <w:tcBorders>
              <w:top w:val="nil"/>
              <w:left w:val="nil"/>
              <w:bottom w:val="nil"/>
              <w:right w:val="nil"/>
            </w:tcBorders>
          </w:tcPr>
          <w:p w14:paraId="54A20AB1"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6781012A"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8831A9" w14:paraId="44607219" w14:textId="77777777">
        <w:trPr>
          <w:trHeight w:val="262"/>
          <w:jc w:val="center"/>
        </w:trPr>
        <w:tc>
          <w:tcPr>
            <w:tcW w:w="1930" w:type="dxa"/>
            <w:tcBorders>
              <w:top w:val="nil"/>
              <w:left w:val="nil"/>
              <w:bottom w:val="nil"/>
              <w:right w:val="nil"/>
            </w:tcBorders>
          </w:tcPr>
          <w:p w14:paraId="0BFC6E90"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underfivedeaths</w:t>
            </w:r>
          </w:p>
        </w:tc>
        <w:tc>
          <w:tcPr>
            <w:tcW w:w="1400" w:type="dxa"/>
            <w:tcBorders>
              <w:top w:val="nil"/>
              <w:left w:val="nil"/>
              <w:bottom w:val="nil"/>
              <w:right w:val="nil"/>
            </w:tcBorders>
          </w:tcPr>
          <w:p w14:paraId="6E2A53AA"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−0.00844574</w:t>
            </w:r>
          </w:p>
        </w:tc>
        <w:tc>
          <w:tcPr>
            <w:tcW w:w="1400" w:type="dxa"/>
            <w:tcBorders>
              <w:top w:val="nil"/>
              <w:left w:val="nil"/>
              <w:bottom w:val="nil"/>
              <w:right w:val="nil"/>
            </w:tcBorders>
          </w:tcPr>
          <w:p w14:paraId="68D89A4A"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0.00142598</w:t>
            </w:r>
          </w:p>
        </w:tc>
        <w:tc>
          <w:tcPr>
            <w:tcW w:w="1400" w:type="dxa"/>
            <w:tcBorders>
              <w:top w:val="nil"/>
              <w:left w:val="nil"/>
              <w:bottom w:val="nil"/>
              <w:right w:val="nil"/>
            </w:tcBorders>
          </w:tcPr>
          <w:p w14:paraId="58A3FAB3"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−5.923</w:t>
            </w:r>
          </w:p>
        </w:tc>
        <w:tc>
          <w:tcPr>
            <w:tcW w:w="1400" w:type="dxa"/>
            <w:tcBorders>
              <w:top w:val="nil"/>
              <w:left w:val="nil"/>
              <w:bottom w:val="nil"/>
              <w:right w:val="nil"/>
            </w:tcBorders>
          </w:tcPr>
          <w:p w14:paraId="25D57B7F"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09EF8225"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8831A9" w14:paraId="251825AF" w14:textId="77777777">
        <w:trPr>
          <w:trHeight w:val="262"/>
          <w:jc w:val="center"/>
        </w:trPr>
        <w:tc>
          <w:tcPr>
            <w:tcW w:w="1930" w:type="dxa"/>
            <w:tcBorders>
              <w:top w:val="nil"/>
              <w:left w:val="nil"/>
              <w:bottom w:val="nil"/>
              <w:right w:val="nil"/>
            </w:tcBorders>
          </w:tcPr>
          <w:p w14:paraId="43060CD0"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Schooling</w:t>
            </w:r>
          </w:p>
        </w:tc>
        <w:tc>
          <w:tcPr>
            <w:tcW w:w="1400" w:type="dxa"/>
            <w:tcBorders>
              <w:top w:val="nil"/>
              <w:left w:val="nil"/>
              <w:bottom w:val="nil"/>
              <w:right w:val="nil"/>
            </w:tcBorders>
          </w:tcPr>
          <w:p w14:paraId="5A265855"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0.737210</w:t>
            </w:r>
          </w:p>
        </w:tc>
        <w:tc>
          <w:tcPr>
            <w:tcW w:w="1400" w:type="dxa"/>
            <w:tcBorders>
              <w:top w:val="nil"/>
              <w:left w:val="nil"/>
              <w:bottom w:val="nil"/>
              <w:right w:val="nil"/>
            </w:tcBorders>
          </w:tcPr>
          <w:p w14:paraId="0C17ADBE"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0.0409343</w:t>
            </w:r>
          </w:p>
        </w:tc>
        <w:tc>
          <w:tcPr>
            <w:tcW w:w="1400" w:type="dxa"/>
            <w:tcBorders>
              <w:top w:val="nil"/>
              <w:left w:val="nil"/>
              <w:bottom w:val="nil"/>
              <w:right w:val="nil"/>
            </w:tcBorders>
          </w:tcPr>
          <w:p w14:paraId="037104FB"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18.01</w:t>
            </w:r>
          </w:p>
        </w:tc>
        <w:tc>
          <w:tcPr>
            <w:tcW w:w="1400" w:type="dxa"/>
            <w:tcBorders>
              <w:top w:val="nil"/>
              <w:left w:val="nil"/>
              <w:bottom w:val="nil"/>
              <w:right w:val="nil"/>
            </w:tcBorders>
          </w:tcPr>
          <w:p w14:paraId="21D8B214"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11347924"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8831A9" w14:paraId="3FCF9D4B" w14:textId="77777777">
        <w:trPr>
          <w:trHeight w:val="262"/>
          <w:jc w:val="center"/>
        </w:trPr>
        <w:tc>
          <w:tcPr>
            <w:tcW w:w="1930" w:type="dxa"/>
            <w:tcBorders>
              <w:top w:val="nil"/>
              <w:left w:val="nil"/>
              <w:bottom w:val="nil"/>
              <w:right w:val="nil"/>
            </w:tcBorders>
          </w:tcPr>
          <w:p w14:paraId="2A6A689E"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GDP</w:t>
            </w:r>
          </w:p>
        </w:tc>
        <w:tc>
          <w:tcPr>
            <w:tcW w:w="1400" w:type="dxa"/>
            <w:tcBorders>
              <w:top w:val="nil"/>
              <w:left w:val="nil"/>
              <w:bottom w:val="nil"/>
              <w:right w:val="nil"/>
            </w:tcBorders>
          </w:tcPr>
          <w:p w14:paraId="4F3C3829"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1.60719e-05</w:t>
            </w:r>
          </w:p>
        </w:tc>
        <w:tc>
          <w:tcPr>
            <w:tcW w:w="1400" w:type="dxa"/>
            <w:tcBorders>
              <w:top w:val="nil"/>
              <w:left w:val="nil"/>
              <w:bottom w:val="nil"/>
              <w:right w:val="nil"/>
            </w:tcBorders>
          </w:tcPr>
          <w:p w14:paraId="544350AA"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5.28741e-06</w:t>
            </w:r>
          </w:p>
        </w:tc>
        <w:tc>
          <w:tcPr>
            <w:tcW w:w="1400" w:type="dxa"/>
            <w:tcBorders>
              <w:top w:val="nil"/>
              <w:left w:val="nil"/>
              <w:bottom w:val="nil"/>
              <w:right w:val="nil"/>
            </w:tcBorders>
          </w:tcPr>
          <w:p w14:paraId="357A6672"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3.040</w:t>
            </w:r>
          </w:p>
        </w:tc>
        <w:tc>
          <w:tcPr>
            <w:tcW w:w="1400" w:type="dxa"/>
            <w:tcBorders>
              <w:top w:val="nil"/>
              <w:left w:val="nil"/>
              <w:bottom w:val="nil"/>
              <w:right w:val="nil"/>
            </w:tcBorders>
          </w:tcPr>
          <w:p w14:paraId="33B8F157"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0.0024</w:t>
            </w:r>
          </w:p>
        </w:tc>
        <w:tc>
          <w:tcPr>
            <w:tcW w:w="500" w:type="dxa"/>
            <w:tcBorders>
              <w:top w:val="nil"/>
              <w:left w:val="nil"/>
              <w:bottom w:val="nil"/>
              <w:right w:val="nil"/>
            </w:tcBorders>
          </w:tcPr>
          <w:p w14:paraId="590F6CD9"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bl>
    <w:p w14:paraId="1AD225A2"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8831A9" w14:paraId="4BDA75B2" w14:textId="77777777">
        <w:trPr>
          <w:trHeight w:val="262"/>
          <w:jc w:val="center"/>
        </w:trPr>
        <w:tc>
          <w:tcPr>
            <w:tcW w:w="2530" w:type="dxa"/>
            <w:tcBorders>
              <w:top w:val="nil"/>
              <w:left w:val="nil"/>
              <w:bottom w:val="nil"/>
              <w:right w:val="nil"/>
            </w:tcBorders>
          </w:tcPr>
          <w:p w14:paraId="0AFA7419"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Mean dependent var</w:t>
            </w:r>
          </w:p>
        </w:tc>
        <w:tc>
          <w:tcPr>
            <w:tcW w:w="1300" w:type="dxa"/>
            <w:tcBorders>
              <w:top w:val="nil"/>
              <w:left w:val="nil"/>
              <w:bottom w:val="nil"/>
              <w:right w:val="nil"/>
            </w:tcBorders>
          </w:tcPr>
          <w:p w14:paraId="4544980E"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69.25733</w:t>
            </w:r>
          </w:p>
        </w:tc>
        <w:tc>
          <w:tcPr>
            <w:tcW w:w="400" w:type="dxa"/>
            <w:tcBorders>
              <w:top w:val="nil"/>
              <w:left w:val="nil"/>
              <w:bottom w:val="nil"/>
              <w:right w:val="nil"/>
            </w:tcBorders>
          </w:tcPr>
          <w:p w14:paraId="738A3B08"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19079BF8"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S.D. dependent var</w:t>
            </w:r>
          </w:p>
        </w:tc>
        <w:tc>
          <w:tcPr>
            <w:tcW w:w="1300" w:type="dxa"/>
            <w:tcBorders>
              <w:top w:val="nil"/>
              <w:left w:val="nil"/>
              <w:bottom w:val="nil"/>
              <w:right w:val="nil"/>
            </w:tcBorders>
          </w:tcPr>
          <w:p w14:paraId="53F72886"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9.692745</w:t>
            </w:r>
          </w:p>
        </w:tc>
      </w:tr>
      <w:tr w:rsidR="008831A9" w14:paraId="47EFD36D" w14:textId="77777777">
        <w:trPr>
          <w:trHeight w:val="262"/>
          <w:jc w:val="center"/>
        </w:trPr>
        <w:tc>
          <w:tcPr>
            <w:tcW w:w="2530" w:type="dxa"/>
            <w:tcBorders>
              <w:top w:val="nil"/>
              <w:left w:val="nil"/>
              <w:bottom w:val="nil"/>
              <w:right w:val="nil"/>
            </w:tcBorders>
          </w:tcPr>
          <w:p w14:paraId="16E1FF6A"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Sum squared resid</w:t>
            </w:r>
          </w:p>
        </w:tc>
        <w:tc>
          <w:tcPr>
            <w:tcW w:w="1300" w:type="dxa"/>
            <w:tcBorders>
              <w:top w:val="nil"/>
              <w:left w:val="nil"/>
              <w:bottom w:val="nil"/>
              <w:right w:val="nil"/>
            </w:tcBorders>
          </w:tcPr>
          <w:p w14:paraId="77103F80"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11936.47</w:t>
            </w:r>
          </w:p>
        </w:tc>
        <w:tc>
          <w:tcPr>
            <w:tcW w:w="400" w:type="dxa"/>
            <w:tcBorders>
              <w:top w:val="nil"/>
              <w:left w:val="nil"/>
              <w:bottom w:val="nil"/>
              <w:right w:val="nil"/>
            </w:tcBorders>
          </w:tcPr>
          <w:p w14:paraId="456101F8"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595534C"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S.E. of regression</w:t>
            </w:r>
          </w:p>
        </w:tc>
        <w:tc>
          <w:tcPr>
            <w:tcW w:w="1300" w:type="dxa"/>
            <w:tcBorders>
              <w:top w:val="nil"/>
              <w:left w:val="nil"/>
              <w:bottom w:val="nil"/>
              <w:right w:val="nil"/>
            </w:tcBorders>
          </w:tcPr>
          <w:p w14:paraId="3CA95A09"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2.348059</w:t>
            </w:r>
          </w:p>
        </w:tc>
      </w:tr>
      <w:tr w:rsidR="008831A9" w14:paraId="7CD20386" w14:textId="77777777">
        <w:trPr>
          <w:trHeight w:val="262"/>
          <w:jc w:val="center"/>
        </w:trPr>
        <w:tc>
          <w:tcPr>
            <w:tcW w:w="2530" w:type="dxa"/>
            <w:tcBorders>
              <w:top w:val="nil"/>
              <w:left w:val="nil"/>
              <w:bottom w:val="nil"/>
              <w:right w:val="nil"/>
            </w:tcBorders>
          </w:tcPr>
          <w:p w14:paraId="568ED35D"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R-squared</w:t>
            </w:r>
          </w:p>
        </w:tc>
        <w:tc>
          <w:tcPr>
            <w:tcW w:w="1300" w:type="dxa"/>
            <w:tcBorders>
              <w:top w:val="nil"/>
              <w:left w:val="nil"/>
              <w:bottom w:val="nil"/>
              <w:right w:val="nil"/>
            </w:tcBorders>
          </w:tcPr>
          <w:p w14:paraId="404F7DA9"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0.945377</w:t>
            </w:r>
          </w:p>
        </w:tc>
        <w:tc>
          <w:tcPr>
            <w:tcW w:w="400" w:type="dxa"/>
            <w:tcBorders>
              <w:top w:val="nil"/>
              <w:left w:val="nil"/>
              <w:bottom w:val="nil"/>
              <w:right w:val="nil"/>
            </w:tcBorders>
          </w:tcPr>
          <w:p w14:paraId="4494A54B"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1596137A"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Within R-squared</w:t>
            </w:r>
          </w:p>
        </w:tc>
        <w:tc>
          <w:tcPr>
            <w:tcW w:w="1300" w:type="dxa"/>
            <w:tcBorders>
              <w:top w:val="nil"/>
              <w:left w:val="nil"/>
              <w:bottom w:val="nil"/>
              <w:right w:val="nil"/>
            </w:tcBorders>
          </w:tcPr>
          <w:p w14:paraId="3975F202"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0.189476</w:t>
            </w:r>
          </w:p>
        </w:tc>
      </w:tr>
      <w:tr w:rsidR="008831A9" w14:paraId="0906DB89" w14:textId="77777777">
        <w:trPr>
          <w:trHeight w:val="262"/>
          <w:jc w:val="center"/>
        </w:trPr>
        <w:tc>
          <w:tcPr>
            <w:tcW w:w="2530" w:type="dxa"/>
            <w:tcBorders>
              <w:top w:val="nil"/>
              <w:left w:val="nil"/>
              <w:bottom w:val="nil"/>
              <w:right w:val="nil"/>
            </w:tcBorders>
          </w:tcPr>
          <w:p w14:paraId="1FDE32DA"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F(161, 2165)</w:t>
            </w:r>
          </w:p>
        </w:tc>
        <w:tc>
          <w:tcPr>
            <w:tcW w:w="1300" w:type="dxa"/>
            <w:tcBorders>
              <w:top w:val="nil"/>
              <w:left w:val="nil"/>
              <w:bottom w:val="nil"/>
              <w:right w:val="nil"/>
            </w:tcBorders>
          </w:tcPr>
          <w:p w14:paraId="2A51A2BF"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232.7365</w:t>
            </w:r>
          </w:p>
        </w:tc>
        <w:tc>
          <w:tcPr>
            <w:tcW w:w="400" w:type="dxa"/>
            <w:tcBorders>
              <w:top w:val="nil"/>
              <w:left w:val="nil"/>
              <w:bottom w:val="nil"/>
              <w:right w:val="nil"/>
            </w:tcBorders>
          </w:tcPr>
          <w:p w14:paraId="18DD5327"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7DCBC9DE"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P-value(F)</w:t>
            </w:r>
          </w:p>
        </w:tc>
        <w:tc>
          <w:tcPr>
            <w:tcW w:w="1300" w:type="dxa"/>
            <w:tcBorders>
              <w:top w:val="nil"/>
              <w:left w:val="nil"/>
              <w:bottom w:val="nil"/>
              <w:right w:val="nil"/>
            </w:tcBorders>
          </w:tcPr>
          <w:p w14:paraId="0E0C4D87"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0.000000</w:t>
            </w:r>
          </w:p>
        </w:tc>
      </w:tr>
      <w:tr w:rsidR="008831A9" w14:paraId="00BC9B86" w14:textId="77777777">
        <w:trPr>
          <w:trHeight w:val="262"/>
          <w:jc w:val="center"/>
        </w:trPr>
        <w:tc>
          <w:tcPr>
            <w:tcW w:w="2530" w:type="dxa"/>
            <w:tcBorders>
              <w:top w:val="nil"/>
              <w:left w:val="nil"/>
              <w:bottom w:val="nil"/>
              <w:right w:val="nil"/>
            </w:tcBorders>
          </w:tcPr>
          <w:p w14:paraId="6720BFAE"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Log-likelihood</w:t>
            </w:r>
          </w:p>
        </w:tc>
        <w:tc>
          <w:tcPr>
            <w:tcW w:w="1300" w:type="dxa"/>
            <w:tcBorders>
              <w:top w:val="nil"/>
              <w:left w:val="nil"/>
              <w:bottom w:val="nil"/>
              <w:right w:val="nil"/>
            </w:tcBorders>
          </w:tcPr>
          <w:p w14:paraId="6E6656CA"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−5204.214</w:t>
            </w:r>
          </w:p>
        </w:tc>
        <w:tc>
          <w:tcPr>
            <w:tcW w:w="400" w:type="dxa"/>
            <w:tcBorders>
              <w:top w:val="nil"/>
              <w:left w:val="nil"/>
              <w:bottom w:val="nil"/>
              <w:right w:val="nil"/>
            </w:tcBorders>
          </w:tcPr>
          <w:p w14:paraId="671C88C1"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4CB73A3D"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Akaike criterion</w:t>
            </w:r>
          </w:p>
        </w:tc>
        <w:tc>
          <w:tcPr>
            <w:tcW w:w="1300" w:type="dxa"/>
            <w:tcBorders>
              <w:top w:val="nil"/>
              <w:left w:val="nil"/>
              <w:bottom w:val="nil"/>
              <w:right w:val="nil"/>
            </w:tcBorders>
          </w:tcPr>
          <w:p w14:paraId="2C42261B"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10732.43</w:t>
            </w:r>
          </w:p>
        </w:tc>
      </w:tr>
      <w:tr w:rsidR="008831A9" w14:paraId="55FD707C" w14:textId="77777777">
        <w:trPr>
          <w:trHeight w:val="262"/>
          <w:jc w:val="center"/>
        </w:trPr>
        <w:tc>
          <w:tcPr>
            <w:tcW w:w="2530" w:type="dxa"/>
            <w:tcBorders>
              <w:top w:val="nil"/>
              <w:left w:val="nil"/>
              <w:bottom w:val="nil"/>
              <w:right w:val="nil"/>
            </w:tcBorders>
          </w:tcPr>
          <w:p w14:paraId="5EA7229E"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Schwarz criterion</w:t>
            </w:r>
          </w:p>
        </w:tc>
        <w:tc>
          <w:tcPr>
            <w:tcW w:w="1300" w:type="dxa"/>
            <w:tcBorders>
              <w:top w:val="nil"/>
              <w:left w:val="nil"/>
              <w:bottom w:val="nil"/>
              <w:right w:val="nil"/>
            </w:tcBorders>
          </w:tcPr>
          <w:p w14:paraId="4CE7F76B"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11664.31</w:t>
            </w:r>
          </w:p>
        </w:tc>
        <w:tc>
          <w:tcPr>
            <w:tcW w:w="400" w:type="dxa"/>
            <w:tcBorders>
              <w:top w:val="nil"/>
              <w:left w:val="nil"/>
              <w:bottom w:val="nil"/>
              <w:right w:val="nil"/>
            </w:tcBorders>
          </w:tcPr>
          <w:p w14:paraId="7A0B9803"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29D3AA9F"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Hannan-Quinn</w:t>
            </w:r>
          </w:p>
        </w:tc>
        <w:tc>
          <w:tcPr>
            <w:tcW w:w="1300" w:type="dxa"/>
            <w:tcBorders>
              <w:top w:val="nil"/>
              <w:left w:val="nil"/>
              <w:bottom w:val="nil"/>
              <w:right w:val="nil"/>
            </w:tcBorders>
          </w:tcPr>
          <w:p w14:paraId="38454F3C"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11071.98</w:t>
            </w:r>
          </w:p>
        </w:tc>
      </w:tr>
      <w:tr w:rsidR="008831A9" w14:paraId="319F2343" w14:textId="77777777">
        <w:trPr>
          <w:trHeight w:val="262"/>
          <w:jc w:val="center"/>
        </w:trPr>
        <w:tc>
          <w:tcPr>
            <w:tcW w:w="2530" w:type="dxa"/>
            <w:tcBorders>
              <w:top w:val="nil"/>
              <w:left w:val="nil"/>
              <w:bottom w:val="nil"/>
              <w:right w:val="nil"/>
            </w:tcBorders>
          </w:tcPr>
          <w:p w14:paraId="76D12E05"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rho</w:t>
            </w:r>
          </w:p>
        </w:tc>
        <w:tc>
          <w:tcPr>
            <w:tcW w:w="1300" w:type="dxa"/>
            <w:tcBorders>
              <w:top w:val="nil"/>
              <w:left w:val="nil"/>
              <w:bottom w:val="nil"/>
              <w:right w:val="nil"/>
            </w:tcBorders>
          </w:tcPr>
          <w:p w14:paraId="51DF6203"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0.609966</w:t>
            </w:r>
          </w:p>
        </w:tc>
        <w:tc>
          <w:tcPr>
            <w:tcW w:w="400" w:type="dxa"/>
            <w:tcBorders>
              <w:top w:val="nil"/>
              <w:left w:val="nil"/>
              <w:bottom w:val="nil"/>
              <w:right w:val="nil"/>
            </w:tcBorders>
          </w:tcPr>
          <w:p w14:paraId="01BFF206" w14:textId="77777777" w:rsidR="008831A9" w:rsidRDefault="008831A9">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BB476FE" w14:textId="77777777" w:rsidR="008831A9" w:rsidRDefault="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Durbin-Watson</w:t>
            </w:r>
          </w:p>
        </w:tc>
        <w:tc>
          <w:tcPr>
            <w:tcW w:w="1300" w:type="dxa"/>
            <w:tcBorders>
              <w:top w:val="nil"/>
              <w:left w:val="nil"/>
              <w:bottom w:val="nil"/>
              <w:right w:val="nil"/>
            </w:tcBorders>
          </w:tcPr>
          <w:p w14:paraId="1545CB90" w14:textId="77777777" w:rsidR="008831A9" w:rsidRDefault="008831A9">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0.688042</w:t>
            </w:r>
          </w:p>
        </w:tc>
      </w:tr>
    </w:tbl>
    <w:p w14:paraId="411893E9" w14:textId="77777777" w:rsidR="008831A9" w:rsidRDefault="008831A9" w:rsidP="008831A9">
      <w:pPr>
        <w:autoSpaceDE w:val="0"/>
        <w:autoSpaceDN w:val="0"/>
        <w:adjustRightInd w:val="0"/>
        <w:spacing w:line="240" w:lineRule="auto"/>
        <w:ind w:firstLine="0"/>
        <w:jc w:val="center"/>
        <w:rPr>
          <w:rFonts w:ascii="Times New Roman" w:hAnsi="Times New Roman" w:cs="Times New Roman"/>
          <w:kern w:val="0"/>
        </w:rPr>
      </w:pPr>
    </w:p>
    <w:p w14:paraId="66EF31ED"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Joint test on named regressors -</w:t>
      </w:r>
    </w:p>
    <w:p w14:paraId="015B3A9A"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F(5, 2165) = 101.222</w:t>
      </w:r>
    </w:p>
    <w:p w14:paraId="23E3CFD5"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P(F(5, 2165) &gt; 101.222) = 3.86073e-096</w:t>
      </w:r>
    </w:p>
    <w:p w14:paraId="75A8E675"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p>
    <w:p w14:paraId="6B9E182A"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Test for differing group intercepts -</w:t>
      </w:r>
    </w:p>
    <w:p w14:paraId="2B11FD05"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Null hypothesis: The groups have a common intercept</w:t>
      </w:r>
    </w:p>
    <w:p w14:paraId="6C2462BC"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F(156, 2165) = 55.249</w:t>
      </w:r>
    </w:p>
    <w:p w14:paraId="4AECAFCC" w14:textId="77777777" w:rsidR="008831A9" w:rsidRDefault="008831A9" w:rsidP="008831A9">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P(F(156, 2165) &gt; 55.249) = 0</w:t>
      </w:r>
    </w:p>
    <w:p w14:paraId="6F488972" w14:textId="77777777" w:rsidR="002745EE" w:rsidRDefault="002745EE" w:rsidP="006A53F8"/>
    <w:p w14:paraId="6C8C1044" w14:textId="42E6AED3" w:rsidR="008831A9" w:rsidRPr="00184A0B" w:rsidRDefault="006E4862" w:rsidP="008831A9">
      <w:pPr>
        <w:rPr>
          <w:kern w:val="0"/>
        </w:rPr>
      </w:pPr>
      <w:r w:rsidRPr="00403927">
        <w:t xml:space="preserve"> </w:t>
      </w:r>
      <w:r w:rsidR="00AB483E" w:rsidRPr="00403927">
        <w:t xml:space="preserve">Model </w:t>
      </w:r>
      <w:r w:rsidR="00403927" w:rsidRPr="00403927">
        <w:t xml:space="preserve">2 </w:t>
      </w:r>
      <w:r w:rsidR="005560D3" w:rsidRPr="00403927">
        <w:t>investigates</w:t>
      </w:r>
      <w:r w:rsidR="00403927">
        <w:t xml:space="preserve"> the effects of death rates in various age categories</w:t>
      </w:r>
      <w:r w:rsidR="00CD0DE5">
        <w:t>.</w:t>
      </w:r>
      <w:r w:rsidR="00096E33">
        <w:t xml:space="preserve"> </w:t>
      </w:r>
      <w:r w:rsidR="00F11CD0">
        <w:t>Each variable</w:t>
      </w:r>
      <w:r w:rsidR="001B0A4C">
        <w:t xml:space="preserve">, except for total expenditure, </w:t>
      </w:r>
      <w:r w:rsidR="00F11CD0">
        <w:t xml:space="preserve"> </w:t>
      </w:r>
      <w:r w:rsidR="009B5FC2">
        <w:t>is</w:t>
      </w:r>
      <w:r w:rsidR="00F11CD0">
        <w:t xml:space="preserve"> statistically</w:t>
      </w:r>
      <w:r w:rsidR="001B0A4C">
        <w:t xml:space="preserve"> </w:t>
      </w:r>
      <w:r w:rsidR="00F11CD0">
        <w:t xml:space="preserve">significant at the 99% </w:t>
      </w:r>
      <w:r w:rsidR="00F11CD0" w:rsidRPr="00545E8D">
        <w:t xml:space="preserve">confidence level. </w:t>
      </w:r>
      <w:r w:rsidR="00595183" w:rsidRPr="00545E8D">
        <w:rPr>
          <w:rFonts w:ascii="Times New Roman" w:hAnsi="Times New Roman" w:cs="Times New Roman"/>
          <w:kern w:val="0"/>
        </w:rPr>
        <w:t xml:space="preserve">Since the p-value is zero, fixed effects </w:t>
      </w:r>
      <w:proofErr w:type="gramStart"/>
      <w:r w:rsidR="00595183" w:rsidRPr="00545E8D">
        <w:rPr>
          <w:rFonts w:ascii="Times New Roman" w:hAnsi="Times New Roman" w:cs="Times New Roman"/>
          <w:kern w:val="0"/>
        </w:rPr>
        <w:t>is</w:t>
      </w:r>
      <w:proofErr w:type="gramEnd"/>
      <w:r w:rsidR="00595183" w:rsidRPr="00545E8D">
        <w:rPr>
          <w:rFonts w:ascii="Times New Roman" w:hAnsi="Times New Roman" w:cs="Times New Roman"/>
          <w:kern w:val="0"/>
        </w:rPr>
        <w:t xml:space="preserve"> better than pooled effects. </w:t>
      </w:r>
      <w:r w:rsidR="008831A9" w:rsidRPr="00545E8D">
        <w:t xml:space="preserve">The added effect of GDP  takes into account </w:t>
      </w:r>
      <w:r w:rsidR="007F0B39" w:rsidRPr="00545E8D">
        <w:t>a country’s economic health. It is the market value of all finish products over a year. When added into the regression, total expenditures losses all significance. While its effect on life expectancy is small, GDP acts as a control for income</w:t>
      </w:r>
      <w:r w:rsidR="00F94D20">
        <w:t xml:space="preserve"> and wealth a country earns</w:t>
      </w:r>
      <w:r w:rsidR="007F0B39" w:rsidRPr="00545E8D">
        <w:t>.</w:t>
      </w:r>
    </w:p>
    <w:p w14:paraId="18377EAF" w14:textId="0FEC9483" w:rsidR="00E84BA3" w:rsidRDefault="0008432F" w:rsidP="00184A0B">
      <w:r>
        <w:lastRenderedPageBreak/>
        <w:t>Adult mortality and deaths under 5 years old decrease life expec</w:t>
      </w:r>
      <w:r w:rsidR="008E74A3">
        <w:t xml:space="preserve">tancy. </w:t>
      </w:r>
      <w:r w:rsidR="002869EA">
        <w:t xml:space="preserve">Per every 1000 </w:t>
      </w:r>
      <w:r w:rsidR="00E84BA3">
        <w:t>deaths</w:t>
      </w:r>
      <w:r w:rsidR="00AE63EA">
        <w:t xml:space="preserve"> of under </w:t>
      </w:r>
      <w:r w:rsidR="00A53CC2">
        <w:t>5</w:t>
      </w:r>
      <w:r w:rsidR="00C263CF">
        <w:t>-</w:t>
      </w:r>
      <w:r w:rsidR="00A53CC2">
        <w:t>year-olds</w:t>
      </w:r>
      <w:r w:rsidR="00E84BA3">
        <w:t xml:space="preserve">, life expectancy </w:t>
      </w:r>
      <w:r w:rsidR="00A53CC2">
        <w:t>decreases</w:t>
      </w:r>
      <w:r w:rsidR="00E84BA3">
        <w:t xml:space="preserve"> by 0.</w:t>
      </w:r>
      <w:r w:rsidR="00A53CC2">
        <w:t>0</w:t>
      </w:r>
      <w:r w:rsidR="008831A9">
        <w:t>08</w:t>
      </w:r>
      <w:r w:rsidR="00E84BA3">
        <w:t xml:space="preserve"> years, holding all else </w:t>
      </w:r>
      <w:r w:rsidR="006A53F8">
        <w:t xml:space="preserve">constant. </w:t>
      </w:r>
      <w:r w:rsidR="0058762D">
        <w:t xml:space="preserve">For each additional </w:t>
      </w:r>
      <w:r w:rsidR="00595183">
        <w:t xml:space="preserve">average </w:t>
      </w:r>
      <w:r w:rsidR="0058762D">
        <w:t xml:space="preserve">year in schooling, </w:t>
      </w:r>
      <w:r w:rsidR="00595183">
        <w:t>the population</w:t>
      </w:r>
      <w:r w:rsidR="0058762D">
        <w:t xml:space="preserve"> can expect to live 0.74 years longer, ceterus paribus.</w:t>
      </w:r>
      <w:r w:rsidR="008831A9">
        <w:t xml:space="preserve"> </w:t>
      </w:r>
    </w:p>
    <w:p w14:paraId="51DA1648" w14:textId="55125E06" w:rsidR="00566F7C" w:rsidRPr="007F0B39" w:rsidRDefault="002812C1" w:rsidP="007F0B39">
      <w:pPr>
        <w:ind w:firstLine="0"/>
        <w:rPr>
          <w:b/>
          <w:bCs/>
        </w:rPr>
      </w:pPr>
      <w:r>
        <w:rPr>
          <w:b/>
          <w:bCs/>
        </w:rPr>
        <w:t>Immunization</w:t>
      </w:r>
      <w:r w:rsidR="0082695A" w:rsidRPr="0082695A">
        <w:rPr>
          <w:b/>
          <w:bCs/>
        </w:rPr>
        <w:t xml:space="preserve"> Effects</w:t>
      </w:r>
    </w:p>
    <w:p w14:paraId="4DC8AA50"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p>
    <w:p w14:paraId="263AA8B7" w14:textId="5C1E962D"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Model 3: Fixed-effects, using 1863 observations</w:t>
      </w:r>
    </w:p>
    <w:p w14:paraId="33672C4E"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Included 148 cross-sectional units</w:t>
      </w:r>
    </w:p>
    <w:p w14:paraId="181B6C2D"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Time-series length: minimum 1, maximum 16</w:t>
      </w:r>
    </w:p>
    <w:p w14:paraId="6F11CAE5"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Dependent variable: Lifeexpectancy</w:t>
      </w:r>
    </w:p>
    <w:p w14:paraId="18A19726"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2812C1" w14:paraId="14703845" w14:textId="77777777">
        <w:trPr>
          <w:trHeight w:val="262"/>
          <w:jc w:val="center"/>
        </w:trPr>
        <w:tc>
          <w:tcPr>
            <w:tcW w:w="1930" w:type="dxa"/>
            <w:tcBorders>
              <w:top w:val="nil"/>
              <w:left w:val="nil"/>
              <w:bottom w:val="nil"/>
              <w:right w:val="nil"/>
            </w:tcBorders>
          </w:tcPr>
          <w:p w14:paraId="0A304C46"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 xml:space="preserve"> </w:t>
            </w:r>
          </w:p>
        </w:tc>
        <w:tc>
          <w:tcPr>
            <w:tcW w:w="1400" w:type="dxa"/>
            <w:tcBorders>
              <w:top w:val="nil"/>
              <w:left w:val="nil"/>
              <w:bottom w:val="nil"/>
              <w:right w:val="nil"/>
            </w:tcBorders>
          </w:tcPr>
          <w:p w14:paraId="79EAC722"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Coefficient</w:t>
            </w:r>
          </w:p>
        </w:tc>
        <w:tc>
          <w:tcPr>
            <w:tcW w:w="1400" w:type="dxa"/>
            <w:tcBorders>
              <w:top w:val="nil"/>
              <w:left w:val="nil"/>
              <w:bottom w:val="nil"/>
              <w:right w:val="nil"/>
            </w:tcBorders>
          </w:tcPr>
          <w:p w14:paraId="3EE65BE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Std. Error</w:t>
            </w:r>
          </w:p>
        </w:tc>
        <w:tc>
          <w:tcPr>
            <w:tcW w:w="1400" w:type="dxa"/>
            <w:tcBorders>
              <w:top w:val="nil"/>
              <w:left w:val="nil"/>
              <w:bottom w:val="nil"/>
              <w:right w:val="nil"/>
            </w:tcBorders>
          </w:tcPr>
          <w:p w14:paraId="2660DD87"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t-ratio</w:t>
            </w:r>
          </w:p>
        </w:tc>
        <w:tc>
          <w:tcPr>
            <w:tcW w:w="1400" w:type="dxa"/>
            <w:tcBorders>
              <w:top w:val="nil"/>
              <w:left w:val="nil"/>
              <w:bottom w:val="nil"/>
              <w:right w:val="nil"/>
            </w:tcBorders>
          </w:tcPr>
          <w:p w14:paraId="6D1F3C63"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i/>
                <w:iCs/>
                <w:kern w:val="0"/>
              </w:rPr>
              <w:t>p-value</w:t>
            </w:r>
          </w:p>
        </w:tc>
        <w:tc>
          <w:tcPr>
            <w:tcW w:w="500" w:type="dxa"/>
            <w:tcBorders>
              <w:top w:val="nil"/>
              <w:left w:val="nil"/>
              <w:bottom w:val="nil"/>
              <w:right w:val="nil"/>
            </w:tcBorders>
          </w:tcPr>
          <w:p w14:paraId="625C9295" w14:textId="77777777" w:rsidR="002812C1" w:rsidRDefault="002812C1">
            <w:pPr>
              <w:autoSpaceDE w:val="0"/>
              <w:autoSpaceDN w:val="0"/>
              <w:adjustRightInd w:val="0"/>
              <w:spacing w:line="240" w:lineRule="auto"/>
              <w:ind w:firstLine="0"/>
              <w:rPr>
                <w:rFonts w:ascii="Times New Roman" w:hAnsi="Times New Roman" w:cs="Times New Roman"/>
                <w:kern w:val="0"/>
              </w:rPr>
            </w:pPr>
          </w:p>
        </w:tc>
      </w:tr>
      <w:tr w:rsidR="002812C1" w14:paraId="08A90072" w14:textId="77777777">
        <w:trPr>
          <w:trHeight w:val="262"/>
          <w:jc w:val="center"/>
        </w:trPr>
        <w:tc>
          <w:tcPr>
            <w:tcW w:w="1930" w:type="dxa"/>
            <w:tcBorders>
              <w:top w:val="nil"/>
              <w:left w:val="nil"/>
              <w:bottom w:val="nil"/>
              <w:right w:val="nil"/>
            </w:tcBorders>
          </w:tcPr>
          <w:p w14:paraId="302B7640"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const</w:t>
            </w:r>
          </w:p>
        </w:tc>
        <w:tc>
          <w:tcPr>
            <w:tcW w:w="1400" w:type="dxa"/>
            <w:tcBorders>
              <w:top w:val="nil"/>
              <w:left w:val="nil"/>
              <w:bottom w:val="nil"/>
              <w:right w:val="nil"/>
            </w:tcBorders>
          </w:tcPr>
          <w:p w14:paraId="0E643E2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60.3711</w:t>
            </w:r>
          </w:p>
        </w:tc>
        <w:tc>
          <w:tcPr>
            <w:tcW w:w="1400" w:type="dxa"/>
            <w:tcBorders>
              <w:top w:val="nil"/>
              <w:left w:val="nil"/>
              <w:bottom w:val="nil"/>
              <w:right w:val="nil"/>
            </w:tcBorders>
          </w:tcPr>
          <w:p w14:paraId="36B1544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0.712219</w:t>
            </w:r>
          </w:p>
        </w:tc>
        <w:tc>
          <w:tcPr>
            <w:tcW w:w="1400" w:type="dxa"/>
            <w:tcBorders>
              <w:top w:val="nil"/>
              <w:left w:val="nil"/>
              <w:bottom w:val="nil"/>
              <w:right w:val="nil"/>
            </w:tcBorders>
          </w:tcPr>
          <w:p w14:paraId="4BFA25A4"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84.76</w:t>
            </w:r>
          </w:p>
        </w:tc>
        <w:tc>
          <w:tcPr>
            <w:tcW w:w="1400" w:type="dxa"/>
            <w:tcBorders>
              <w:top w:val="nil"/>
              <w:left w:val="nil"/>
              <w:bottom w:val="nil"/>
              <w:right w:val="nil"/>
            </w:tcBorders>
          </w:tcPr>
          <w:p w14:paraId="5682F13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786D0014"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7DBB4273" w14:textId="77777777">
        <w:trPr>
          <w:trHeight w:val="262"/>
          <w:jc w:val="center"/>
        </w:trPr>
        <w:tc>
          <w:tcPr>
            <w:tcW w:w="1930" w:type="dxa"/>
            <w:tcBorders>
              <w:top w:val="nil"/>
              <w:left w:val="nil"/>
              <w:bottom w:val="nil"/>
              <w:right w:val="nil"/>
            </w:tcBorders>
          </w:tcPr>
          <w:p w14:paraId="5682CE95"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Totalexpenditure</w:t>
            </w:r>
          </w:p>
        </w:tc>
        <w:tc>
          <w:tcPr>
            <w:tcW w:w="1400" w:type="dxa"/>
            <w:tcBorders>
              <w:top w:val="nil"/>
              <w:left w:val="nil"/>
              <w:bottom w:val="nil"/>
              <w:right w:val="nil"/>
            </w:tcBorders>
          </w:tcPr>
          <w:p w14:paraId="733C1AAB"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0.0532411</w:t>
            </w:r>
          </w:p>
        </w:tc>
        <w:tc>
          <w:tcPr>
            <w:tcW w:w="1400" w:type="dxa"/>
            <w:tcBorders>
              <w:top w:val="nil"/>
              <w:left w:val="nil"/>
              <w:bottom w:val="nil"/>
              <w:right w:val="nil"/>
            </w:tcBorders>
          </w:tcPr>
          <w:p w14:paraId="63D80B94"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0.0308717</w:t>
            </w:r>
          </w:p>
        </w:tc>
        <w:tc>
          <w:tcPr>
            <w:tcW w:w="1400" w:type="dxa"/>
            <w:tcBorders>
              <w:top w:val="nil"/>
              <w:left w:val="nil"/>
              <w:bottom w:val="nil"/>
              <w:right w:val="nil"/>
            </w:tcBorders>
          </w:tcPr>
          <w:p w14:paraId="7241178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1.725</w:t>
            </w:r>
          </w:p>
        </w:tc>
        <w:tc>
          <w:tcPr>
            <w:tcW w:w="1400" w:type="dxa"/>
            <w:tcBorders>
              <w:top w:val="nil"/>
              <w:left w:val="nil"/>
              <w:bottom w:val="nil"/>
              <w:right w:val="nil"/>
            </w:tcBorders>
          </w:tcPr>
          <w:p w14:paraId="4630DCC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0.0848</w:t>
            </w:r>
          </w:p>
        </w:tc>
        <w:tc>
          <w:tcPr>
            <w:tcW w:w="500" w:type="dxa"/>
            <w:tcBorders>
              <w:top w:val="nil"/>
              <w:left w:val="nil"/>
              <w:bottom w:val="nil"/>
              <w:right w:val="nil"/>
            </w:tcBorders>
          </w:tcPr>
          <w:p w14:paraId="5B91A6DD"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0F56F7B5" w14:textId="77777777">
        <w:trPr>
          <w:trHeight w:val="262"/>
          <w:jc w:val="center"/>
        </w:trPr>
        <w:tc>
          <w:tcPr>
            <w:tcW w:w="1930" w:type="dxa"/>
            <w:tcBorders>
              <w:top w:val="nil"/>
              <w:left w:val="nil"/>
              <w:bottom w:val="nil"/>
              <w:right w:val="nil"/>
            </w:tcBorders>
          </w:tcPr>
          <w:p w14:paraId="13F131A3"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AdultMortality</w:t>
            </w:r>
          </w:p>
        </w:tc>
        <w:tc>
          <w:tcPr>
            <w:tcW w:w="1400" w:type="dxa"/>
            <w:tcBorders>
              <w:top w:val="nil"/>
              <w:left w:val="nil"/>
              <w:bottom w:val="nil"/>
              <w:right w:val="nil"/>
            </w:tcBorders>
          </w:tcPr>
          <w:p w14:paraId="2709F76F"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−0.00389124</w:t>
            </w:r>
          </w:p>
        </w:tc>
        <w:tc>
          <w:tcPr>
            <w:tcW w:w="1400" w:type="dxa"/>
            <w:tcBorders>
              <w:top w:val="nil"/>
              <w:left w:val="nil"/>
              <w:bottom w:val="nil"/>
              <w:right w:val="nil"/>
            </w:tcBorders>
          </w:tcPr>
          <w:p w14:paraId="4466202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0.000641798</w:t>
            </w:r>
          </w:p>
        </w:tc>
        <w:tc>
          <w:tcPr>
            <w:tcW w:w="1400" w:type="dxa"/>
            <w:tcBorders>
              <w:top w:val="nil"/>
              <w:left w:val="nil"/>
              <w:bottom w:val="nil"/>
              <w:right w:val="nil"/>
            </w:tcBorders>
          </w:tcPr>
          <w:p w14:paraId="1CEC9FA3"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−6.063</w:t>
            </w:r>
          </w:p>
        </w:tc>
        <w:tc>
          <w:tcPr>
            <w:tcW w:w="1400" w:type="dxa"/>
            <w:tcBorders>
              <w:top w:val="nil"/>
              <w:left w:val="nil"/>
              <w:bottom w:val="nil"/>
              <w:right w:val="nil"/>
            </w:tcBorders>
          </w:tcPr>
          <w:p w14:paraId="3CB4E26B"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025EF12D"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210D020A" w14:textId="77777777">
        <w:trPr>
          <w:trHeight w:val="262"/>
          <w:jc w:val="center"/>
        </w:trPr>
        <w:tc>
          <w:tcPr>
            <w:tcW w:w="1930" w:type="dxa"/>
            <w:tcBorders>
              <w:top w:val="nil"/>
              <w:left w:val="nil"/>
              <w:bottom w:val="nil"/>
              <w:right w:val="nil"/>
            </w:tcBorders>
          </w:tcPr>
          <w:p w14:paraId="1669A29E"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underfivedeaths</w:t>
            </w:r>
          </w:p>
        </w:tc>
        <w:tc>
          <w:tcPr>
            <w:tcW w:w="1400" w:type="dxa"/>
            <w:tcBorders>
              <w:top w:val="nil"/>
              <w:left w:val="nil"/>
              <w:bottom w:val="nil"/>
              <w:right w:val="nil"/>
            </w:tcBorders>
          </w:tcPr>
          <w:p w14:paraId="6D9032EE"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−0.00652627</w:t>
            </w:r>
          </w:p>
        </w:tc>
        <w:tc>
          <w:tcPr>
            <w:tcW w:w="1400" w:type="dxa"/>
            <w:tcBorders>
              <w:top w:val="nil"/>
              <w:left w:val="nil"/>
              <w:bottom w:val="nil"/>
              <w:right w:val="nil"/>
            </w:tcBorders>
          </w:tcPr>
          <w:p w14:paraId="4FFEC2C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0.00185646</w:t>
            </w:r>
          </w:p>
        </w:tc>
        <w:tc>
          <w:tcPr>
            <w:tcW w:w="1400" w:type="dxa"/>
            <w:tcBorders>
              <w:top w:val="nil"/>
              <w:left w:val="nil"/>
              <w:bottom w:val="nil"/>
              <w:right w:val="nil"/>
            </w:tcBorders>
          </w:tcPr>
          <w:p w14:paraId="7B824E56"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−3.515</w:t>
            </w:r>
          </w:p>
        </w:tc>
        <w:tc>
          <w:tcPr>
            <w:tcW w:w="1400" w:type="dxa"/>
            <w:tcBorders>
              <w:top w:val="nil"/>
              <w:left w:val="nil"/>
              <w:bottom w:val="nil"/>
              <w:right w:val="nil"/>
            </w:tcBorders>
          </w:tcPr>
          <w:p w14:paraId="51042C7B"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0.0005</w:t>
            </w:r>
          </w:p>
        </w:tc>
        <w:tc>
          <w:tcPr>
            <w:tcW w:w="500" w:type="dxa"/>
            <w:tcBorders>
              <w:top w:val="nil"/>
              <w:left w:val="nil"/>
              <w:bottom w:val="nil"/>
              <w:right w:val="nil"/>
            </w:tcBorders>
          </w:tcPr>
          <w:p w14:paraId="282B529C"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23E0AEB1" w14:textId="77777777">
        <w:trPr>
          <w:trHeight w:val="262"/>
          <w:jc w:val="center"/>
        </w:trPr>
        <w:tc>
          <w:tcPr>
            <w:tcW w:w="1930" w:type="dxa"/>
            <w:tcBorders>
              <w:top w:val="nil"/>
              <w:left w:val="nil"/>
              <w:bottom w:val="nil"/>
              <w:right w:val="nil"/>
            </w:tcBorders>
          </w:tcPr>
          <w:p w14:paraId="0B140B88"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Schooling</w:t>
            </w:r>
          </w:p>
        </w:tc>
        <w:tc>
          <w:tcPr>
            <w:tcW w:w="1400" w:type="dxa"/>
            <w:tcBorders>
              <w:top w:val="nil"/>
              <w:left w:val="nil"/>
              <w:bottom w:val="nil"/>
              <w:right w:val="nil"/>
            </w:tcBorders>
          </w:tcPr>
          <w:p w14:paraId="1B0B2857"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0.710426</w:t>
            </w:r>
          </w:p>
        </w:tc>
        <w:tc>
          <w:tcPr>
            <w:tcW w:w="1400" w:type="dxa"/>
            <w:tcBorders>
              <w:top w:val="nil"/>
              <w:left w:val="nil"/>
              <w:bottom w:val="nil"/>
              <w:right w:val="nil"/>
            </w:tcBorders>
          </w:tcPr>
          <w:p w14:paraId="16175378"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0.0507755</w:t>
            </w:r>
          </w:p>
        </w:tc>
        <w:tc>
          <w:tcPr>
            <w:tcW w:w="1400" w:type="dxa"/>
            <w:tcBorders>
              <w:top w:val="nil"/>
              <w:left w:val="nil"/>
              <w:bottom w:val="nil"/>
              <w:right w:val="nil"/>
            </w:tcBorders>
          </w:tcPr>
          <w:p w14:paraId="17E9EF7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13.99</w:t>
            </w:r>
          </w:p>
        </w:tc>
        <w:tc>
          <w:tcPr>
            <w:tcW w:w="1400" w:type="dxa"/>
            <w:tcBorders>
              <w:top w:val="nil"/>
              <w:left w:val="nil"/>
              <w:bottom w:val="nil"/>
              <w:right w:val="nil"/>
            </w:tcBorders>
          </w:tcPr>
          <w:p w14:paraId="0494B660"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&lt;0.0001</w:t>
            </w:r>
          </w:p>
        </w:tc>
        <w:tc>
          <w:tcPr>
            <w:tcW w:w="500" w:type="dxa"/>
            <w:tcBorders>
              <w:top w:val="nil"/>
              <w:left w:val="nil"/>
              <w:bottom w:val="nil"/>
              <w:right w:val="nil"/>
            </w:tcBorders>
          </w:tcPr>
          <w:p w14:paraId="582523F1"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0A0EE2AD" w14:textId="77777777">
        <w:trPr>
          <w:trHeight w:val="262"/>
          <w:jc w:val="center"/>
        </w:trPr>
        <w:tc>
          <w:tcPr>
            <w:tcW w:w="1930" w:type="dxa"/>
            <w:tcBorders>
              <w:top w:val="nil"/>
              <w:left w:val="nil"/>
              <w:bottom w:val="nil"/>
              <w:right w:val="nil"/>
            </w:tcBorders>
          </w:tcPr>
          <w:p w14:paraId="7D9A837B"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GDP</w:t>
            </w:r>
          </w:p>
        </w:tc>
        <w:tc>
          <w:tcPr>
            <w:tcW w:w="1400" w:type="dxa"/>
            <w:tcBorders>
              <w:top w:val="nil"/>
              <w:left w:val="nil"/>
              <w:bottom w:val="nil"/>
              <w:right w:val="nil"/>
            </w:tcBorders>
          </w:tcPr>
          <w:p w14:paraId="2BB2F4F4"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1.97061e-05</w:t>
            </w:r>
          </w:p>
        </w:tc>
        <w:tc>
          <w:tcPr>
            <w:tcW w:w="1400" w:type="dxa"/>
            <w:tcBorders>
              <w:top w:val="nil"/>
              <w:left w:val="nil"/>
              <w:bottom w:val="nil"/>
              <w:right w:val="nil"/>
            </w:tcBorders>
          </w:tcPr>
          <w:p w14:paraId="0B6C047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5.63363e-06</w:t>
            </w:r>
          </w:p>
        </w:tc>
        <w:tc>
          <w:tcPr>
            <w:tcW w:w="1400" w:type="dxa"/>
            <w:tcBorders>
              <w:top w:val="nil"/>
              <w:left w:val="nil"/>
              <w:bottom w:val="nil"/>
              <w:right w:val="nil"/>
            </w:tcBorders>
          </w:tcPr>
          <w:p w14:paraId="49F327AF"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3.498</w:t>
            </w:r>
          </w:p>
        </w:tc>
        <w:tc>
          <w:tcPr>
            <w:tcW w:w="1400" w:type="dxa"/>
            <w:tcBorders>
              <w:top w:val="nil"/>
              <w:left w:val="nil"/>
              <w:bottom w:val="nil"/>
              <w:right w:val="nil"/>
            </w:tcBorders>
          </w:tcPr>
          <w:p w14:paraId="10464D1A"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0.0005</w:t>
            </w:r>
          </w:p>
        </w:tc>
        <w:tc>
          <w:tcPr>
            <w:tcW w:w="500" w:type="dxa"/>
            <w:tcBorders>
              <w:top w:val="nil"/>
              <w:left w:val="nil"/>
              <w:bottom w:val="nil"/>
              <w:right w:val="nil"/>
            </w:tcBorders>
          </w:tcPr>
          <w:p w14:paraId="7408A0D4"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5CE7EBA3" w14:textId="77777777">
        <w:trPr>
          <w:trHeight w:val="262"/>
          <w:jc w:val="center"/>
        </w:trPr>
        <w:tc>
          <w:tcPr>
            <w:tcW w:w="1930" w:type="dxa"/>
            <w:tcBorders>
              <w:top w:val="nil"/>
              <w:left w:val="nil"/>
              <w:bottom w:val="nil"/>
              <w:right w:val="nil"/>
            </w:tcBorders>
          </w:tcPr>
          <w:p w14:paraId="781AAB7C"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HepatitisB</w:t>
            </w:r>
          </w:p>
        </w:tc>
        <w:tc>
          <w:tcPr>
            <w:tcW w:w="1400" w:type="dxa"/>
            <w:tcBorders>
              <w:top w:val="nil"/>
              <w:left w:val="nil"/>
              <w:bottom w:val="nil"/>
              <w:right w:val="nil"/>
            </w:tcBorders>
          </w:tcPr>
          <w:p w14:paraId="3231AD6F"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0.0103710</w:t>
            </w:r>
          </w:p>
        </w:tc>
        <w:tc>
          <w:tcPr>
            <w:tcW w:w="1400" w:type="dxa"/>
            <w:tcBorders>
              <w:top w:val="nil"/>
              <w:left w:val="nil"/>
              <w:bottom w:val="nil"/>
              <w:right w:val="nil"/>
            </w:tcBorders>
          </w:tcPr>
          <w:p w14:paraId="36D738B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0.00282697</w:t>
            </w:r>
          </w:p>
        </w:tc>
        <w:tc>
          <w:tcPr>
            <w:tcW w:w="1400" w:type="dxa"/>
            <w:tcBorders>
              <w:top w:val="nil"/>
              <w:left w:val="nil"/>
              <w:bottom w:val="nil"/>
              <w:right w:val="nil"/>
            </w:tcBorders>
          </w:tcPr>
          <w:p w14:paraId="79A6AF12"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3.669</w:t>
            </w:r>
          </w:p>
        </w:tc>
        <w:tc>
          <w:tcPr>
            <w:tcW w:w="1400" w:type="dxa"/>
            <w:tcBorders>
              <w:top w:val="nil"/>
              <w:left w:val="nil"/>
              <w:bottom w:val="nil"/>
              <w:right w:val="nil"/>
            </w:tcBorders>
          </w:tcPr>
          <w:p w14:paraId="0A973E67"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0.0003</w:t>
            </w:r>
          </w:p>
        </w:tc>
        <w:tc>
          <w:tcPr>
            <w:tcW w:w="500" w:type="dxa"/>
            <w:tcBorders>
              <w:top w:val="nil"/>
              <w:left w:val="nil"/>
              <w:bottom w:val="nil"/>
              <w:right w:val="nil"/>
            </w:tcBorders>
          </w:tcPr>
          <w:p w14:paraId="6741A871"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2549B19B" w14:textId="77777777">
        <w:trPr>
          <w:trHeight w:val="262"/>
          <w:jc w:val="center"/>
        </w:trPr>
        <w:tc>
          <w:tcPr>
            <w:tcW w:w="1930" w:type="dxa"/>
            <w:tcBorders>
              <w:top w:val="nil"/>
              <w:left w:val="nil"/>
              <w:bottom w:val="nil"/>
              <w:right w:val="nil"/>
            </w:tcBorders>
          </w:tcPr>
          <w:p w14:paraId="4847BE55"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Diphtheria</w:t>
            </w:r>
          </w:p>
        </w:tc>
        <w:tc>
          <w:tcPr>
            <w:tcW w:w="1400" w:type="dxa"/>
            <w:tcBorders>
              <w:top w:val="nil"/>
              <w:left w:val="nil"/>
              <w:bottom w:val="nil"/>
              <w:right w:val="nil"/>
            </w:tcBorders>
          </w:tcPr>
          <w:p w14:paraId="035D8EDC"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0.00663375</w:t>
            </w:r>
          </w:p>
        </w:tc>
        <w:tc>
          <w:tcPr>
            <w:tcW w:w="1400" w:type="dxa"/>
            <w:tcBorders>
              <w:top w:val="nil"/>
              <w:left w:val="nil"/>
              <w:bottom w:val="nil"/>
              <w:right w:val="nil"/>
            </w:tcBorders>
          </w:tcPr>
          <w:p w14:paraId="373E487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0.00349282</w:t>
            </w:r>
          </w:p>
        </w:tc>
        <w:tc>
          <w:tcPr>
            <w:tcW w:w="1400" w:type="dxa"/>
            <w:tcBorders>
              <w:top w:val="nil"/>
              <w:left w:val="nil"/>
              <w:bottom w:val="nil"/>
              <w:right w:val="nil"/>
            </w:tcBorders>
          </w:tcPr>
          <w:p w14:paraId="6B6DEB9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1.899</w:t>
            </w:r>
          </w:p>
        </w:tc>
        <w:tc>
          <w:tcPr>
            <w:tcW w:w="1400" w:type="dxa"/>
            <w:tcBorders>
              <w:top w:val="nil"/>
              <w:left w:val="nil"/>
              <w:bottom w:val="nil"/>
              <w:right w:val="nil"/>
            </w:tcBorders>
          </w:tcPr>
          <w:p w14:paraId="72F315AE"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0.0577</w:t>
            </w:r>
          </w:p>
        </w:tc>
        <w:tc>
          <w:tcPr>
            <w:tcW w:w="500" w:type="dxa"/>
            <w:tcBorders>
              <w:top w:val="nil"/>
              <w:left w:val="nil"/>
              <w:bottom w:val="nil"/>
              <w:right w:val="nil"/>
            </w:tcBorders>
          </w:tcPr>
          <w:p w14:paraId="7293A5B9"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t>
            </w:r>
          </w:p>
        </w:tc>
      </w:tr>
      <w:tr w:rsidR="002812C1" w14:paraId="4B0727CB" w14:textId="77777777">
        <w:trPr>
          <w:trHeight w:val="262"/>
          <w:jc w:val="center"/>
        </w:trPr>
        <w:tc>
          <w:tcPr>
            <w:tcW w:w="1930" w:type="dxa"/>
            <w:tcBorders>
              <w:top w:val="nil"/>
              <w:left w:val="nil"/>
              <w:bottom w:val="nil"/>
              <w:right w:val="nil"/>
            </w:tcBorders>
          </w:tcPr>
          <w:p w14:paraId="172F437B"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Polio</w:t>
            </w:r>
          </w:p>
        </w:tc>
        <w:tc>
          <w:tcPr>
            <w:tcW w:w="1400" w:type="dxa"/>
            <w:tcBorders>
              <w:top w:val="nil"/>
              <w:left w:val="nil"/>
              <w:bottom w:val="nil"/>
              <w:right w:val="nil"/>
            </w:tcBorders>
          </w:tcPr>
          <w:p w14:paraId="0B3C73B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−0.000815492</w:t>
            </w:r>
          </w:p>
        </w:tc>
        <w:tc>
          <w:tcPr>
            <w:tcW w:w="1400" w:type="dxa"/>
            <w:tcBorders>
              <w:top w:val="nil"/>
              <w:left w:val="nil"/>
              <w:bottom w:val="nil"/>
              <w:right w:val="nil"/>
            </w:tcBorders>
          </w:tcPr>
          <w:p w14:paraId="292F1502"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0.00311430</w:t>
            </w:r>
          </w:p>
        </w:tc>
        <w:tc>
          <w:tcPr>
            <w:tcW w:w="1400" w:type="dxa"/>
            <w:tcBorders>
              <w:top w:val="nil"/>
              <w:left w:val="nil"/>
              <w:bottom w:val="nil"/>
              <w:right w:val="nil"/>
            </w:tcBorders>
          </w:tcPr>
          <w:p w14:paraId="0E45C10D"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−0.2619</w:t>
            </w:r>
          </w:p>
        </w:tc>
        <w:tc>
          <w:tcPr>
            <w:tcW w:w="1400" w:type="dxa"/>
            <w:tcBorders>
              <w:top w:val="nil"/>
              <w:left w:val="nil"/>
              <w:bottom w:val="nil"/>
              <w:right w:val="nil"/>
            </w:tcBorders>
          </w:tcPr>
          <w:p w14:paraId="250BC29A"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r>
              <w:rPr>
                <w:rFonts w:ascii="Times New Roman" w:hAnsi="Times New Roman" w:cs="Times New Roman"/>
                <w:kern w:val="0"/>
              </w:rPr>
              <w:t>0.7935</w:t>
            </w:r>
          </w:p>
        </w:tc>
        <w:tc>
          <w:tcPr>
            <w:tcW w:w="500" w:type="dxa"/>
            <w:tcBorders>
              <w:top w:val="nil"/>
              <w:left w:val="nil"/>
              <w:bottom w:val="nil"/>
              <w:right w:val="nil"/>
            </w:tcBorders>
          </w:tcPr>
          <w:p w14:paraId="4F354E3C" w14:textId="77777777" w:rsidR="002812C1" w:rsidRDefault="002812C1">
            <w:pPr>
              <w:autoSpaceDE w:val="0"/>
              <w:autoSpaceDN w:val="0"/>
              <w:adjustRightInd w:val="0"/>
              <w:spacing w:line="240" w:lineRule="auto"/>
              <w:ind w:firstLine="0"/>
              <w:rPr>
                <w:rFonts w:ascii="Times New Roman" w:hAnsi="Times New Roman" w:cs="Times New Roman"/>
                <w:kern w:val="0"/>
              </w:rPr>
            </w:pPr>
          </w:p>
        </w:tc>
      </w:tr>
    </w:tbl>
    <w:p w14:paraId="6C8E61F9"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2812C1" w14:paraId="4CF66025" w14:textId="77777777">
        <w:trPr>
          <w:trHeight w:val="262"/>
          <w:jc w:val="center"/>
        </w:trPr>
        <w:tc>
          <w:tcPr>
            <w:tcW w:w="2530" w:type="dxa"/>
            <w:tcBorders>
              <w:top w:val="nil"/>
              <w:left w:val="nil"/>
              <w:bottom w:val="nil"/>
              <w:right w:val="nil"/>
            </w:tcBorders>
          </w:tcPr>
          <w:p w14:paraId="2D517562"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Mean dependent var</w:t>
            </w:r>
          </w:p>
        </w:tc>
        <w:tc>
          <w:tcPr>
            <w:tcW w:w="1300" w:type="dxa"/>
            <w:tcBorders>
              <w:top w:val="nil"/>
              <w:left w:val="nil"/>
              <w:bottom w:val="nil"/>
              <w:right w:val="nil"/>
            </w:tcBorders>
          </w:tcPr>
          <w:p w14:paraId="2911080B"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69.99512</w:t>
            </w:r>
          </w:p>
        </w:tc>
        <w:tc>
          <w:tcPr>
            <w:tcW w:w="400" w:type="dxa"/>
            <w:tcBorders>
              <w:top w:val="nil"/>
              <w:left w:val="nil"/>
              <w:bottom w:val="nil"/>
              <w:right w:val="nil"/>
            </w:tcBorders>
          </w:tcPr>
          <w:p w14:paraId="0D6E66DD"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5F6CF018"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S.D. dependent var</w:t>
            </w:r>
          </w:p>
        </w:tc>
        <w:tc>
          <w:tcPr>
            <w:tcW w:w="1300" w:type="dxa"/>
            <w:tcBorders>
              <w:top w:val="nil"/>
              <w:left w:val="nil"/>
              <w:bottom w:val="nil"/>
              <w:right w:val="nil"/>
            </w:tcBorders>
          </w:tcPr>
          <w:p w14:paraId="7143B151"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8.605838</w:t>
            </w:r>
          </w:p>
        </w:tc>
      </w:tr>
      <w:tr w:rsidR="002812C1" w14:paraId="3D9CF8E5" w14:textId="77777777">
        <w:trPr>
          <w:trHeight w:val="262"/>
          <w:jc w:val="center"/>
        </w:trPr>
        <w:tc>
          <w:tcPr>
            <w:tcW w:w="2530" w:type="dxa"/>
            <w:tcBorders>
              <w:top w:val="nil"/>
              <w:left w:val="nil"/>
              <w:bottom w:val="nil"/>
              <w:right w:val="nil"/>
            </w:tcBorders>
          </w:tcPr>
          <w:p w14:paraId="22D33EB0"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Sum squared resid</w:t>
            </w:r>
          </w:p>
        </w:tc>
        <w:tc>
          <w:tcPr>
            <w:tcW w:w="1300" w:type="dxa"/>
            <w:tcBorders>
              <w:top w:val="nil"/>
              <w:left w:val="nil"/>
              <w:bottom w:val="nil"/>
              <w:right w:val="nil"/>
            </w:tcBorders>
          </w:tcPr>
          <w:p w14:paraId="1D18B836"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7159.192</w:t>
            </w:r>
          </w:p>
        </w:tc>
        <w:tc>
          <w:tcPr>
            <w:tcW w:w="400" w:type="dxa"/>
            <w:tcBorders>
              <w:top w:val="nil"/>
              <w:left w:val="nil"/>
              <w:bottom w:val="nil"/>
              <w:right w:val="nil"/>
            </w:tcBorders>
          </w:tcPr>
          <w:p w14:paraId="585FB407"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6A8A4429"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S.E. of regression</w:t>
            </w:r>
          </w:p>
        </w:tc>
        <w:tc>
          <w:tcPr>
            <w:tcW w:w="1300" w:type="dxa"/>
            <w:tcBorders>
              <w:top w:val="nil"/>
              <w:left w:val="nil"/>
              <w:bottom w:val="nil"/>
              <w:right w:val="nil"/>
            </w:tcBorders>
          </w:tcPr>
          <w:p w14:paraId="5565CE02"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2.047931</w:t>
            </w:r>
          </w:p>
        </w:tc>
      </w:tr>
      <w:tr w:rsidR="002812C1" w14:paraId="71B9BAD6" w14:textId="77777777">
        <w:trPr>
          <w:trHeight w:val="262"/>
          <w:jc w:val="center"/>
        </w:trPr>
        <w:tc>
          <w:tcPr>
            <w:tcW w:w="2530" w:type="dxa"/>
            <w:tcBorders>
              <w:top w:val="nil"/>
              <w:left w:val="nil"/>
              <w:bottom w:val="nil"/>
              <w:right w:val="nil"/>
            </w:tcBorders>
          </w:tcPr>
          <w:p w14:paraId="4A053EAF"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R-squared</w:t>
            </w:r>
          </w:p>
        </w:tc>
        <w:tc>
          <w:tcPr>
            <w:tcW w:w="1300" w:type="dxa"/>
            <w:tcBorders>
              <w:top w:val="nil"/>
              <w:left w:val="nil"/>
              <w:bottom w:val="nil"/>
              <w:right w:val="nil"/>
            </w:tcBorders>
          </w:tcPr>
          <w:p w14:paraId="4642A314"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0.948084</w:t>
            </w:r>
          </w:p>
        </w:tc>
        <w:tc>
          <w:tcPr>
            <w:tcW w:w="400" w:type="dxa"/>
            <w:tcBorders>
              <w:top w:val="nil"/>
              <w:left w:val="nil"/>
              <w:bottom w:val="nil"/>
              <w:right w:val="nil"/>
            </w:tcBorders>
          </w:tcPr>
          <w:p w14:paraId="05771880"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44F39EFF"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Within R-squared</w:t>
            </w:r>
          </w:p>
        </w:tc>
        <w:tc>
          <w:tcPr>
            <w:tcW w:w="1300" w:type="dxa"/>
            <w:tcBorders>
              <w:top w:val="nil"/>
              <w:left w:val="nil"/>
              <w:bottom w:val="nil"/>
              <w:right w:val="nil"/>
            </w:tcBorders>
          </w:tcPr>
          <w:p w14:paraId="512774D4"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0.183712</w:t>
            </w:r>
          </w:p>
        </w:tc>
      </w:tr>
      <w:tr w:rsidR="002812C1" w14:paraId="0D50D6AE" w14:textId="77777777">
        <w:trPr>
          <w:trHeight w:val="262"/>
          <w:jc w:val="center"/>
        </w:trPr>
        <w:tc>
          <w:tcPr>
            <w:tcW w:w="2530" w:type="dxa"/>
            <w:tcBorders>
              <w:top w:val="nil"/>
              <w:left w:val="nil"/>
              <w:bottom w:val="nil"/>
              <w:right w:val="nil"/>
            </w:tcBorders>
          </w:tcPr>
          <w:p w14:paraId="7D418B11"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LSDV F(155, 1707)</w:t>
            </w:r>
          </w:p>
        </w:tc>
        <w:tc>
          <w:tcPr>
            <w:tcW w:w="1300" w:type="dxa"/>
            <w:tcBorders>
              <w:top w:val="nil"/>
              <w:left w:val="nil"/>
              <w:bottom w:val="nil"/>
              <w:right w:val="nil"/>
            </w:tcBorders>
          </w:tcPr>
          <w:p w14:paraId="5680F799"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201.1180</w:t>
            </w:r>
          </w:p>
        </w:tc>
        <w:tc>
          <w:tcPr>
            <w:tcW w:w="400" w:type="dxa"/>
            <w:tcBorders>
              <w:top w:val="nil"/>
              <w:left w:val="nil"/>
              <w:bottom w:val="nil"/>
              <w:right w:val="nil"/>
            </w:tcBorders>
          </w:tcPr>
          <w:p w14:paraId="2CA77C2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051C5C5"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P-value(F)</w:t>
            </w:r>
          </w:p>
        </w:tc>
        <w:tc>
          <w:tcPr>
            <w:tcW w:w="1300" w:type="dxa"/>
            <w:tcBorders>
              <w:top w:val="nil"/>
              <w:left w:val="nil"/>
              <w:bottom w:val="nil"/>
              <w:right w:val="nil"/>
            </w:tcBorders>
          </w:tcPr>
          <w:p w14:paraId="4C1CF0DB"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0.000000</w:t>
            </w:r>
          </w:p>
        </w:tc>
      </w:tr>
      <w:tr w:rsidR="002812C1" w14:paraId="2B76ABE2" w14:textId="77777777">
        <w:trPr>
          <w:trHeight w:val="262"/>
          <w:jc w:val="center"/>
        </w:trPr>
        <w:tc>
          <w:tcPr>
            <w:tcW w:w="2530" w:type="dxa"/>
            <w:tcBorders>
              <w:top w:val="nil"/>
              <w:left w:val="nil"/>
              <w:bottom w:val="nil"/>
              <w:right w:val="nil"/>
            </w:tcBorders>
          </w:tcPr>
          <w:p w14:paraId="714891DF"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Log-likelihood</w:t>
            </w:r>
          </w:p>
        </w:tc>
        <w:tc>
          <w:tcPr>
            <w:tcW w:w="1300" w:type="dxa"/>
            <w:tcBorders>
              <w:top w:val="nil"/>
              <w:left w:val="nil"/>
              <w:bottom w:val="nil"/>
              <w:right w:val="nil"/>
            </w:tcBorders>
          </w:tcPr>
          <w:p w14:paraId="08110EDA"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−3897.476</w:t>
            </w:r>
          </w:p>
        </w:tc>
        <w:tc>
          <w:tcPr>
            <w:tcW w:w="400" w:type="dxa"/>
            <w:tcBorders>
              <w:top w:val="nil"/>
              <w:left w:val="nil"/>
              <w:bottom w:val="nil"/>
              <w:right w:val="nil"/>
            </w:tcBorders>
          </w:tcPr>
          <w:p w14:paraId="117377F9"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15CE3678"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Akaike criterion</w:t>
            </w:r>
          </w:p>
        </w:tc>
        <w:tc>
          <w:tcPr>
            <w:tcW w:w="1300" w:type="dxa"/>
            <w:tcBorders>
              <w:top w:val="nil"/>
              <w:left w:val="nil"/>
              <w:bottom w:val="nil"/>
              <w:right w:val="nil"/>
            </w:tcBorders>
          </w:tcPr>
          <w:p w14:paraId="230C571D"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8106.952</w:t>
            </w:r>
          </w:p>
        </w:tc>
      </w:tr>
      <w:tr w:rsidR="002812C1" w14:paraId="79608E02" w14:textId="77777777">
        <w:trPr>
          <w:trHeight w:val="262"/>
          <w:jc w:val="center"/>
        </w:trPr>
        <w:tc>
          <w:tcPr>
            <w:tcW w:w="2530" w:type="dxa"/>
            <w:tcBorders>
              <w:top w:val="nil"/>
              <w:left w:val="nil"/>
              <w:bottom w:val="nil"/>
              <w:right w:val="nil"/>
            </w:tcBorders>
          </w:tcPr>
          <w:p w14:paraId="02ACC75C"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Schwarz criterion</w:t>
            </w:r>
          </w:p>
        </w:tc>
        <w:tc>
          <w:tcPr>
            <w:tcW w:w="1300" w:type="dxa"/>
            <w:tcBorders>
              <w:top w:val="nil"/>
              <w:left w:val="nil"/>
              <w:bottom w:val="nil"/>
              <w:right w:val="nil"/>
            </w:tcBorders>
          </w:tcPr>
          <w:p w14:paraId="3968C820"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8969.624</w:t>
            </w:r>
          </w:p>
        </w:tc>
        <w:tc>
          <w:tcPr>
            <w:tcW w:w="400" w:type="dxa"/>
            <w:tcBorders>
              <w:top w:val="nil"/>
              <w:left w:val="nil"/>
              <w:bottom w:val="nil"/>
              <w:right w:val="nil"/>
            </w:tcBorders>
          </w:tcPr>
          <w:p w14:paraId="03D233D8"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321BA323"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Hannan-Quinn</w:t>
            </w:r>
          </w:p>
        </w:tc>
        <w:tc>
          <w:tcPr>
            <w:tcW w:w="1300" w:type="dxa"/>
            <w:tcBorders>
              <w:top w:val="nil"/>
              <w:left w:val="nil"/>
              <w:bottom w:val="nil"/>
              <w:right w:val="nil"/>
            </w:tcBorders>
          </w:tcPr>
          <w:p w14:paraId="694E3BFF"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8424.845</w:t>
            </w:r>
          </w:p>
        </w:tc>
      </w:tr>
      <w:tr w:rsidR="002812C1" w14:paraId="027B0CE9" w14:textId="77777777">
        <w:trPr>
          <w:trHeight w:val="262"/>
          <w:jc w:val="center"/>
        </w:trPr>
        <w:tc>
          <w:tcPr>
            <w:tcW w:w="2530" w:type="dxa"/>
            <w:tcBorders>
              <w:top w:val="nil"/>
              <w:left w:val="nil"/>
              <w:bottom w:val="nil"/>
              <w:right w:val="nil"/>
            </w:tcBorders>
          </w:tcPr>
          <w:p w14:paraId="0834E3E8"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rho</w:t>
            </w:r>
          </w:p>
        </w:tc>
        <w:tc>
          <w:tcPr>
            <w:tcW w:w="1300" w:type="dxa"/>
            <w:tcBorders>
              <w:top w:val="nil"/>
              <w:left w:val="nil"/>
              <w:bottom w:val="nil"/>
              <w:right w:val="nil"/>
            </w:tcBorders>
          </w:tcPr>
          <w:p w14:paraId="7017F473"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0.577921</w:t>
            </w:r>
          </w:p>
        </w:tc>
        <w:tc>
          <w:tcPr>
            <w:tcW w:w="400" w:type="dxa"/>
            <w:tcBorders>
              <w:top w:val="nil"/>
              <w:left w:val="nil"/>
              <w:bottom w:val="nil"/>
              <w:right w:val="nil"/>
            </w:tcBorders>
          </w:tcPr>
          <w:p w14:paraId="6209D051" w14:textId="77777777" w:rsidR="002812C1" w:rsidRDefault="002812C1">
            <w:pPr>
              <w:autoSpaceDE w:val="0"/>
              <w:autoSpaceDN w:val="0"/>
              <w:adjustRightInd w:val="0"/>
              <w:spacing w:line="240" w:lineRule="auto"/>
              <w:ind w:firstLine="0"/>
              <w:jc w:val="center"/>
              <w:rPr>
                <w:rFonts w:ascii="Times New Roman" w:hAnsi="Times New Roman" w:cs="Times New Roman"/>
                <w:kern w:val="0"/>
              </w:rPr>
            </w:pPr>
          </w:p>
        </w:tc>
        <w:tc>
          <w:tcPr>
            <w:tcW w:w="2500" w:type="dxa"/>
            <w:tcBorders>
              <w:top w:val="nil"/>
              <w:left w:val="nil"/>
              <w:bottom w:val="nil"/>
              <w:right w:val="nil"/>
            </w:tcBorders>
          </w:tcPr>
          <w:p w14:paraId="2D89AD09" w14:textId="77777777" w:rsidR="002812C1" w:rsidRDefault="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Durbin-Watson</w:t>
            </w:r>
          </w:p>
        </w:tc>
        <w:tc>
          <w:tcPr>
            <w:tcW w:w="1300" w:type="dxa"/>
            <w:tcBorders>
              <w:top w:val="nil"/>
              <w:left w:val="nil"/>
              <w:bottom w:val="nil"/>
              <w:right w:val="nil"/>
            </w:tcBorders>
          </w:tcPr>
          <w:p w14:paraId="15C0048B" w14:textId="77777777" w:rsidR="002812C1" w:rsidRDefault="002812C1">
            <w:pPr>
              <w:autoSpaceDE w:val="0"/>
              <w:autoSpaceDN w:val="0"/>
              <w:adjustRightInd w:val="0"/>
              <w:spacing w:line="240" w:lineRule="auto"/>
              <w:ind w:firstLine="0"/>
              <w:jc w:val="right"/>
              <w:rPr>
                <w:rFonts w:ascii="Times New Roman" w:hAnsi="Times New Roman" w:cs="Times New Roman"/>
                <w:kern w:val="0"/>
              </w:rPr>
            </w:pPr>
            <w:r>
              <w:rPr>
                <w:rFonts w:ascii="Times New Roman" w:hAnsi="Times New Roman" w:cs="Times New Roman"/>
                <w:kern w:val="0"/>
              </w:rPr>
              <w:t xml:space="preserve"> 0.750756</w:t>
            </w:r>
          </w:p>
        </w:tc>
      </w:tr>
    </w:tbl>
    <w:p w14:paraId="45AAF3E7" w14:textId="77777777" w:rsidR="002812C1" w:rsidRDefault="002812C1" w:rsidP="002812C1">
      <w:pPr>
        <w:autoSpaceDE w:val="0"/>
        <w:autoSpaceDN w:val="0"/>
        <w:adjustRightInd w:val="0"/>
        <w:spacing w:line="240" w:lineRule="auto"/>
        <w:ind w:firstLine="0"/>
        <w:jc w:val="center"/>
        <w:rPr>
          <w:rFonts w:ascii="Times New Roman" w:hAnsi="Times New Roman" w:cs="Times New Roman"/>
          <w:kern w:val="0"/>
        </w:rPr>
      </w:pPr>
    </w:p>
    <w:p w14:paraId="4A5BB3AB"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Joint test on named regressors -</w:t>
      </w:r>
    </w:p>
    <w:p w14:paraId="3B08944B"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F(8, 1707) = 48.0217</w:t>
      </w:r>
    </w:p>
    <w:p w14:paraId="532DCDAC"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P(F(8, 1707) &gt; 48.0217) = 3.7681e-070</w:t>
      </w:r>
    </w:p>
    <w:p w14:paraId="1F3823D1"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p>
    <w:p w14:paraId="47C2C4B8"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Test for differing group intercepts -</w:t>
      </w:r>
    </w:p>
    <w:p w14:paraId="16019EBD"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Null hypothesis: The groups have a common intercept</w:t>
      </w:r>
    </w:p>
    <w:p w14:paraId="57336E9C"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Test statistic: F(147, 1707) = 49.42</w:t>
      </w:r>
    </w:p>
    <w:p w14:paraId="6B27281E" w14:textId="77777777" w:rsidR="002812C1" w:rsidRDefault="002812C1" w:rsidP="002812C1">
      <w:pPr>
        <w:autoSpaceDE w:val="0"/>
        <w:autoSpaceDN w:val="0"/>
        <w:adjustRightInd w:val="0"/>
        <w:spacing w:line="240" w:lineRule="auto"/>
        <w:ind w:firstLine="0"/>
        <w:rPr>
          <w:rFonts w:ascii="Times New Roman" w:hAnsi="Times New Roman" w:cs="Times New Roman"/>
          <w:kern w:val="0"/>
        </w:rPr>
      </w:pPr>
      <w:r>
        <w:rPr>
          <w:rFonts w:ascii="Times New Roman" w:hAnsi="Times New Roman" w:cs="Times New Roman"/>
          <w:kern w:val="0"/>
        </w:rPr>
        <w:t xml:space="preserve"> with p-value = P(F(147, 1707) &gt; 49.42) = 0</w:t>
      </w:r>
    </w:p>
    <w:p w14:paraId="77189C38" w14:textId="77777777" w:rsidR="002721BE" w:rsidRPr="00FF6C5E" w:rsidRDefault="002721BE" w:rsidP="0082695A">
      <w:pPr>
        <w:autoSpaceDE w:val="0"/>
        <w:autoSpaceDN w:val="0"/>
        <w:adjustRightInd w:val="0"/>
        <w:spacing w:line="240" w:lineRule="auto"/>
        <w:ind w:firstLine="0"/>
        <w:rPr>
          <w:rFonts w:cstheme="minorHAnsi"/>
          <w:kern w:val="0"/>
        </w:rPr>
      </w:pPr>
    </w:p>
    <w:p w14:paraId="54679A89" w14:textId="77777777" w:rsidR="00F814DF" w:rsidRPr="00FF6C5E" w:rsidRDefault="00F814DF" w:rsidP="0082695A">
      <w:pPr>
        <w:autoSpaceDE w:val="0"/>
        <w:autoSpaceDN w:val="0"/>
        <w:adjustRightInd w:val="0"/>
        <w:spacing w:line="240" w:lineRule="auto"/>
        <w:ind w:firstLine="0"/>
        <w:rPr>
          <w:rFonts w:cstheme="minorHAnsi"/>
          <w:kern w:val="0"/>
        </w:rPr>
      </w:pPr>
    </w:p>
    <w:p w14:paraId="698D8352" w14:textId="6E9D444A" w:rsidR="00F814DF" w:rsidRPr="00124F71" w:rsidRDefault="00F814DF" w:rsidP="00F814DF">
      <w:pPr>
        <w:rPr>
          <w:rFonts w:cstheme="minorHAnsi"/>
          <w:i/>
          <w:kern w:val="0"/>
        </w:rPr>
      </w:pPr>
      <w:r w:rsidRPr="00124F71">
        <w:rPr>
          <w:rFonts w:cstheme="minorHAnsi"/>
        </w:rPr>
        <w:lastRenderedPageBreak/>
        <w:t>To explain the effect of medicine</w:t>
      </w:r>
      <w:r w:rsidR="00595183">
        <w:rPr>
          <w:rFonts w:cstheme="minorHAnsi"/>
        </w:rPr>
        <w:t>,</w:t>
      </w:r>
      <w:r w:rsidRPr="00124F71">
        <w:rPr>
          <w:rFonts w:cstheme="minorHAnsi"/>
        </w:rPr>
        <w:t xml:space="preserve"> I will add in </w:t>
      </w:r>
      <w:r w:rsidR="00C459D6" w:rsidRPr="00124F71">
        <w:rPr>
          <w:rFonts w:cstheme="minorHAnsi"/>
        </w:rPr>
        <w:t>three measures</w:t>
      </w:r>
      <w:r w:rsidR="00595183">
        <w:rPr>
          <w:rFonts w:cstheme="minorHAnsi"/>
        </w:rPr>
        <w:t xml:space="preserve"> of</w:t>
      </w:r>
      <w:r w:rsidR="00C459D6" w:rsidRPr="00124F71">
        <w:rPr>
          <w:rFonts w:cstheme="minorHAnsi"/>
        </w:rPr>
        <w:t xml:space="preserve"> </w:t>
      </w:r>
      <w:r w:rsidR="00595183">
        <w:rPr>
          <w:rFonts w:cstheme="minorHAnsi"/>
        </w:rPr>
        <w:t>immunizations percentages for each county’s population</w:t>
      </w:r>
      <w:r w:rsidR="00C459D6" w:rsidRPr="00124F71">
        <w:rPr>
          <w:rFonts w:cstheme="minorHAnsi"/>
        </w:rPr>
        <w:t xml:space="preserve">. </w:t>
      </w:r>
      <w:r w:rsidR="002812C1">
        <w:rPr>
          <w:rFonts w:cstheme="minorHAnsi"/>
        </w:rPr>
        <w:t xml:space="preserve">Total expenditures on health regains significance at the 90% confidence level, while </w:t>
      </w:r>
      <w:r w:rsidR="002812C1">
        <w:rPr>
          <w:rFonts w:cstheme="minorHAnsi"/>
          <w:iCs/>
          <w:kern w:val="0"/>
        </w:rPr>
        <w:t>t</w:t>
      </w:r>
      <w:r w:rsidRPr="00124F71">
        <w:rPr>
          <w:rFonts w:cstheme="minorHAnsi"/>
          <w:iCs/>
          <w:kern w:val="0"/>
        </w:rPr>
        <w:t>he only n</w:t>
      </w:r>
      <w:r w:rsidR="00C459D6" w:rsidRPr="00124F71">
        <w:rPr>
          <w:rFonts w:cstheme="minorHAnsi"/>
          <w:iCs/>
          <w:kern w:val="0"/>
        </w:rPr>
        <w:t>on-</w:t>
      </w:r>
      <w:r w:rsidRPr="00124F71">
        <w:rPr>
          <w:rFonts w:cstheme="minorHAnsi"/>
          <w:iCs/>
          <w:kern w:val="0"/>
        </w:rPr>
        <w:t xml:space="preserve">significant </w:t>
      </w:r>
      <w:r w:rsidR="00C459D6" w:rsidRPr="00124F71">
        <w:rPr>
          <w:rFonts w:cstheme="minorHAnsi"/>
          <w:iCs/>
          <w:kern w:val="0"/>
        </w:rPr>
        <w:t xml:space="preserve">variable </w:t>
      </w:r>
      <w:r w:rsidR="002812C1">
        <w:rPr>
          <w:rFonts w:cstheme="minorHAnsi"/>
          <w:iCs/>
          <w:kern w:val="0"/>
        </w:rPr>
        <w:t>is</w:t>
      </w:r>
      <w:r w:rsidRPr="00124F71">
        <w:rPr>
          <w:rFonts w:cstheme="minorHAnsi"/>
          <w:iCs/>
          <w:kern w:val="0"/>
        </w:rPr>
        <w:t xml:space="preserve"> </w:t>
      </w:r>
      <w:r w:rsidR="002812C1">
        <w:rPr>
          <w:rFonts w:cstheme="minorHAnsi"/>
          <w:iCs/>
          <w:kern w:val="0"/>
        </w:rPr>
        <w:t>Polio immunizations</w:t>
      </w:r>
      <w:r w:rsidRPr="00124F71">
        <w:rPr>
          <w:rFonts w:cstheme="minorHAnsi"/>
          <w:iCs/>
          <w:kern w:val="0"/>
        </w:rPr>
        <w:t xml:space="preserve">. For each additional </w:t>
      </w:r>
      <w:r w:rsidR="00595183">
        <w:rPr>
          <w:rFonts w:cstheme="minorHAnsi"/>
          <w:iCs/>
          <w:kern w:val="0"/>
        </w:rPr>
        <w:t>percentage</w:t>
      </w:r>
      <w:r w:rsidR="00C459D6" w:rsidRPr="00124F71">
        <w:rPr>
          <w:rFonts w:cstheme="minorHAnsi"/>
          <w:iCs/>
          <w:kern w:val="0"/>
        </w:rPr>
        <w:t xml:space="preserve"> increase in </w:t>
      </w:r>
      <w:r w:rsidR="00595183">
        <w:rPr>
          <w:rFonts w:cstheme="minorHAnsi"/>
          <w:iCs/>
          <w:kern w:val="0"/>
        </w:rPr>
        <w:t>Hepatitis B immunizations</w:t>
      </w:r>
      <w:r w:rsidRPr="00124F71">
        <w:rPr>
          <w:rFonts w:cstheme="minorHAnsi"/>
          <w:iCs/>
          <w:kern w:val="0"/>
        </w:rPr>
        <w:t>, life expectancy increases by 0.</w:t>
      </w:r>
      <w:r w:rsidR="00FF6C5E" w:rsidRPr="00124F71">
        <w:rPr>
          <w:rFonts w:cstheme="minorHAnsi"/>
          <w:iCs/>
          <w:kern w:val="0"/>
        </w:rPr>
        <w:t>0</w:t>
      </w:r>
      <w:r w:rsidR="00EE57A7">
        <w:rPr>
          <w:rFonts w:cstheme="minorHAnsi"/>
          <w:iCs/>
          <w:kern w:val="0"/>
        </w:rPr>
        <w:t>1</w:t>
      </w:r>
      <w:r w:rsidRPr="00124F71">
        <w:rPr>
          <w:rFonts w:cstheme="minorHAnsi"/>
          <w:iCs/>
          <w:kern w:val="0"/>
        </w:rPr>
        <w:t xml:space="preserve"> years, ceterus paribus.</w:t>
      </w:r>
      <w:r w:rsidR="002812C1">
        <w:rPr>
          <w:rFonts w:cstheme="minorHAnsi"/>
          <w:iCs/>
          <w:kern w:val="0"/>
        </w:rPr>
        <w:t xml:space="preserve"> Total expenditure increases life expectancy by 0.05 years, holding all else constant. </w:t>
      </w:r>
      <w:r w:rsidR="002812C1" w:rsidRPr="00124F71">
        <w:rPr>
          <w:rFonts w:cstheme="minorHAnsi"/>
          <w:iCs/>
          <w:kern w:val="0"/>
        </w:rPr>
        <w:t xml:space="preserve">For each additional </w:t>
      </w:r>
      <w:r w:rsidR="002812C1">
        <w:rPr>
          <w:rFonts w:cstheme="minorHAnsi"/>
          <w:iCs/>
          <w:kern w:val="0"/>
        </w:rPr>
        <w:t>percentage</w:t>
      </w:r>
      <w:r w:rsidR="002812C1" w:rsidRPr="00124F71">
        <w:rPr>
          <w:rFonts w:cstheme="minorHAnsi"/>
          <w:iCs/>
          <w:kern w:val="0"/>
        </w:rPr>
        <w:t xml:space="preserve"> increase in </w:t>
      </w:r>
      <w:r w:rsidR="002812C1">
        <w:rPr>
          <w:rFonts w:cstheme="minorHAnsi"/>
          <w:iCs/>
          <w:kern w:val="0"/>
        </w:rPr>
        <w:t>Diphtheria immunizations</w:t>
      </w:r>
      <w:r w:rsidR="002812C1" w:rsidRPr="00124F71">
        <w:rPr>
          <w:rFonts w:cstheme="minorHAnsi"/>
          <w:iCs/>
          <w:kern w:val="0"/>
        </w:rPr>
        <w:t>, life expectancy increases by 0.0</w:t>
      </w:r>
      <w:r w:rsidR="002812C1">
        <w:rPr>
          <w:rFonts w:cstheme="minorHAnsi"/>
          <w:iCs/>
          <w:kern w:val="0"/>
        </w:rPr>
        <w:t>07</w:t>
      </w:r>
      <w:r w:rsidR="002812C1" w:rsidRPr="00124F71">
        <w:rPr>
          <w:rFonts w:cstheme="minorHAnsi"/>
          <w:iCs/>
          <w:kern w:val="0"/>
        </w:rPr>
        <w:t xml:space="preserve"> years, ceterus paribus</w:t>
      </w:r>
      <w:r w:rsidR="00905FE8" w:rsidRPr="00124F71">
        <w:rPr>
          <w:rFonts w:cstheme="minorHAnsi"/>
          <w:iCs/>
          <w:kern w:val="0"/>
        </w:rPr>
        <w:t xml:space="preserve">. </w:t>
      </w:r>
      <w:r w:rsidR="00E44770" w:rsidRPr="00124F71">
        <w:rPr>
          <w:rFonts w:cstheme="minorHAnsi"/>
          <w:iCs/>
          <w:kern w:val="0"/>
        </w:rPr>
        <w:t xml:space="preserve">Since </w:t>
      </w:r>
      <w:r w:rsidR="002812C1">
        <w:rPr>
          <w:rFonts w:cstheme="minorHAnsi"/>
          <w:iCs/>
          <w:kern w:val="0"/>
        </w:rPr>
        <w:t>Polio immunizations</w:t>
      </w:r>
      <w:r w:rsidR="002812C1" w:rsidRPr="00124F71">
        <w:rPr>
          <w:rFonts w:cstheme="minorHAnsi"/>
          <w:iCs/>
          <w:kern w:val="0"/>
        </w:rPr>
        <w:t xml:space="preserve"> </w:t>
      </w:r>
      <w:r w:rsidR="00E44770" w:rsidRPr="00124F71">
        <w:rPr>
          <w:rFonts w:cstheme="minorHAnsi"/>
          <w:iCs/>
          <w:kern w:val="0"/>
        </w:rPr>
        <w:t>have no significance</w:t>
      </w:r>
      <w:r w:rsidRPr="00124F71">
        <w:rPr>
          <w:rFonts w:cstheme="minorHAnsi"/>
          <w:iCs/>
          <w:kern w:val="0"/>
        </w:rPr>
        <w:t xml:space="preserve">, </w:t>
      </w:r>
      <w:r w:rsidR="00E44770" w:rsidRPr="00124F71">
        <w:rPr>
          <w:rFonts w:cstheme="minorHAnsi"/>
          <w:iCs/>
          <w:kern w:val="0"/>
        </w:rPr>
        <w:t xml:space="preserve">it can be </w:t>
      </w:r>
      <w:r w:rsidR="00124F71" w:rsidRPr="00124F71">
        <w:rPr>
          <w:rFonts w:cstheme="minorHAnsi"/>
          <w:iCs/>
          <w:kern w:val="0"/>
        </w:rPr>
        <w:t>inferred</w:t>
      </w:r>
      <w:r w:rsidR="00E44770" w:rsidRPr="00124F71">
        <w:rPr>
          <w:rFonts w:cstheme="minorHAnsi"/>
          <w:iCs/>
          <w:kern w:val="0"/>
        </w:rPr>
        <w:t xml:space="preserve"> </w:t>
      </w:r>
      <w:r w:rsidR="00124F71" w:rsidRPr="00124F71">
        <w:rPr>
          <w:rFonts w:cstheme="minorHAnsi"/>
          <w:iCs/>
          <w:kern w:val="0"/>
        </w:rPr>
        <w:t>that all</w:t>
      </w:r>
      <w:r w:rsidR="00E97C67" w:rsidRPr="00124F71">
        <w:rPr>
          <w:rFonts w:cstheme="minorHAnsi"/>
          <w:iCs/>
          <w:kern w:val="0"/>
        </w:rPr>
        <w:t xml:space="preserve"> other variables are able to explain life expectancy</w:t>
      </w:r>
      <w:r w:rsidRPr="00124F71">
        <w:rPr>
          <w:rFonts w:cstheme="minorHAnsi"/>
          <w:iCs/>
          <w:kern w:val="0"/>
        </w:rPr>
        <w:t>.</w:t>
      </w:r>
    </w:p>
    <w:p w14:paraId="2F7465A9" w14:textId="7961ADBF" w:rsidR="002721BE" w:rsidRPr="00FF6C5E" w:rsidRDefault="00E97C67" w:rsidP="003940A4">
      <w:pPr>
        <w:autoSpaceDE w:val="0"/>
        <w:autoSpaceDN w:val="0"/>
        <w:adjustRightInd w:val="0"/>
        <w:rPr>
          <w:rFonts w:cstheme="minorHAnsi"/>
          <w:kern w:val="0"/>
        </w:rPr>
      </w:pPr>
      <w:r w:rsidRPr="001363A2">
        <w:rPr>
          <w:rFonts w:cstheme="minorHAnsi"/>
          <w:kern w:val="0"/>
        </w:rPr>
        <w:t>This is where I will perform a f-test between model 2 and model 3</w:t>
      </w:r>
      <w:r w:rsidRPr="00905FE8">
        <w:rPr>
          <w:rFonts w:cstheme="minorHAnsi"/>
          <w:kern w:val="0"/>
        </w:rPr>
        <w:t xml:space="preserve">. </w:t>
      </w:r>
      <w:r w:rsidR="002721BE" w:rsidRPr="00905FE8">
        <w:rPr>
          <w:rFonts w:cstheme="minorHAnsi"/>
          <w:kern w:val="0"/>
        </w:rPr>
        <w:t xml:space="preserve">With a f-statistic of </w:t>
      </w:r>
      <w:r w:rsidR="00905FE8" w:rsidRPr="00905FE8">
        <w:rPr>
          <w:rFonts w:cstheme="minorHAnsi"/>
          <w:kern w:val="0"/>
        </w:rPr>
        <w:t>32.22</w:t>
      </w:r>
      <w:r w:rsidR="002721BE" w:rsidRPr="00905FE8">
        <w:rPr>
          <w:rFonts w:cstheme="minorHAnsi"/>
          <w:kern w:val="0"/>
        </w:rPr>
        <w:t xml:space="preserve"> and a critical value of 2.097, I</w:t>
      </w:r>
      <w:r w:rsidR="002721BE" w:rsidRPr="00C71F84">
        <w:rPr>
          <w:rFonts w:cstheme="minorHAnsi"/>
          <w:kern w:val="0"/>
        </w:rPr>
        <w:t xml:space="preserve"> can safely reject my null hypothesis that </w:t>
      </w:r>
      <w:r w:rsidR="002E5487" w:rsidRPr="00C71F84">
        <w:rPr>
          <w:rFonts w:cstheme="minorHAnsi"/>
          <w:kern w:val="0"/>
        </w:rPr>
        <w:t>healthcare</w:t>
      </w:r>
      <w:r w:rsidR="00C71F84">
        <w:rPr>
          <w:rFonts w:cstheme="minorHAnsi"/>
          <w:kern w:val="0"/>
        </w:rPr>
        <w:t xml:space="preserve"> ( in the form of immunizations)</w:t>
      </w:r>
      <w:r w:rsidR="003D13F4" w:rsidRPr="00C71F84">
        <w:rPr>
          <w:rFonts w:cstheme="minorHAnsi"/>
          <w:kern w:val="0"/>
        </w:rPr>
        <w:t xml:space="preserve"> </w:t>
      </w:r>
      <w:r w:rsidR="007812E7" w:rsidRPr="00C71F84">
        <w:rPr>
          <w:rFonts w:cstheme="minorHAnsi"/>
          <w:kern w:val="0"/>
        </w:rPr>
        <w:t>has</w:t>
      </w:r>
      <w:r w:rsidR="003D13F4" w:rsidRPr="00C71F84">
        <w:rPr>
          <w:rFonts w:cstheme="minorHAnsi"/>
          <w:kern w:val="0"/>
        </w:rPr>
        <w:t xml:space="preserve"> zero effect on the </w:t>
      </w:r>
      <w:r w:rsidR="002E5487" w:rsidRPr="00C71F84">
        <w:rPr>
          <w:rFonts w:cstheme="minorHAnsi"/>
          <w:kern w:val="0"/>
        </w:rPr>
        <w:t xml:space="preserve">average </w:t>
      </w:r>
      <w:r w:rsidR="003D13F4" w:rsidRPr="00C71F84">
        <w:rPr>
          <w:rFonts w:cstheme="minorHAnsi"/>
          <w:kern w:val="0"/>
        </w:rPr>
        <w:t xml:space="preserve">life expectancy. </w:t>
      </w:r>
      <w:r w:rsidR="00A935E5" w:rsidRPr="00C71F84">
        <w:rPr>
          <w:rFonts w:cstheme="minorHAnsi"/>
          <w:kern w:val="0"/>
        </w:rPr>
        <w:t>To</w:t>
      </w:r>
      <w:r w:rsidR="002F6122" w:rsidRPr="00C71F84">
        <w:rPr>
          <w:rFonts w:cstheme="minorHAnsi"/>
          <w:kern w:val="0"/>
        </w:rPr>
        <w:t xml:space="preserve"> distribute mor</w:t>
      </w:r>
      <w:r w:rsidR="001363A2" w:rsidRPr="00C71F84">
        <w:rPr>
          <w:rFonts w:cstheme="minorHAnsi"/>
          <w:kern w:val="0"/>
        </w:rPr>
        <w:t xml:space="preserve">e </w:t>
      </w:r>
      <w:r w:rsidR="002812C1">
        <w:rPr>
          <w:rFonts w:cstheme="minorHAnsi"/>
          <w:kern w:val="0"/>
        </w:rPr>
        <w:t>immunizations</w:t>
      </w:r>
      <w:r w:rsidR="00F0344E" w:rsidRPr="00C71F84">
        <w:rPr>
          <w:rFonts w:cstheme="minorHAnsi"/>
          <w:kern w:val="0"/>
        </w:rPr>
        <w:t xml:space="preserve">, </w:t>
      </w:r>
      <w:r w:rsidR="003B7DCF" w:rsidRPr="00C71F84">
        <w:rPr>
          <w:rFonts w:cstheme="minorHAnsi"/>
          <w:kern w:val="0"/>
        </w:rPr>
        <w:t xml:space="preserve">the </w:t>
      </w:r>
      <w:r w:rsidR="00A935E5" w:rsidRPr="00C71F84">
        <w:rPr>
          <w:rFonts w:cstheme="minorHAnsi"/>
          <w:kern w:val="0"/>
        </w:rPr>
        <w:t>number</w:t>
      </w:r>
      <w:r w:rsidR="003B7DCF" w:rsidRPr="00C71F84">
        <w:rPr>
          <w:rFonts w:cstheme="minorHAnsi"/>
          <w:kern w:val="0"/>
        </w:rPr>
        <w:t xml:space="preserve"> of total expenditures</w:t>
      </w:r>
      <w:r w:rsidR="00C71F84">
        <w:rPr>
          <w:rFonts w:cstheme="minorHAnsi"/>
          <w:kern w:val="0"/>
        </w:rPr>
        <w:t xml:space="preserve"> </w:t>
      </w:r>
      <w:r w:rsidR="003B7DCF" w:rsidRPr="00C71F84">
        <w:rPr>
          <w:rFonts w:cstheme="minorHAnsi"/>
          <w:kern w:val="0"/>
        </w:rPr>
        <w:t>spent</w:t>
      </w:r>
      <w:r w:rsidR="00C71F84">
        <w:rPr>
          <w:rFonts w:cstheme="minorHAnsi"/>
          <w:kern w:val="0"/>
        </w:rPr>
        <w:t xml:space="preserve"> on healthcare</w:t>
      </w:r>
      <w:r w:rsidR="003B7DCF" w:rsidRPr="00C71F84">
        <w:rPr>
          <w:rFonts w:cstheme="minorHAnsi"/>
          <w:kern w:val="0"/>
        </w:rPr>
        <w:t xml:space="preserve"> needs to </w:t>
      </w:r>
      <w:r w:rsidR="0070520B" w:rsidRPr="00C71F84">
        <w:rPr>
          <w:rFonts w:cstheme="minorHAnsi"/>
          <w:kern w:val="0"/>
        </w:rPr>
        <w:t xml:space="preserve">increase. </w:t>
      </w:r>
      <w:r w:rsidR="00C71F84" w:rsidRPr="00C71F84">
        <w:rPr>
          <w:rFonts w:cstheme="minorHAnsi"/>
          <w:kern w:val="0"/>
        </w:rPr>
        <w:t xml:space="preserve">This proves countries that focus on </w:t>
      </w:r>
      <w:r w:rsidR="002812C1">
        <w:rPr>
          <w:rFonts w:cstheme="minorHAnsi"/>
          <w:kern w:val="0"/>
        </w:rPr>
        <w:t>immunization</w:t>
      </w:r>
      <w:r w:rsidR="00C71F84">
        <w:rPr>
          <w:rFonts w:cstheme="minorHAnsi"/>
          <w:kern w:val="0"/>
        </w:rPr>
        <w:t xml:space="preserve"> measures</w:t>
      </w:r>
      <w:r w:rsidR="00C71F84" w:rsidRPr="00C71F84">
        <w:rPr>
          <w:rFonts w:cstheme="minorHAnsi"/>
          <w:kern w:val="0"/>
        </w:rPr>
        <w:t xml:space="preserve"> </w:t>
      </w:r>
      <w:r w:rsidR="002812C1">
        <w:rPr>
          <w:rFonts w:cstheme="minorHAnsi"/>
          <w:kern w:val="0"/>
        </w:rPr>
        <w:t xml:space="preserve">towards children </w:t>
      </w:r>
      <w:r w:rsidR="00C71F84" w:rsidRPr="00C71F84">
        <w:rPr>
          <w:rFonts w:cstheme="minorHAnsi"/>
          <w:kern w:val="0"/>
        </w:rPr>
        <w:t>can expect their population to live longer lives.</w:t>
      </w:r>
      <w:r w:rsidR="00C71F84">
        <w:rPr>
          <w:rFonts w:cstheme="minorHAnsi"/>
          <w:kern w:val="0"/>
        </w:rPr>
        <w:t xml:space="preserve"> </w:t>
      </w:r>
      <w:r w:rsidR="0070520B" w:rsidRPr="00C71F84">
        <w:rPr>
          <w:rFonts w:cstheme="minorHAnsi"/>
          <w:kern w:val="0"/>
        </w:rPr>
        <w:t>I</w:t>
      </w:r>
      <w:r w:rsidR="001363A2" w:rsidRPr="00C71F84">
        <w:rPr>
          <w:rFonts w:cstheme="minorHAnsi"/>
          <w:kern w:val="0"/>
        </w:rPr>
        <w:t>n</w:t>
      </w:r>
      <w:r w:rsidR="0070520B" w:rsidRPr="00C71F84">
        <w:rPr>
          <w:rFonts w:cstheme="minorHAnsi"/>
          <w:kern w:val="0"/>
        </w:rPr>
        <w:t xml:space="preserve"> conclusion, wealthier countries have the resources to </w:t>
      </w:r>
      <w:r w:rsidR="001363A2" w:rsidRPr="00C71F84">
        <w:rPr>
          <w:rFonts w:cstheme="minorHAnsi"/>
          <w:kern w:val="0"/>
        </w:rPr>
        <w:t>treat</w:t>
      </w:r>
      <w:r w:rsidR="00086DCD" w:rsidRPr="00C71F84">
        <w:rPr>
          <w:rFonts w:cstheme="minorHAnsi"/>
          <w:kern w:val="0"/>
        </w:rPr>
        <w:t xml:space="preserve"> more </w:t>
      </w:r>
      <w:r w:rsidR="002812C1">
        <w:rPr>
          <w:rFonts w:cstheme="minorHAnsi"/>
          <w:kern w:val="0"/>
        </w:rPr>
        <w:t xml:space="preserve">young </w:t>
      </w:r>
      <w:r w:rsidR="00086DCD" w:rsidRPr="00C71F84">
        <w:rPr>
          <w:rFonts w:cstheme="minorHAnsi"/>
          <w:kern w:val="0"/>
        </w:rPr>
        <w:t>people</w:t>
      </w:r>
      <w:r w:rsidR="00A935E5" w:rsidRPr="00C71F84">
        <w:rPr>
          <w:rFonts w:cstheme="minorHAnsi"/>
          <w:kern w:val="0"/>
        </w:rPr>
        <w:t xml:space="preserve"> which leads to longer life expectancies.</w:t>
      </w:r>
    </w:p>
    <w:p w14:paraId="6A64427C" w14:textId="79249FA2" w:rsidR="00C71FEB" w:rsidRDefault="00C71FEB" w:rsidP="00D92A5A">
      <w:pPr>
        <w:ind w:firstLine="0"/>
        <w:jc w:val="center"/>
        <w:rPr>
          <w:b/>
          <w:bCs/>
        </w:rPr>
      </w:pPr>
      <w:r w:rsidRPr="00C71FEB">
        <w:rPr>
          <w:b/>
          <w:bCs/>
        </w:rPr>
        <w:t>Conclusion</w:t>
      </w:r>
    </w:p>
    <w:p w14:paraId="640CDC53" w14:textId="21F81DD2" w:rsidR="00C71FEB" w:rsidRDefault="004105E0" w:rsidP="00C71FEB">
      <w:r>
        <w:t xml:space="preserve">The life-cycle allocation theory </w:t>
      </w:r>
      <w:r w:rsidR="00205107">
        <w:t xml:space="preserve">provides the necessary tools to understanding how resources </w:t>
      </w:r>
      <w:r w:rsidR="00103E5C">
        <w:t xml:space="preserve">impact global life </w:t>
      </w:r>
      <w:r w:rsidR="009167E7">
        <w:t>expectancy</w:t>
      </w:r>
      <w:r w:rsidR="00103E5C">
        <w:t xml:space="preserve">. This analysis </w:t>
      </w:r>
      <w:r w:rsidR="009167E7">
        <w:t xml:space="preserve">looks at individual life stages to determine if there are any valuable insights to be gained from government spending, healthcare, and </w:t>
      </w:r>
      <w:r w:rsidR="008119A4">
        <w:t>education. The results prove there is a tangible reason for policy makers to consider</w:t>
      </w:r>
      <w:r w:rsidR="00184A0B">
        <w:t xml:space="preserve"> this economic concept. </w:t>
      </w:r>
    </w:p>
    <w:p w14:paraId="58B1D3CD" w14:textId="3D15B9A4" w:rsidR="0019609C" w:rsidRDefault="00BC75EC" w:rsidP="00C71FEB">
      <w:r>
        <w:t>Total expenditures</w:t>
      </w:r>
      <w:r w:rsidR="00905FE8">
        <w:t>, which is general government expenditure on health as a percentage of total government expenditure</w:t>
      </w:r>
      <w:r w:rsidR="00CE71B6">
        <w:t xml:space="preserve"> </w:t>
      </w:r>
      <w:r w:rsidR="00337D3B">
        <w:t xml:space="preserve">is </w:t>
      </w:r>
      <w:r w:rsidR="00905FE8">
        <w:t>a straightforward way</w:t>
      </w:r>
      <w:r w:rsidR="00337D3B">
        <w:t xml:space="preserve"> to understand the effect of healthcare</w:t>
      </w:r>
      <w:r w:rsidR="00F20F16">
        <w:t xml:space="preserve">. </w:t>
      </w:r>
      <w:r w:rsidR="008F36A8">
        <w:lastRenderedPageBreak/>
        <w:t xml:space="preserve">Based on model 2 , the hypothesis that total expenditures </w:t>
      </w:r>
      <w:r w:rsidR="00C71F84">
        <w:t>increase</w:t>
      </w:r>
      <w:r w:rsidR="008F36A8">
        <w:t xml:space="preserve"> life expectancy is </w:t>
      </w:r>
      <w:r w:rsidR="00C71F84">
        <w:t>semi-</w:t>
      </w:r>
      <w:r w:rsidR="008F36A8">
        <w:t xml:space="preserve">correct. </w:t>
      </w:r>
      <w:r w:rsidR="00C71F84">
        <w:t xml:space="preserve">The added effect of GDP controls for income in each country. It can be restated that countries with more income have more resources to allocate to healthcare. </w:t>
      </w:r>
    </w:p>
    <w:p w14:paraId="057C0D1F" w14:textId="7A6BCE97" w:rsidR="00BC75EC" w:rsidRDefault="00DA0C89" w:rsidP="0019609C">
      <w:r>
        <w:t>As expected, adult and child mortality decrease the life expectancy average.</w:t>
      </w:r>
      <w:r w:rsidR="0019609C">
        <w:t xml:space="preserve"> </w:t>
      </w:r>
      <w:r w:rsidR="00703199">
        <w:t xml:space="preserve">When </w:t>
      </w:r>
      <w:r w:rsidR="00E36145">
        <w:t>adding the effects of healthcare</w:t>
      </w:r>
      <w:r w:rsidR="004D36FA">
        <w:t xml:space="preserve">, there is a noticeable difference in life expectancy. </w:t>
      </w:r>
      <w:r w:rsidR="00C71F84">
        <w:t>A lack of immunizations</w:t>
      </w:r>
      <w:r w:rsidR="00CC6868">
        <w:t xml:space="preserve"> will</w:t>
      </w:r>
      <w:r w:rsidR="0019609C">
        <w:t xml:space="preserve"> have a negative impact</w:t>
      </w:r>
      <w:r w:rsidR="00C71F84">
        <w:t xml:space="preserve"> on life expectancy</w:t>
      </w:r>
      <w:r w:rsidR="0019609C">
        <w:t xml:space="preserve">, while </w:t>
      </w:r>
      <w:r w:rsidR="00C71F84">
        <w:t>the vice versa is true</w:t>
      </w:r>
      <w:r w:rsidR="0019609C">
        <w:t>.</w:t>
      </w:r>
      <w:r w:rsidR="008F36A8">
        <w:t xml:space="preserve"> This proves</w:t>
      </w:r>
      <w:r w:rsidR="00C71F84">
        <w:t xml:space="preserve"> that</w:t>
      </w:r>
      <w:r w:rsidR="008F36A8">
        <w:t xml:space="preserve"> the third hypothesis that medicine has a positive impact on life expectancy.</w:t>
      </w:r>
      <w:r w:rsidR="00611C95">
        <w:t xml:space="preserve"> </w:t>
      </w:r>
    </w:p>
    <w:p w14:paraId="49652D84" w14:textId="3081466F" w:rsidR="0019609C" w:rsidRPr="00C71FEB" w:rsidRDefault="0019609C" w:rsidP="0019609C"/>
    <w:p w14:paraId="548CCE62" w14:textId="77777777" w:rsidR="00C6205C" w:rsidRDefault="00C6205C" w:rsidP="00C71FEB">
      <w:pPr>
        <w:ind w:firstLine="0"/>
        <w:rPr>
          <w:highlight w:val="yellow"/>
        </w:rPr>
      </w:pPr>
      <w:r>
        <w:rPr>
          <w:highlight w:val="yellow"/>
        </w:rPr>
        <w:br w:type="page"/>
      </w:r>
    </w:p>
    <w:p w14:paraId="48118E9C" w14:textId="77777777" w:rsidR="006E4862" w:rsidRPr="00EA63E6" w:rsidRDefault="006E4862" w:rsidP="00CB1DA0">
      <w:pPr>
        <w:rPr>
          <w:highlight w:val="yellow"/>
        </w:rPr>
      </w:pPr>
    </w:p>
    <w:sdt>
      <w:sdtPr>
        <w:rPr>
          <w:rFonts w:asciiTheme="minorHAnsi" w:eastAsiaTheme="minorEastAsia" w:hAnsiTheme="minorHAnsi" w:cstheme="minorBidi"/>
          <w:b w:val="0"/>
          <w:bCs w:val="0"/>
          <w:highlight w:val="yellow"/>
        </w:rPr>
        <w:id w:val="1405793048"/>
        <w:docPartObj>
          <w:docPartGallery w:val="Bibliographies"/>
          <w:docPartUnique/>
        </w:docPartObj>
      </w:sdtPr>
      <w:sdtContent>
        <w:p w14:paraId="626A3559" w14:textId="3F6BE962" w:rsidR="006E4862" w:rsidRPr="00AB483E" w:rsidRDefault="006E4862">
          <w:pPr>
            <w:pStyle w:val="Heading1"/>
          </w:pPr>
          <w:r w:rsidRPr="00AB483E">
            <w:t>References</w:t>
          </w:r>
        </w:p>
        <w:sdt>
          <w:sdtPr>
            <w:rPr>
              <w:highlight w:val="yellow"/>
            </w:rPr>
            <w:id w:val="-573587230"/>
            <w:bibliography/>
          </w:sdtPr>
          <w:sdtContent>
            <w:p w14:paraId="69E2F785" w14:textId="77777777" w:rsidR="00126E1C" w:rsidRDefault="00126E1C" w:rsidP="00126E1C">
              <w:pPr>
                <w:ind w:hanging="480"/>
                <w:rPr>
                  <w:kern w:val="0"/>
                </w:rPr>
              </w:pPr>
              <w:r>
                <w:t xml:space="preserve">Ghez, Gilbert, and Gary S. Becker. “The Allocation of Time and Goods over the Life Cycle.” NBER, 1975. </w:t>
              </w:r>
              <w:hyperlink r:id="rId12" w:history="1">
                <w:r>
                  <w:rPr>
                    <w:rStyle w:val="Hyperlink"/>
                  </w:rPr>
                  <w:t>https://www.nber.org/books-and-chapters/allocation-time-and-goods-over-life-cycle</w:t>
                </w:r>
              </w:hyperlink>
              <w:r>
                <w:t>.</w:t>
              </w:r>
            </w:p>
            <w:p w14:paraId="10F4C681" w14:textId="433E9C8E" w:rsidR="00AB483E" w:rsidRDefault="00AB483E" w:rsidP="00AB483E">
              <w:pPr>
                <w:ind w:hanging="480"/>
                <w:rPr>
                  <w:kern w:val="0"/>
                </w:rPr>
              </w:pPr>
              <w:r>
                <w:t xml:space="preserve">Ho, J. Y. (2022). Causes of America’s Lagging Life Expectancy: An International Comparative Perspective. </w:t>
              </w:r>
              <w:r>
                <w:rPr>
                  <w:i/>
                  <w:iCs/>
                </w:rPr>
                <w:t>The Journals of Gerontology: Series B</w:t>
              </w:r>
              <w:r>
                <w:t xml:space="preserve">, </w:t>
              </w:r>
              <w:r>
                <w:rPr>
                  <w:i/>
                  <w:iCs/>
                </w:rPr>
                <w:t>77</w:t>
              </w:r>
              <w:r>
                <w:t xml:space="preserve">(Supplement_2), S117–S126. </w:t>
              </w:r>
              <w:hyperlink r:id="rId13" w:history="1">
                <w:r>
                  <w:rPr>
                    <w:rStyle w:val="Hyperlink"/>
                  </w:rPr>
                  <w:t>https://doi.org/10.1093/geronb/gbab129</w:t>
                </w:r>
              </w:hyperlink>
            </w:p>
            <w:p w14:paraId="19700A6C" w14:textId="77777777" w:rsidR="00AB483E" w:rsidRDefault="00AB483E" w:rsidP="00AB483E">
              <w:pPr>
                <w:ind w:hanging="480"/>
              </w:pPr>
              <w:r>
                <w:rPr>
                  <w:i/>
                  <w:iCs/>
                </w:rPr>
                <w:t>Life Expectancy (WHO)</w:t>
              </w:r>
              <w:r>
                <w:t xml:space="preserve">. (n.d.). Retrieved October 31, 2023, from </w:t>
              </w:r>
              <w:hyperlink r:id="rId14" w:history="1">
                <w:r>
                  <w:rPr>
                    <w:rStyle w:val="Hyperlink"/>
                  </w:rPr>
                  <w:t>https://www.kaggle.com/datasets/kumarajarshi/life-expectancy-who</w:t>
                </w:r>
              </w:hyperlink>
            </w:p>
            <w:p w14:paraId="7A4C969D" w14:textId="77777777" w:rsidR="00AB483E" w:rsidRDefault="00AB483E" w:rsidP="00AB483E">
              <w:pPr>
                <w:ind w:hanging="480"/>
              </w:pPr>
              <w:r>
                <w:t xml:space="preserve">Mathers, C. D., Stevens, G. A., Boerma, T., White, R. A., &amp; Tobias, M. I. (2015). Causes of international increases in older age life expectancy. </w:t>
              </w:r>
              <w:r>
                <w:rPr>
                  <w:i/>
                  <w:iCs/>
                </w:rPr>
                <w:t>The Lancet</w:t>
              </w:r>
              <w:r>
                <w:t xml:space="preserve">, </w:t>
              </w:r>
              <w:r>
                <w:rPr>
                  <w:i/>
                  <w:iCs/>
                </w:rPr>
                <w:t>385</w:t>
              </w:r>
              <w:r>
                <w:t xml:space="preserve">(9967), 540–548. </w:t>
              </w:r>
              <w:hyperlink r:id="rId15" w:history="1">
                <w:r>
                  <w:rPr>
                    <w:rStyle w:val="Hyperlink"/>
                  </w:rPr>
                  <w:t>https://doi.org/10.1016/S0140-6736(14)60569-9</w:t>
                </w:r>
              </w:hyperlink>
            </w:p>
            <w:p w14:paraId="673B0CE1" w14:textId="77777777" w:rsidR="00AB483E" w:rsidRPr="00AB483E" w:rsidRDefault="00AB483E" w:rsidP="00AB483E">
              <w:pPr>
                <w:ind w:hanging="480"/>
                <w:rPr>
                  <w:lang w:val="es-US"/>
                </w:rPr>
              </w:pPr>
              <w:r>
                <w:t xml:space="preserve">Rosen, S. (1988). The value of changes in life expectancy. </w:t>
              </w:r>
              <w:r>
                <w:rPr>
                  <w:i/>
                  <w:iCs/>
                </w:rPr>
                <w:t>Journal of Risk and Uncertainty</w:t>
              </w:r>
              <w:r>
                <w:t xml:space="preserve">, </w:t>
              </w:r>
              <w:r>
                <w:rPr>
                  <w:i/>
                  <w:iCs/>
                </w:rPr>
                <w:t>1</w:t>
              </w:r>
              <w:r>
                <w:t xml:space="preserve">(3), 285–304. </w:t>
              </w:r>
              <w:hyperlink r:id="rId16" w:history="1">
                <w:r w:rsidRPr="00AB483E">
                  <w:rPr>
                    <w:rStyle w:val="Hyperlink"/>
                    <w:lang w:val="es-US"/>
                  </w:rPr>
                  <w:t>https://doi.org/10.1007/BF00056139</w:t>
                </w:r>
              </w:hyperlink>
            </w:p>
            <w:p w14:paraId="5F69F9B7" w14:textId="77777777" w:rsidR="00AB483E" w:rsidRDefault="00AB483E" w:rsidP="00AB483E">
              <w:pPr>
                <w:ind w:hanging="480"/>
              </w:pPr>
              <w:r w:rsidRPr="00AB483E">
                <w:rPr>
                  <w:lang w:val="es-US"/>
                </w:rPr>
                <w:t xml:space="preserve">Roser, M., Ortiz-Ospina, E., &amp; Ritchie, H. (2013). </w:t>
              </w:r>
              <w:r>
                <w:t xml:space="preserve">Life Expectancy. </w:t>
              </w:r>
              <w:r>
                <w:rPr>
                  <w:i/>
                  <w:iCs/>
                </w:rPr>
                <w:t>Our World in Data</w:t>
              </w:r>
              <w:r>
                <w:t xml:space="preserve">. </w:t>
              </w:r>
              <w:hyperlink r:id="rId17" w:history="1">
                <w:r>
                  <w:rPr>
                    <w:rStyle w:val="Hyperlink"/>
                  </w:rPr>
                  <w:t>https://ourworldindata.org/life-expectancy</w:t>
                </w:r>
              </w:hyperlink>
            </w:p>
            <w:p w14:paraId="1F8D82DB" w14:textId="2583D4A0" w:rsidR="006E4862" w:rsidRDefault="00000000" w:rsidP="00AB483E">
              <w:pPr>
                <w:pStyle w:val="Bibliography"/>
              </w:pPr>
            </w:p>
          </w:sdtContent>
        </w:sdt>
      </w:sdtContent>
    </w:sdt>
    <w:p w14:paraId="18F61189" w14:textId="5B1F7F79" w:rsidR="00E81978" w:rsidRDefault="00E81978" w:rsidP="00C31D30">
      <w:pPr>
        <w:pStyle w:val="Bibliography"/>
        <w:rPr>
          <w:noProof/>
        </w:rPr>
      </w:pPr>
    </w:p>
    <w:p w14:paraId="5D37ED4D" w14:textId="39BE1719" w:rsidR="00E81978" w:rsidRDefault="00E81978">
      <w:pPr>
        <w:pStyle w:val="TableFigure"/>
      </w:pPr>
    </w:p>
    <w:p w14:paraId="1404F2FB" w14:textId="77777777" w:rsidR="00D30E59" w:rsidRDefault="00D30E59">
      <w:pPr>
        <w:pStyle w:val="TableFigure"/>
      </w:pPr>
    </w:p>
    <w:p w14:paraId="5C3024EE" w14:textId="77777777" w:rsidR="00FF6C5E" w:rsidRDefault="00FF6C5E">
      <w:pPr>
        <w:pStyle w:val="TableFigure"/>
      </w:pPr>
    </w:p>
    <w:sectPr w:rsidR="00FF6C5E" w:rsidSect="00B51C1E">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8826" w14:textId="77777777" w:rsidR="00B51C1E" w:rsidRDefault="00B51C1E">
      <w:pPr>
        <w:spacing w:line="240" w:lineRule="auto"/>
      </w:pPr>
      <w:r>
        <w:separator/>
      </w:r>
    </w:p>
    <w:p w14:paraId="49AADA18" w14:textId="77777777" w:rsidR="00B51C1E" w:rsidRDefault="00B51C1E"/>
  </w:endnote>
  <w:endnote w:type="continuationSeparator" w:id="0">
    <w:p w14:paraId="003E9DB6" w14:textId="77777777" w:rsidR="00B51C1E" w:rsidRDefault="00B51C1E">
      <w:pPr>
        <w:spacing w:line="240" w:lineRule="auto"/>
      </w:pPr>
      <w:r>
        <w:continuationSeparator/>
      </w:r>
    </w:p>
    <w:p w14:paraId="7D3510AD" w14:textId="77777777" w:rsidR="00B51C1E" w:rsidRDefault="00B51C1E"/>
  </w:endnote>
  <w:endnote w:type="continuationNotice" w:id="1">
    <w:p w14:paraId="2A7BA00D" w14:textId="77777777" w:rsidR="00B51C1E" w:rsidRDefault="00B51C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4803" w14:textId="77777777" w:rsidR="00B51C1E" w:rsidRDefault="00B51C1E">
      <w:pPr>
        <w:spacing w:line="240" w:lineRule="auto"/>
      </w:pPr>
      <w:r>
        <w:separator/>
      </w:r>
    </w:p>
    <w:p w14:paraId="695178F9" w14:textId="77777777" w:rsidR="00B51C1E" w:rsidRDefault="00B51C1E"/>
  </w:footnote>
  <w:footnote w:type="continuationSeparator" w:id="0">
    <w:p w14:paraId="508967D6" w14:textId="77777777" w:rsidR="00B51C1E" w:rsidRDefault="00B51C1E">
      <w:pPr>
        <w:spacing w:line="240" w:lineRule="auto"/>
      </w:pPr>
      <w:r>
        <w:continuationSeparator/>
      </w:r>
    </w:p>
    <w:p w14:paraId="42615F46" w14:textId="77777777" w:rsidR="00B51C1E" w:rsidRDefault="00B51C1E"/>
  </w:footnote>
  <w:footnote w:type="continuationNotice" w:id="1">
    <w:p w14:paraId="4B40842E" w14:textId="77777777" w:rsidR="00B51C1E" w:rsidRDefault="00B51C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83F2" w14:textId="6FDCD49E" w:rsidR="00E81978" w:rsidRDefault="00667A34">
    <w:pPr>
      <w:pStyle w:val="Header"/>
    </w:pPr>
    <w:r>
      <w:rPr>
        <w:rStyle w:val="Strong"/>
      </w:rPr>
      <w:t>Exploring Life Expectancy</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324157"/>
      <w:docPartObj>
        <w:docPartGallery w:val="Page Numbers (Top of Page)"/>
        <w:docPartUnique/>
      </w:docPartObj>
    </w:sdtPr>
    <w:sdtEndPr>
      <w:rPr>
        <w:noProof/>
      </w:rPr>
    </w:sdtEndPr>
    <w:sdtContent>
      <w:p w14:paraId="443642CF" w14:textId="59521BF5" w:rsidR="00445784" w:rsidRDefault="004457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7EC674" w14:textId="77777777" w:rsidR="00445784" w:rsidRDefault="00445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6709095">
    <w:abstractNumId w:val="9"/>
  </w:num>
  <w:num w:numId="2" w16cid:durableId="1042747989">
    <w:abstractNumId w:val="7"/>
  </w:num>
  <w:num w:numId="3" w16cid:durableId="474420099">
    <w:abstractNumId w:val="6"/>
  </w:num>
  <w:num w:numId="4" w16cid:durableId="882403330">
    <w:abstractNumId w:val="5"/>
  </w:num>
  <w:num w:numId="5" w16cid:durableId="2122649149">
    <w:abstractNumId w:val="4"/>
  </w:num>
  <w:num w:numId="6" w16cid:durableId="799802384">
    <w:abstractNumId w:val="8"/>
  </w:num>
  <w:num w:numId="7" w16cid:durableId="1576864063">
    <w:abstractNumId w:val="3"/>
  </w:num>
  <w:num w:numId="8" w16cid:durableId="1431005244">
    <w:abstractNumId w:val="2"/>
  </w:num>
  <w:num w:numId="9" w16cid:durableId="734862354">
    <w:abstractNumId w:val="1"/>
  </w:num>
  <w:num w:numId="10" w16cid:durableId="161895099">
    <w:abstractNumId w:val="0"/>
  </w:num>
  <w:num w:numId="11" w16cid:durableId="1895116838">
    <w:abstractNumId w:val="9"/>
    <w:lvlOverride w:ilvl="0">
      <w:startOverride w:val="1"/>
    </w:lvlOverride>
  </w:num>
  <w:num w:numId="12" w16cid:durableId="377171101">
    <w:abstractNumId w:val="13"/>
  </w:num>
  <w:num w:numId="13" w16cid:durableId="2141147257">
    <w:abstractNumId w:val="11"/>
  </w:num>
  <w:num w:numId="14" w16cid:durableId="1187721207">
    <w:abstractNumId w:val="10"/>
  </w:num>
  <w:num w:numId="15" w16cid:durableId="1423601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0B"/>
    <w:rsid w:val="0000681A"/>
    <w:rsid w:val="00006A8C"/>
    <w:rsid w:val="000141A8"/>
    <w:rsid w:val="00020339"/>
    <w:rsid w:val="000204D3"/>
    <w:rsid w:val="000229E0"/>
    <w:rsid w:val="00024469"/>
    <w:rsid w:val="00026818"/>
    <w:rsid w:val="000340AA"/>
    <w:rsid w:val="000352BB"/>
    <w:rsid w:val="00043617"/>
    <w:rsid w:val="00043E0B"/>
    <w:rsid w:val="000456AC"/>
    <w:rsid w:val="0004758B"/>
    <w:rsid w:val="000502DF"/>
    <w:rsid w:val="00053B33"/>
    <w:rsid w:val="000601AF"/>
    <w:rsid w:val="00063630"/>
    <w:rsid w:val="00066577"/>
    <w:rsid w:val="000673CA"/>
    <w:rsid w:val="000716ED"/>
    <w:rsid w:val="000736D6"/>
    <w:rsid w:val="00074502"/>
    <w:rsid w:val="00075EC4"/>
    <w:rsid w:val="00076716"/>
    <w:rsid w:val="00082422"/>
    <w:rsid w:val="0008432F"/>
    <w:rsid w:val="00084B82"/>
    <w:rsid w:val="00086DCD"/>
    <w:rsid w:val="000920CF"/>
    <w:rsid w:val="00094484"/>
    <w:rsid w:val="00095844"/>
    <w:rsid w:val="00095E54"/>
    <w:rsid w:val="0009623B"/>
    <w:rsid w:val="00096E33"/>
    <w:rsid w:val="000972C3"/>
    <w:rsid w:val="000A501E"/>
    <w:rsid w:val="000B475C"/>
    <w:rsid w:val="000B4A5C"/>
    <w:rsid w:val="000B651B"/>
    <w:rsid w:val="000B7D86"/>
    <w:rsid w:val="000C28F3"/>
    <w:rsid w:val="000C33E8"/>
    <w:rsid w:val="000C65FC"/>
    <w:rsid w:val="000D1AA8"/>
    <w:rsid w:val="000D3F41"/>
    <w:rsid w:val="000D5150"/>
    <w:rsid w:val="000E26E7"/>
    <w:rsid w:val="000F09D7"/>
    <w:rsid w:val="000F3B1A"/>
    <w:rsid w:val="00103E5C"/>
    <w:rsid w:val="001134EE"/>
    <w:rsid w:val="001136FC"/>
    <w:rsid w:val="00120BAC"/>
    <w:rsid w:val="00124F71"/>
    <w:rsid w:val="00126E1C"/>
    <w:rsid w:val="001271CB"/>
    <w:rsid w:val="00133418"/>
    <w:rsid w:val="001363A2"/>
    <w:rsid w:val="001404C3"/>
    <w:rsid w:val="001475B5"/>
    <w:rsid w:val="0015202F"/>
    <w:rsid w:val="001537A6"/>
    <w:rsid w:val="001629F2"/>
    <w:rsid w:val="00164A05"/>
    <w:rsid w:val="00164BD8"/>
    <w:rsid w:val="00166A9E"/>
    <w:rsid w:val="00172F06"/>
    <w:rsid w:val="00173398"/>
    <w:rsid w:val="0018407C"/>
    <w:rsid w:val="00184A0B"/>
    <w:rsid w:val="001874E8"/>
    <w:rsid w:val="00194B4D"/>
    <w:rsid w:val="001955D8"/>
    <w:rsid w:val="0019609C"/>
    <w:rsid w:val="00196854"/>
    <w:rsid w:val="001978A0"/>
    <w:rsid w:val="001A599D"/>
    <w:rsid w:val="001A664E"/>
    <w:rsid w:val="001A7976"/>
    <w:rsid w:val="001B0A4C"/>
    <w:rsid w:val="001B58D1"/>
    <w:rsid w:val="001B7671"/>
    <w:rsid w:val="001C0967"/>
    <w:rsid w:val="001D2271"/>
    <w:rsid w:val="001D3905"/>
    <w:rsid w:val="001D42CF"/>
    <w:rsid w:val="001E3097"/>
    <w:rsid w:val="001E4D0F"/>
    <w:rsid w:val="001E68C3"/>
    <w:rsid w:val="001F0C93"/>
    <w:rsid w:val="001F26D1"/>
    <w:rsid w:val="001F61D9"/>
    <w:rsid w:val="00200932"/>
    <w:rsid w:val="00200ACC"/>
    <w:rsid w:val="00201999"/>
    <w:rsid w:val="0020223F"/>
    <w:rsid w:val="002049FD"/>
    <w:rsid w:val="00205107"/>
    <w:rsid w:val="002072F5"/>
    <w:rsid w:val="0021168B"/>
    <w:rsid w:val="00213328"/>
    <w:rsid w:val="002150BF"/>
    <w:rsid w:val="002339BD"/>
    <w:rsid w:val="00245E40"/>
    <w:rsid w:val="002467F4"/>
    <w:rsid w:val="00257D56"/>
    <w:rsid w:val="0026059E"/>
    <w:rsid w:val="00263DF8"/>
    <w:rsid w:val="00265B88"/>
    <w:rsid w:val="002711D5"/>
    <w:rsid w:val="002721BE"/>
    <w:rsid w:val="00272B63"/>
    <w:rsid w:val="00273CED"/>
    <w:rsid w:val="002745EE"/>
    <w:rsid w:val="00274985"/>
    <w:rsid w:val="002756E8"/>
    <w:rsid w:val="00277417"/>
    <w:rsid w:val="002812C1"/>
    <w:rsid w:val="00282496"/>
    <w:rsid w:val="00282C07"/>
    <w:rsid w:val="00285017"/>
    <w:rsid w:val="002869EA"/>
    <w:rsid w:val="002A20B0"/>
    <w:rsid w:val="002A2F4A"/>
    <w:rsid w:val="002A3F68"/>
    <w:rsid w:val="002A4C97"/>
    <w:rsid w:val="002A6184"/>
    <w:rsid w:val="002B16F7"/>
    <w:rsid w:val="002B18E2"/>
    <w:rsid w:val="002B225C"/>
    <w:rsid w:val="002B47FC"/>
    <w:rsid w:val="002D1B93"/>
    <w:rsid w:val="002D7403"/>
    <w:rsid w:val="002D77FD"/>
    <w:rsid w:val="002E5487"/>
    <w:rsid w:val="002E5A6E"/>
    <w:rsid w:val="002F49B5"/>
    <w:rsid w:val="002F610D"/>
    <w:rsid w:val="002F6122"/>
    <w:rsid w:val="003046B2"/>
    <w:rsid w:val="003111CA"/>
    <w:rsid w:val="0031718E"/>
    <w:rsid w:val="003179E7"/>
    <w:rsid w:val="00327BA6"/>
    <w:rsid w:val="003340A7"/>
    <w:rsid w:val="00334627"/>
    <w:rsid w:val="00337D3B"/>
    <w:rsid w:val="003475D9"/>
    <w:rsid w:val="00353DDA"/>
    <w:rsid w:val="00355DCA"/>
    <w:rsid w:val="00360E31"/>
    <w:rsid w:val="00361014"/>
    <w:rsid w:val="00365511"/>
    <w:rsid w:val="003751C5"/>
    <w:rsid w:val="00375285"/>
    <w:rsid w:val="003777C7"/>
    <w:rsid w:val="0037781B"/>
    <w:rsid w:val="003801BA"/>
    <w:rsid w:val="00381774"/>
    <w:rsid w:val="0038218F"/>
    <w:rsid w:val="00383695"/>
    <w:rsid w:val="003851AD"/>
    <w:rsid w:val="003853AD"/>
    <w:rsid w:val="00390389"/>
    <w:rsid w:val="003940A4"/>
    <w:rsid w:val="00395DC4"/>
    <w:rsid w:val="003A0318"/>
    <w:rsid w:val="003A1C1B"/>
    <w:rsid w:val="003A2B14"/>
    <w:rsid w:val="003A43C3"/>
    <w:rsid w:val="003A489D"/>
    <w:rsid w:val="003A68FC"/>
    <w:rsid w:val="003A6F55"/>
    <w:rsid w:val="003B1471"/>
    <w:rsid w:val="003B4B4E"/>
    <w:rsid w:val="003B7632"/>
    <w:rsid w:val="003B7DCF"/>
    <w:rsid w:val="003C56D9"/>
    <w:rsid w:val="003D13F4"/>
    <w:rsid w:val="003D6C10"/>
    <w:rsid w:val="003F3AA3"/>
    <w:rsid w:val="003F4138"/>
    <w:rsid w:val="0040041E"/>
    <w:rsid w:val="004032D7"/>
    <w:rsid w:val="00403927"/>
    <w:rsid w:val="00405A18"/>
    <w:rsid w:val="0040659B"/>
    <w:rsid w:val="00407008"/>
    <w:rsid w:val="004105E0"/>
    <w:rsid w:val="0042338D"/>
    <w:rsid w:val="004276C8"/>
    <w:rsid w:val="00433D28"/>
    <w:rsid w:val="004379C9"/>
    <w:rsid w:val="00437BE0"/>
    <w:rsid w:val="00437E3E"/>
    <w:rsid w:val="00442B89"/>
    <w:rsid w:val="00443BF0"/>
    <w:rsid w:val="00445784"/>
    <w:rsid w:val="00446041"/>
    <w:rsid w:val="00447CF6"/>
    <w:rsid w:val="00452BD5"/>
    <w:rsid w:val="00453B22"/>
    <w:rsid w:val="00454E30"/>
    <w:rsid w:val="0046253A"/>
    <w:rsid w:val="00470815"/>
    <w:rsid w:val="00474B22"/>
    <w:rsid w:val="00474BBC"/>
    <w:rsid w:val="00474DDD"/>
    <w:rsid w:val="00475C5E"/>
    <w:rsid w:val="0047653B"/>
    <w:rsid w:val="00481404"/>
    <w:rsid w:val="00482C6F"/>
    <w:rsid w:val="00483C38"/>
    <w:rsid w:val="00494B3A"/>
    <w:rsid w:val="004D1769"/>
    <w:rsid w:val="004D36FA"/>
    <w:rsid w:val="004D4A81"/>
    <w:rsid w:val="004D4EB6"/>
    <w:rsid w:val="004E058B"/>
    <w:rsid w:val="004E494A"/>
    <w:rsid w:val="004E7692"/>
    <w:rsid w:val="004F35D4"/>
    <w:rsid w:val="004F45FC"/>
    <w:rsid w:val="004F55A2"/>
    <w:rsid w:val="004F5D56"/>
    <w:rsid w:val="004F7D16"/>
    <w:rsid w:val="00501C31"/>
    <w:rsid w:val="00510129"/>
    <w:rsid w:val="00511304"/>
    <w:rsid w:val="0051498C"/>
    <w:rsid w:val="00517F80"/>
    <w:rsid w:val="00524B67"/>
    <w:rsid w:val="00537483"/>
    <w:rsid w:val="00545902"/>
    <w:rsid w:val="00545E8D"/>
    <w:rsid w:val="005507FF"/>
    <w:rsid w:val="00551A02"/>
    <w:rsid w:val="005534FA"/>
    <w:rsid w:val="005560D3"/>
    <w:rsid w:val="00556D84"/>
    <w:rsid w:val="00560506"/>
    <w:rsid w:val="0056635D"/>
    <w:rsid w:val="00566F7C"/>
    <w:rsid w:val="00570228"/>
    <w:rsid w:val="00573A38"/>
    <w:rsid w:val="005804D3"/>
    <w:rsid w:val="00581906"/>
    <w:rsid w:val="0058408E"/>
    <w:rsid w:val="0058677A"/>
    <w:rsid w:val="0058762D"/>
    <w:rsid w:val="00595183"/>
    <w:rsid w:val="005A02B2"/>
    <w:rsid w:val="005A3F54"/>
    <w:rsid w:val="005B7451"/>
    <w:rsid w:val="005C3639"/>
    <w:rsid w:val="005C6672"/>
    <w:rsid w:val="005D2F15"/>
    <w:rsid w:val="005D3A03"/>
    <w:rsid w:val="005D4D4E"/>
    <w:rsid w:val="005E6654"/>
    <w:rsid w:val="005F0A78"/>
    <w:rsid w:val="005F2ED6"/>
    <w:rsid w:val="005F5A26"/>
    <w:rsid w:val="005F60B1"/>
    <w:rsid w:val="00611C95"/>
    <w:rsid w:val="00612F9B"/>
    <w:rsid w:val="00614FE2"/>
    <w:rsid w:val="006158D6"/>
    <w:rsid w:val="00633F8F"/>
    <w:rsid w:val="00634499"/>
    <w:rsid w:val="006363CB"/>
    <w:rsid w:val="00641887"/>
    <w:rsid w:val="00642249"/>
    <w:rsid w:val="006461AB"/>
    <w:rsid w:val="0064689A"/>
    <w:rsid w:val="0065752D"/>
    <w:rsid w:val="00657996"/>
    <w:rsid w:val="00664CA1"/>
    <w:rsid w:val="00666972"/>
    <w:rsid w:val="00667A34"/>
    <w:rsid w:val="00671A99"/>
    <w:rsid w:val="00675BC8"/>
    <w:rsid w:val="00676EF5"/>
    <w:rsid w:val="00680BD8"/>
    <w:rsid w:val="0068235A"/>
    <w:rsid w:val="00684F83"/>
    <w:rsid w:val="00686E8E"/>
    <w:rsid w:val="0069724A"/>
    <w:rsid w:val="006A53F8"/>
    <w:rsid w:val="006A5B47"/>
    <w:rsid w:val="006B1526"/>
    <w:rsid w:val="006B1BFA"/>
    <w:rsid w:val="006B5B78"/>
    <w:rsid w:val="006C08AF"/>
    <w:rsid w:val="006C162E"/>
    <w:rsid w:val="006C25B6"/>
    <w:rsid w:val="006E3A40"/>
    <w:rsid w:val="006E4862"/>
    <w:rsid w:val="006E5B42"/>
    <w:rsid w:val="006F0A3A"/>
    <w:rsid w:val="00702FAA"/>
    <w:rsid w:val="00703199"/>
    <w:rsid w:val="0070520B"/>
    <w:rsid w:val="00712CA9"/>
    <w:rsid w:val="00714897"/>
    <w:rsid w:val="00715F2B"/>
    <w:rsid w:val="00722EAB"/>
    <w:rsid w:val="00727093"/>
    <w:rsid w:val="007317C6"/>
    <w:rsid w:val="00732A3B"/>
    <w:rsid w:val="0073470D"/>
    <w:rsid w:val="00735AFF"/>
    <w:rsid w:val="0073782E"/>
    <w:rsid w:val="007425A4"/>
    <w:rsid w:val="007435A0"/>
    <w:rsid w:val="0075596B"/>
    <w:rsid w:val="00765000"/>
    <w:rsid w:val="00765F6A"/>
    <w:rsid w:val="007812E7"/>
    <w:rsid w:val="00781658"/>
    <w:rsid w:val="0078199A"/>
    <w:rsid w:val="0078413C"/>
    <w:rsid w:val="00790192"/>
    <w:rsid w:val="00792030"/>
    <w:rsid w:val="0079303B"/>
    <w:rsid w:val="0079772F"/>
    <w:rsid w:val="007A3A95"/>
    <w:rsid w:val="007A3E4C"/>
    <w:rsid w:val="007B1FDC"/>
    <w:rsid w:val="007B742E"/>
    <w:rsid w:val="007C097E"/>
    <w:rsid w:val="007C5779"/>
    <w:rsid w:val="007C5FBD"/>
    <w:rsid w:val="007D07F2"/>
    <w:rsid w:val="007D629A"/>
    <w:rsid w:val="007D7E02"/>
    <w:rsid w:val="007E3ABF"/>
    <w:rsid w:val="007E3DC8"/>
    <w:rsid w:val="007F0631"/>
    <w:rsid w:val="007F0B39"/>
    <w:rsid w:val="008002C0"/>
    <w:rsid w:val="00802542"/>
    <w:rsid w:val="0080290C"/>
    <w:rsid w:val="00810677"/>
    <w:rsid w:val="00811835"/>
    <w:rsid w:val="008119A4"/>
    <w:rsid w:val="00812228"/>
    <w:rsid w:val="00813040"/>
    <w:rsid w:val="0081316E"/>
    <w:rsid w:val="00814AE3"/>
    <w:rsid w:val="0081571B"/>
    <w:rsid w:val="00815888"/>
    <w:rsid w:val="00824A7D"/>
    <w:rsid w:val="00826196"/>
    <w:rsid w:val="0082695A"/>
    <w:rsid w:val="00830AF5"/>
    <w:rsid w:val="00833D0A"/>
    <w:rsid w:val="008428EB"/>
    <w:rsid w:val="008501EF"/>
    <w:rsid w:val="00850BAC"/>
    <w:rsid w:val="00856671"/>
    <w:rsid w:val="0085676A"/>
    <w:rsid w:val="00866266"/>
    <w:rsid w:val="00871B24"/>
    <w:rsid w:val="0088113E"/>
    <w:rsid w:val="008811F4"/>
    <w:rsid w:val="0088222E"/>
    <w:rsid w:val="00882B60"/>
    <w:rsid w:val="00882C82"/>
    <w:rsid w:val="008831A9"/>
    <w:rsid w:val="008844F9"/>
    <w:rsid w:val="00884F28"/>
    <w:rsid w:val="0089188F"/>
    <w:rsid w:val="0089413A"/>
    <w:rsid w:val="008955EB"/>
    <w:rsid w:val="008A017B"/>
    <w:rsid w:val="008A330A"/>
    <w:rsid w:val="008B08E2"/>
    <w:rsid w:val="008C152E"/>
    <w:rsid w:val="008C44DF"/>
    <w:rsid w:val="008C46DB"/>
    <w:rsid w:val="008C5323"/>
    <w:rsid w:val="008C6BBB"/>
    <w:rsid w:val="008C7B72"/>
    <w:rsid w:val="008C7C5A"/>
    <w:rsid w:val="008C7D2C"/>
    <w:rsid w:val="008C7FDA"/>
    <w:rsid w:val="008D0266"/>
    <w:rsid w:val="008D0461"/>
    <w:rsid w:val="008D0A2B"/>
    <w:rsid w:val="008D0C99"/>
    <w:rsid w:val="008D299C"/>
    <w:rsid w:val="008E088C"/>
    <w:rsid w:val="008E1DA6"/>
    <w:rsid w:val="008E5D0D"/>
    <w:rsid w:val="008E74A3"/>
    <w:rsid w:val="008F36A8"/>
    <w:rsid w:val="0090257C"/>
    <w:rsid w:val="00905565"/>
    <w:rsid w:val="00905FCD"/>
    <w:rsid w:val="00905FE8"/>
    <w:rsid w:val="009122AE"/>
    <w:rsid w:val="00915171"/>
    <w:rsid w:val="00915CBA"/>
    <w:rsid w:val="009167E7"/>
    <w:rsid w:val="00920440"/>
    <w:rsid w:val="00921634"/>
    <w:rsid w:val="009223CA"/>
    <w:rsid w:val="009245FA"/>
    <w:rsid w:val="009273C8"/>
    <w:rsid w:val="0092750E"/>
    <w:rsid w:val="00931627"/>
    <w:rsid w:val="00932246"/>
    <w:rsid w:val="00935E46"/>
    <w:rsid w:val="009375E5"/>
    <w:rsid w:val="009404EE"/>
    <w:rsid w:val="00940FFD"/>
    <w:rsid w:val="00941144"/>
    <w:rsid w:val="0094250F"/>
    <w:rsid w:val="00945F89"/>
    <w:rsid w:val="009536FF"/>
    <w:rsid w:val="00953E3B"/>
    <w:rsid w:val="00956885"/>
    <w:rsid w:val="00960165"/>
    <w:rsid w:val="009605E4"/>
    <w:rsid w:val="00964918"/>
    <w:rsid w:val="009852B5"/>
    <w:rsid w:val="00987949"/>
    <w:rsid w:val="00996576"/>
    <w:rsid w:val="009A11ED"/>
    <w:rsid w:val="009A4BAF"/>
    <w:rsid w:val="009A6A3B"/>
    <w:rsid w:val="009A7D7B"/>
    <w:rsid w:val="009B5FC2"/>
    <w:rsid w:val="009B7457"/>
    <w:rsid w:val="009C24DB"/>
    <w:rsid w:val="009C330A"/>
    <w:rsid w:val="009C79CA"/>
    <w:rsid w:val="009D3B52"/>
    <w:rsid w:val="009D4239"/>
    <w:rsid w:val="009D4777"/>
    <w:rsid w:val="009D7DFB"/>
    <w:rsid w:val="009E119B"/>
    <w:rsid w:val="009E1946"/>
    <w:rsid w:val="009E2D85"/>
    <w:rsid w:val="009E5119"/>
    <w:rsid w:val="009E7BCC"/>
    <w:rsid w:val="009F69AD"/>
    <w:rsid w:val="00A00700"/>
    <w:rsid w:val="00A0482E"/>
    <w:rsid w:val="00A07238"/>
    <w:rsid w:val="00A1644D"/>
    <w:rsid w:val="00A17B10"/>
    <w:rsid w:val="00A322DC"/>
    <w:rsid w:val="00A34AB0"/>
    <w:rsid w:val="00A37456"/>
    <w:rsid w:val="00A40149"/>
    <w:rsid w:val="00A41F50"/>
    <w:rsid w:val="00A438ED"/>
    <w:rsid w:val="00A44E4C"/>
    <w:rsid w:val="00A51F11"/>
    <w:rsid w:val="00A52B6E"/>
    <w:rsid w:val="00A53CC2"/>
    <w:rsid w:val="00A63775"/>
    <w:rsid w:val="00A723F6"/>
    <w:rsid w:val="00A72D54"/>
    <w:rsid w:val="00A81E9E"/>
    <w:rsid w:val="00A84415"/>
    <w:rsid w:val="00A855C7"/>
    <w:rsid w:val="00A91279"/>
    <w:rsid w:val="00A9234A"/>
    <w:rsid w:val="00A935E5"/>
    <w:rsid w:val="00A942CD"/>
    <w:rsid w:val="00A952CF"/>
    <w:rsid w:val="00AA1CC1"/>
    <w:rsid w:val="00AA27EA"/>
    <w:rsid w:val="00AA3B1F"/>
    <w:rsid w:val="00AA5DE3"/>
    <w:rsid w:val="00AB04A3"/>
    <w:rsid w:val="00AB483E"/>
    <w:rsid w:val="00AB4F19"/>
    <w:rsid w:val="00AB5AA8"/>
    <w:rsid w:val="00AB67C7"/>
    <w:rsid w:val="00AC3DC3"/>
    <w:rsid w:val="00AC5C0C"/>
    <w:rsid w:val="00AD0E99"/>
    <w:rsid w:val="00AD152D"/>
    <w:rsid w:val="00AD1C90"/>
    <w:rsid w:val="00AE0074"/>
    <w:rsid w:val="00AE63EA"/>
    <w:rsid w:val="00B01B83"/>
    <w:rsid w:val="00B048BB"/>
    <w:rsid w:val="00B06BD9"/>
    <w:rsid w:val="00B143BD"/>
    <w:rsid w:val="00B163ED"/>
    <w:rsid w:val="00B23498"/>
    <w:rsid w:val="00B2581B"/>
    <w:rsid w:val="00B277AF"/>
    <w:rsid w:val="00B277E9"/>
    <w:rsid w:val="00B30691"/>
    <w:rsid w:val="00B342B9"/>
    <w:rsid w:val="00B36040"/>
    <w:rsid w:val="00B42368"/>
    <w:rsid w:val="00B42F22"/>
    <w:rsid w:val="00B43AAC"/>
    <w:rsid w:val="00B45ECB"/>
    <w:rsid w:val="00B46ADC"/>
    <w:rsid w:val="00B46ED0"/>
    <w:rsid w:val="00B51C1E"/>
    <w:rsid w:val="00B52204"/>
    <w:rsid w:val="00B54551"/>
    <w:rsid w:val="00B565BB"/>
    <w:rsid w:val="00B62276"/>
    <w:rsid w:val="00B7051B"/>
    <w:rsid w:val="00B75F66"/>
    <w:rsid w:val="00B823AA"/>
    <w:rsid w:val="00B86350"/>
    <w:rsid w:val="00B92E4C"/>
    <w:rsid w:val="00B92ECE"/>
    <w:rsid w:val="00BA27D2"/>
    <w:rsid w:val="00BA45DB"/>
    <w:rsid w:val="00BA4F6D"/>
    <w:rsid w:val="00BA538D"/>
    <w:rsid w:val="00BB30FD"/>
    <w:rsid w:val="00BB4C09"/>
    <w:rsid w:val="00BC0862"/>
    <w:rsid w:val="00BC4D69"/>
    <w:rsid w:val="00BC5B49"/>
    <w:rsid w:val="00BC75EC"/>
    <w:rsid w:val="00BD03E6"/>
    <w:rsid w:val="00BD168F"/>
    <w:rsid w:val="00BD3ED0"/>
    <w:rsid w:val="00BD53A5"/>
    <w:rsid w:val="00BD56AD"/>
    <w:rsid w:val="00BD5F92"/>
    <w:rsid w:val="00BE1CEC"/>
    <w:rsid w:val="00BE2BAF"/>
    <w:rsid w:val="00BE41C6"/>
    <w:rsid w:val="00BF1D07"/>
    <w:rsid w:val="00BF4184"/>
    <w:rsid w:val="00C0601E"/>
    <w:rsid w:val="00C06897"/>
    <w:rsid w:val="00C06FEE"/>
    <w:rsid w:val="00C10E71"/>
    <w:rsid w:val="00C164A7"/>
    <w:rsid w:val="00C16526"/>
    <w:rsid w:val="00C16689"/>
    <w:rsid w:val="00C23693"/>
    <w:rsid w:val="00C23EF6"/>
    <w:rsid w:val="00C263CF"/>
    <w:rsid w:val="00C30DCC"/>
    <w:rsid w:val="00C31D30"/>
    <w:rsid w:val="00C41DFB"/>
    <w:rsid w:val="00C43746"/>
    <w:rsid w:val="00C459D6"/>
    <w:rsid w:val="00C511E0"/>
    <w:rsid w:val="00C5266F"/>
    <w:rsid w:val="00C56F17"/>
    <w:rsid w:val="00C610E6"/>
    <w:rsid w:val="00C61240"/>
    <w:rsid w:val="00C6205C"/>
    <w:rsid w:val="00C71F84"/>
    <w:rsid w:val="00C71FEB"/>
    <w:rsid w:val="00C775F0"/>
    <w:rsid w:val="00C86883"/>
    <w:rsid w:val="00C90BD3"/>
    <w:rsid w:val="00C935E7"/>
    <w:rsid w:val="00C9411B"/>
    <w:rsid w:val="00C94230"/>
    <w:rsid w:val="00C96E2A"/>
    <w:rsid w:val="00CA0492"/>
    <w:rsid w:val="00CA1392"/>
    <w:rsid w:val="00CB1DA0"/>
    <w:rsid w:val="00CB2F09"/>
    <w:rsid w:val="00CC4A75"/>
    <w:rsid w:val="00CC4DE8"/>
    <w:rsid w:val="00CC58B2"/>
    <w:rsid w:val="00CC6868"/>
    <w:rsid w:val="00CD0DE5"/>
    <w:rsid w:val="00CD6B57"/>
    <w:rsid w:val="00CD6E39"/>
    <w:rsid w:val="00CE47FB"/>
    <w:rsid w:val="00CE4C13"/>
    <w:rsid w:val="00CE50DC"/>
    <w:rsid w:val="00CE5430"/>
    <w:rsid w:val="00CE71B6"/>
    <w:rsid w:val="00CF2EA9"/>
    <w:rsid w:val="00CF570E"/>
    <w:rsid w:val="00CF6E91"/>
    <w:rsid w:val="00CF711A"/>
    <w:rsid w:val="00D025C1"/>
    <w:rsid w:val="00D02884"/>
    <w:rsid w:val="00D0564D"/>
    <w:rsid w:val="00D0648E"/>
    <w:rsid w:val="00D06926"/>
    <w:rsid w:val="00D10C53"/>
    <w:rsid w:val="00D1292A"/>
    <w:rsid w:val="00D1399D"/>
    <w:rsid w:val="00D17A17"/>
    <w:rsid w:val="00D26FDC"/>
    <w:rsid w:val="00D27281"/>
    <w:rsid w:val="00D30E59"/>
    <w:rsid w:val="00D30EBD"/>
    <w:rsid w:val="00D33244"/>
    <w:rsid w:val="00D40369"/>
    <w:rsid w:val="00D457EB"/>
    <w:rsid w:val="00D50FD3"/>
    <w:rsid w:val="00D5178D"/>
    <w:rsid w:val="00D569C1"/>
    <w:rsid w:val="00D64C5A"/>
    <w:rsid w:val="00D64DB8"/>
    <w:rsid w:val="00D70D3A"/>
    <w:rsid w:val="00D73A7D"/>
    <w:rsid w:val="00D85B68"/>
    <w:rsid w:val="00D91735"/>
    <w:rsid w:val="00D92A5A"/>
    <w:rsid w:val="00D95680"/>
    <w:rsid w:val="00D970F7"/>
    <w:rsid w:val="00DA038B"/>
    <w:rsid w:val="00DA0C89"/>
    <w:rsid w:val="00DA635A"/>
    <w:rsid w:val="00DB45F9"/>
    <w:rsid w:val="00DB63DB"/>
    <w:rsid w:val="00DC04F2"/>
    <w:rsid w:val="00DC0B43"/>
    <w:rsid w:val="00DC11E6"/>
    <w:rsid w:val="00DC3352"/>
    <w:rsid w:val="00DC5FE8"/>
    <w:rsid w:val="00DD79C2"/>
    <w:rsid w:val="00DE6F71"/>
    <w:rsid w:val="00DE6FF3"/>
    <w:rsid w:val="00DF0164"/>
    <w:rsid w:val="00DF3415"/>
    <w:rsid w:val="00E079D8"/>
    <w:rsid w:val="00E11482"/>
    <w:rsid w:val="00E13EF5"/>
    <w:rsid w:val="00E1545A"/>
    <w:rsid w:val="00E21A20"/>
    <w:rsid w:val="00E22559"/>
    <w:rsid w:val="00E25F64"/>
    <w:rsid w:val="00E36145"/>
    <w:rsid w:val="00E4091E"/>
    <w:rsid w:val="00E43183"/>
    <w:rsid w:val="00E44770"/>
    <w:rsid w:val="00E5430B"/>
    <w:rsid w:val="00E55D92"/>
    <w:rsid w:val="00E6004D"/>
    <w:rsid w:val="00E60660"/>
    <w:rsid w:val="00E661A6"/>
    <w:rsid w:val="00E70177"/>
    <w:rsid w:val="00E71190"/>
    <w:rsid w:val="00E77FF1"/>
    <w:rsid w:val="00E80440"/>
    <w:rsid w:val="00E80977"/>
    <w:rsid w:val="00E81978"/>
    <w:rsid w:val="00E84BA3"/>
    <w:rsid w:val="00E9034F"/>
    <w:rsid w:val="00E903C1"/>
    <w:rsid w:val="00E937C2"/>
    <w:rsid w:val="00E97633"/>
    <w:rsid w:val="00E97C67"/>
    <w:rsid w:val="00EA097F"/>
    <w:rsid w:val="00EA23FA"/>
    <w:rsid w:val="00EA63E6"/>
    <w:rsid w:val="00EB1726"/>
    <w:rsid w:val="00EB3738"/>
    <w:rsid w:val="00EB5D0B"/>
    <w:rsid w:val="00EC317C"/>
    <w:rsid w:val="00ED0B0D"/>
    <w:rsid w:val="00ED3E4A"/>
    <w:rsid w:val="00ED6C39"/>
    <w:rsid w:val="00EE1FA7"/>
    <w:rsid w:val="00EE57A7"/>
    <w:rsid w:val="00EE7489"/>
    <w:rsid w:val="00EF2E1B"/>
    <w:rsid w:val="00EF71AD"/>
    <w:rsid w:val="00F02ADA"/>
    <w:rsid w:val="00F0344E"/>
    <w:rsid w:val="00F046AF"/>
    <w:rsid w:val="00F04E1D"/>
    <w:rsid w:val="00F075A4"/>
    <w:rsid w:val="00F11CD0"/>
    <w:rsid w:val="00F169C8"/>
    <w:rsid w:val="00F17060"/>
    <w:rsid w:val="00F20F16"/>
    <w:rsid w:val="00F216BA"/>
    <w:rsid w:val="00F24379"/>
    <w:rsid w:val="00F264F7"/>
    <w:rsid w:val="00F379B7"/>
    <w:rsid w:val="00F4269C"/>
    <w:rsid w:val="00F437FF"/>
    <w:rsid w:val="00F474FE"/>
    <w:rsid w:val="00F525FA"/>
    <w:rsid w:val="00F554F6"/>
    <w:rsid w:val="00F61A0C"/>
    <w:rsid w:val="00F66CB4"/>
    <w:rsid w:val="00F71788"/>
    <w:rsid w:val="00F727B7"/>
    <w:rsid w:val="00F77731"/>
    <w:rsid w:val="00F814DF"/>
    <w:rsid w:val="00F861A4"/>
    <w:rsid w:val="00F87B31"/>
    <w:rsid w:val="00F94D20"/>
    <w:rsid w:val="00F97939"/>
    <w:rsid w:val="00F97AFF"/>
    <w:rsid w:val="00FA407B"/>
    <w:rsid w:val="00FA69AB"/>
    <w:rsid w:val="00FB198E"/>
    <w:rsid w:val="00FB570B"/>
    <w:rsid w:val="00FC0180"/>
    <w:rsid w:val="00FE276C"/>
    <w:rsid w:val="00FE553A"/>
    <w:rsid w:val="00FF083A"/>
    <w:rsid w:val="00FF2002"/>
    <w:rsid w:val="00FF21CE"/>
    <w:rsid w:val="00FF489F"/>
    <w:rsid w:val="00FF6C5E"/>
    <w:rsid w:val="083CAEBD"/>
    <w:rsid w:val="34F7D358"/>
    <w:rsid w:val="3977CAA4"/>
    <w:rsid w:val="5B3BF122"/>
    <w:rsid w:val="61DF2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98C46"/>
  <w15:chartTrackingRefBased/>
  <w15:docId w15:val="{8DF72F16-0475-4455-8917-3277C405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A6"/>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80977"/>
    <w:rPr>
      <w:color w:val="5F5F5F" w:themeColor="hyperlink"/>
      <w:u w:val="single"/>
    </w:rPr>
  </w:style>
  <w:style w:type="character" w:styleId="UnresolvedMention">
    <w:name w:val="Unresolved Mention"/>
    <w:basedOn w:val="DefaultParagraphFont"/>
    <w:uiPriority w:val="99"/>
    <w:semiHidden/>
    <w:unhideWhenUsed/>
    <w:rsid w:val="00E80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446">
      <w:bodyDiv w:val="1"/>
      <w:marLeft w:val="0"/>
      <w:marRight w:val="0"/>
      <w:marTop w:val="0"/>
      <w:marBottom w:val="0"/>
      <w:divBdr>
        <w:top w:val="none" w:sz="0" w:space="0" w:color="auto"/>
        <w:left w:val="none" w:sz="0" w:space="0" w:color="auto"/>
        <w:bottom w:val="none" w:sz="0" w:space="0" w:color="auto"/>
        <w:right w:val="none" w:sz="0" w:space="0" w:color="auto"/>
      </w:divBdr>
      <w:divsChild>
        <w:div w:id="94181811">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75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3427567">
      <w:bodyDiv w:val="1"/>
      <w:marLeft w:val="0"/>
      <w:marRight w:val="0"/>
      <w:marTop w:val="0"/>
      <w:marBottom w:val="0"/>
      <w:divBdr>
        <w:top w:val="none" w:sz="0" w:space="0" w:color="auto"/>
        <w:left w:val="none" w:sz="0" w:space="0" w:color="auto"/>
        <w:bottom w:val="none" w:sz="0" w:space="0" w:color="auto"/>
        <w:right w:val="none" w:sz="0" w:space="0" w:color="auto"/>
      </w:divBdr>
      <w:divsChild>
        <w:div w:id="1968663060">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0989244">
      <w:bodyDiv w:val="1"/>
      <w:marLeft w:val="0"/>
      <w:marRight w:val="0"/>
      <w:marTop w:val="0"/>
      <w:marBottom w:val="0"/>
      <w:divBdr>
        <w:top w:val="none" w:sz="0" w:space="0" w:color="auto"/>
        <w:left w:val="none" w:sz="0" w:space="0" w:color="auto"/>
        <w:bottom w:val="none" w:sz="0" w:space="0" w:color="auto"/>
        <w:right w:val="none" w:sz="0" w:space="0" w:color="auto"/>
      </w:divBdr>
      <w:divsChild>
        <w:div w:id="116971561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3967101">
      <w:bodyDiv w:val="1"/>
      <w:marLeft w:val="0"/>
      <w:marRight w:val="0"/>
      <w:marTop w:val="0"/>
      <w:marBottom w:val="0"/>
      <w:divBdr>
        <w:top w:val="none" w:sz="0" w:space="0" w:color="auto"/>
        <w:left w:val="none" w:sz="0" w:space="0" w:color="auto"/>
        <w:bottom w:val="none" w:sz="0" w:space="0" w:color="auto"/>
        <w:right w:val="none" w:sz="0" w:space="0" w:color="auto"/>
      </w:divBdr>
      <w:divsChild>
        <w:div w:id="858983">
          <w:marLeft w:val="480"/>
          <w:marRight w:val="0"/>
          <w:marTop w:val="0"/>
          <w:marBottom w:val="0"/>
          <w:divBdr>
            <w:top w:val="none" w:sz="0" w:space="0" w:color="auto"/>
            <w:left w:val="none" w:sz="0" w:space="0" w:color="auto"/>
            <w:bottom w:val="none" w:sz="0" w:space="0" w:color="auto"/>
            <w:right w:val="none" w:sz="0" w:space="0" w:color="auto"/>
          </w:divBdr>
          <w:divsChild>
            <w:div w:id="32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7069467">
      <w:bodyDiv w:val="1"/>
      <w:marLeft w:val="0"/>
      <w:marRight w:val="0"/>
      <w:marTop w:val="0"/>
      <w:marBottom w:val="0"/>
      <w:divBdr>
        <w:top w:val="none" w:sz="0" w:space="0" w:color="auto"/>
        <w:left w:val="none" w:sz="0" w:space="0" w:color="auto"/>
        <w:bottom w:val="none" w:sz="0" w:space="0" w:color="auto"/>
        <w:right w:val="none" w:sz="0" w:space="0" w:color="auto"/>
      </w:divBdr>
      <w:divsChild>
        <w:div w:id="1100612391">
          <w:marLeft w:val="480"/>
          <w:marRight w:val="0"/>
          <w:marTop w:val="0"/>
          <w:marBottom w:val="0"/>
          <w:divBdr>
            <w:top w:val="none" w:sz="0" w:space="0" w:color="auto"/>
            <w:left w:val="none" w:sz="0" w:space="0" w:color="auto"/>
            <w:bottom w:val="none" w:sz="0" w:space="0" w:color="auto"/>
            <w:right w:val="none" w:sz="0" w:space="0" w:color="auto"/>
          </w:divBdr>
          <w:divsChild>
            <w:div w:id="304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6002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658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273731">
      <w:bodyDiv w:val="1"/>
      <w:marLeft w:val="0"/>
      <w:marRight w:val="0"/>
      <w:marTop w:val="0"/>
      <w:marBottom w:val="0"/>
      <w:divBdr>
        <w:top w:val="none" w:sz="0" w:space="0" w:color="auto"/>
        <w:left w:val="none" w:sz="0" w:space="0" w:color="auto"/>
        <w:bottom w:val="none" w:sz="0" w:space="0" w:color="auto"/>
        <w:right w:val="none" w:sz="0" w:space="0" w:color="auto"/>
      </w:divBdr>
    </w:div>
    <w:div w:id="2057119580">
      <w:bodyDiv w:val="1"/>
      <w:marLeft w:val="0"/>
      <w:marRight w:val="0"/>
      <w:marTop w:val="0"/>
      <w:marBottom w:val="0"/>
      <w:divBdr>
        <w:top w:val="none" w:sz="0" w:space="0" w:color="auto"/>
        <w:left w:val="none" w:sz="0" w:space="0" w:color="auto"/>
        <w:bottom w:val="none" w:sz="0" w:space="0" w:color="auto"/>
        <w:right w:val="none" w:sz="0" w:space="0" w:color="auto"/>
      </w:divBdr>
      <w:divsChild>
        <w:div w:id="1935359387">
          <w:marLeft w:val="480"/>
          <w:marRight w:val="0"/>
          <w:marTop w:val="0"/>
          <w:marBottom w:val="0"/>
          <w:divBdr>
            <w:top w:val="none" w:sz="0" w:space="0" w:color="auto"/>
            <w:left w:val="none" w:sz="0" w:space="0" w:color="auto"/>
            <w:bottom w:val="none" w:sz="0" w:space="0" w:color="auto"/>
            <w:right w:val="none" w:sz="0" w:space="0" w:color="auto"/>
          </w:divBdr>
          <w:divsChild>
            <w:div w:id="1129590539">
              <w:marLeft w:val="0"/>
              <w:marRight w:val="0"/>
              <w:marTop w:val="0"/>
              <w:marBottom w:val="0"/>
              <w:divBdr>
                <w:top w:val="none" w:sz="0" w:space="0" w:color="auto"/>
                <w:left w:val="none" w:sz="0" w:space="0" w:color="auto"/>
                <w:bottom w:val="none" w:sz="0" w:space="0" w:color="auto"/>
                <w:right w:val="none" w:sz="0" w:space="0" w:color="auto"/>
              </w:divBdr>
            </w:div>
            <w:div w:id="1353726312">
              <w:marLeft w:val="0"/>
              <w:marRight w:val="0"/>
              <w:marTop w:val="0"/>
              <w:marBottom w:val="0"/>
              <w:divBdr>
                <w:top w:val="none" w:sz="0" w:space="0" w:color="auto"/>
                <w:left w:val="none" w:sz="0" w:space="0" w:color="auto"/>
                <w:bottom w:val="none" w:sz="0" w:space="0" w:color="auto"/>
                <w:right w:val="none" w:sz="0" w:space="0" w:color="auto"/>
              </w:divBdr>
            </w:div>
            <w:div w:id="1711950165">
              <w:marLeft w:val="0"/>
              <w:marRight w:val="0"/>
              <w:marTop w:val="0"/>
              <w:marBottom w:val="0"/>
              <w:divBdr>
                <w:top w:val="none" w:sz="0" w:space="0" w:color="auto"/>
                <w:left w:val="none" w:sz="0" w:space="0" w:color="auto"/>
                <w:bottom w:val="none" w:sz="0" w:space="0" w:color="auto"/>
                <w:right w:val="none" w:sz="0" w:space="0" w:color="auto"/>
              </w:divBdr>
            </w:div>
            <w:div w:id="1907304208">
              <w:marLeft w:val="0"/>
              <w:marRight w:val="0"/>
              <w:marTop w:val="0"/>
              <w:marBottom w:val="0"/>
              <w:divBdr>
                <w:top w:val="none" w:sz="0" w:space="0" w:color="auto"/>
                <w:left w:val="none" w:sz="0" w:space="0" w:color="auto"/>
                <w:bottom w:val="none" w:sz="0" w:space="0" w:color="auto"/>
                <w:right w:val="none" w:sz="0" w:space="0" w:color="auto"/>
              </w:divBdr>
            </w:div>
            <w:div w:id="671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4595357">
      <w:bodyDiv w:val="1"/>
      <w:marLeft w:val="0"/>
      <w:marRight w:val="0"/>
      <w:marTop w:val="0"/>
      <w:marBottom w:val="0"/>
      <w:divBdr>
        <w:top w:val="none" w:sz="0" w:space="0" w:color="auto"/>
        <w:left w:val="none" w:sz="0" w:space="0" w:color="auto"/>
        <w:bottom w:val="none" w:sz="0" w:space="0" w:color="auto"/>
        <w:right w:val="none" w:sz="0" w:space="0" w:color="auto"/>
      </w:divBdr>
      <w:divsChild>
        <w:div w:id="1540316623">
          <w:marLeft w:val="480"/>
          <w:marRight w:val="0"/>
          <w:marTop w:val="0"/>
          <w:marBottom w:val="0"/>
          <w:divBdr>
            <w:top w:val="none" w:sz="0" w:space="0" w:color="auto"/>
            <w:left w:val="none" w:sz="0" w:space="0" w:color="auto"/>
            <w:bottom w:val="none" w:sz="0" w:space="0" w:color="auto"/>
            <w:right w:val="none" w:sz="0" w:space="0" w:color="auto"/>
          </w:divBdr>
          <w:divsChild>
            <w:div w:id="119225444">
              <w:marLeft w:val="0"/>
              <w:marRight w:val="0"/>
              <w:marTop w:val="0"/>
              <w:marBottom w:val="0"/>
              <w:divBdr>
                <w:top w:val="none" w:sz="0" w:space="0" w:color="auto"/>
                <w:left w:val="none" w:sz="0" w:space="0" w:color="auto"/>
                <w:bottom w:val="none" w:sz="0" w:space="0" w:color="auto"/>
                <w:right w:val="none" w:sz="0" w:space="0" w:color="auto"/>
              </w:divBdr>
            </w:div>
            <w:div w:id="1465536345">
              <w:marLeft w:val="0"/>
              <w:marRight w:val="0"/>
              <w:marTop w:val="0"/>
              <w:marBottom w:val="0"/>
              <w:divBdr>
                <w:top w:val="none" w:sz="0" w:space="0" w:color="auto"/>
                <w:left w:val="none" w:sz="0" w:space="0" w:color="auto"/>
                <w:bottom w:val="none" w:sz="0" w:space="0" w:color="auto"/>
                <w:right w:val="none" w:sz="0" w:space="0" w:color="auto"/>
              </w:divBdr>
            </w:div>
            <w:div w:id="395208437">
              <w:marLeft w:val="0"/>
              <w:marRight w:val="0"/>
              <w:marTop w:val="0"/>
              <w:marBottom w:val="0"/>
              <w:divBdr>
                <w:top w:val="none" w:sz="0" w:space="0" w:color="auto"/>
                <w:left w:val="none" w:sz="0" w:space="0" w:color="auto"/>
                <w:bottom w:val="none" w:sz="0" w:space="0" w:color="auto"/>
                <w:right w:val="none" w:sz="0" w:space="0" w:color="auto"/>
              </w:divBdr>
            </w:div>
            <w:div w:id="2044206703">
              <w:marLeft w:val="0"/>
              <w:marRight w:val="0"/>
              <w:marTop w:val="0"/>
              <w:marBottom w:val="0"/>
              <w:divBdr>
                <w:top w:val="none" w:sz="0" w:space="0" w:color="auto"/>
                <w:left w:val="none" w:sz="0" w:space="0" w:color="auto"/>
                <w:bottom w:val="none" w:sz="0" w:space="0" w:color="auto"/>
                <w:right w:val="none" w:sz="0" w:space="0" w:color="auto"/>
              </w:divBdr>
            </w:div>
            <w:div w:id="5523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93/geronb/gbab129"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nber.org/books-and-chapters/allocation-time-and-goods-over-life-cycle" TargetMode="External"/><Relationship Id="rId17" Type="http://schemas.openxmlformats.org/officeDocument/2006/relationships/hyperlink" Target="https://ourworldindata.org/life-expectancy" TargetMode="External"/><Relationship Id="rId2" Type="http://schemas.openxmlformats.org/officeDocument/2006/relationships/customXml" Target="../customXml/item2.xml"/><Relationship Id="rId16" Type="http://schemas.openxmlformats.org/officeDocument/2006/relationships/hyperlink" Target="https://doi.org/10.1007/BF000561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16/S0140-6736(14)60569-9"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kumarajarshi/life-expectancy-wh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3D8471EF340A89727D728718AE894"/>
        <w:category>
          <w:name w:val="General"/>
          <w:gallery w:val="placeholder"/>
        </w:category>
        <w:types>
          <w:type w:val="bbPlcHdr"/>
        </w:types>
        <w:behaviors>
          <w:behavior w:val="content"/>
        </w:behaviors>
        <w:guid w:val="{3C4DFD72-4F10-41B6-B217-ADDAF3EFFA82}"/>
      </w:docPartPr>
      <w:docPartBody>
        <w:p w:rsidR="006A5312" w:rsidRDefault="0047653F">
          <w:pPr>
            <w:pStyle w:val="0513D8471EF340A89727D728718AE894"/>
          </w:pPr>
          <w:r>
            <w:t>[Title Here, up to 12 Words, on One to Two Lines]</w:t>
          </w:r>
        </w:p>
      </w:docPartBody>
    </w:docPart>
    <w:docPart>
      <w:docPartPr>
        <w:name w:val="ADFE11FECABE4CFD934A40FEB31A31D9"/>
        <w:category>
          <w:name w:val="General"/>
          <w:gallery w:val="placeholder"/>
        </w:category>
        <w:types>
          <w:type w:val="bbPlcHdr"/>
        </w:types>
        <w:behaviors>
          <w:behavior w:val="content"/>
        </w:behaviors>
        <w:guid w:val="{7D564FA1-90D5-413D-8D82-3EB6153C87BC}"/>
      </w:docPartPr>
      <w:docPartBody>
        <w:p w:rsidR="006A5312" w:rsidRDefault="0047653F">
          <w:pPr>
            <w:pStyle w:val="ADFE11FECABE4CFD934A40FEB31A31D9"/>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3F"/>
    <w:rsid w:val="00070188"/>
    <w:rsid w:val="000A7F8E"/>
    <w:rsid w:val="001E16B8"/>
    <w:rsid w:val="0047653F"/>
    <w:rsid w:val="006A5312"/>
    <w:rsid w:val="006C3782"/>
    <w:rsid w:val="00962342"/>
    <w:rsid w:val="00C62E38"/>
    <w:rsid w:val="00DA15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3D8471EF340A89727D728718AE894">
    <w:name w:val="0513D8471EF340A89727D728718AE894"/>
  </w:style>
  <w:style w:type="paragraph" w:customStyle="1" w:styleId="ADFE11FECABE4CFD934A40FEB31A31D9">
    <w:name w:val="ADFE11FECABE4CFD934A40FEB31A31D9"/>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C62E38"/>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SHORTEN TITLE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CBB8AA11275418BF24611476703E6" ma:contentTypeVersion="9" ma:contentTypeDescription="Create a new document." ma:contentTypeScope="" ma:versionID="41ecc0ba7b21a235af68efad6f74557d">
  <xsd:schema xmlns:xsd="http://www.w3.org/2001/XMLSchema" xmlns:xs="http://www.w3.org/2001/XMLSchema" xmlns:p="http://schemas.microsoft.com/office/2006/metadata/properties" xmlns:ns3="9e728ede-ba06-403b-bc86-7b4526dfe1ea" xmlns:ns4="988bcc64-4115-40ec-86a8-6d8814ad8b46" targetNamespace="http://schemas.microsoft.com/office/2006/metadata/properties" ma:root="true" ma:fieldsID="c37c5b9b818d7e904c14af51fe171c8a" ns3:_="" ns4:_="">
    <xsd:import namespace="9e728ede-ba06-403b-bc86-7b4526dfe1ea"/>
    <xsd:import namespace="988bcc64-4115-40ec-86a8-6d8814ad8b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28ede-ba06-403b-bc86-7b4526dfe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bcc64-4115-40ec-86a8-6d8814ad8b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e728ede-ba06-403b-bc86-7b4526dfe1ea" xsi:nil="true"/>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65982-E23F-4D63-A8C4-63D4BB2D5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28ede-ba06-403b-bc86-7b4526dfe1ea"/>
    <ds:schemaRef ds:uri="988bcc64-4115-40ec-86a8-6d8814ad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FF2E1-CEE7-4AE8-8ED2-51A1D5285F07}">
  <ds:schemaRefs>
    <ds:schemaRef ds:uri="http://schemas.microsoft.com/sharepoint/v3/contenttype/forms"/>
  </ds:schemaRefs>
</ds:datastoreItem>
</file>

<file path=customXml/itemProps4.xml><?xml version="1.0" encoding="utf-8"?>
<ds:datastoreItem xmlns:ds="http://schemas.openxmlformats.org/officeDocument/2006/customXml" ds:itemID="{D82750BF-9FFC-4BE0-9CE8-93E1FEE775E5}">
  <ds:schemaRefs>
    <ds:schemaRef ds:uri="http://schemas.microsoft.com/office/2006/metadata/properties"/>
    <ds:schemaRef ds:uri="http://schemas.microsoft.com/office/infopath/2007/PartnerControls"/>
    <ds:schemaRef ds:uri="9e728ede-ba06-403b-bc86-7b4526dfe1ea"/>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15</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Exploring Life Expectancy: 
A Comprehensive Analysis of Modern Medicine 
and the Life Cycle Allocation Theory</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Life Expectancy: 
A Comprehensive Analysis of Modern Medicine 
and the Life Cycle Allocation Theory</dc:title>
  <dc:subject/>
  <dc:creator>Acacia Johnson</dc:creator>
  <cp:keywords/>
  <dc:description/>
  <cp:lastModifiedBy>Johnson, Acacia R</cp:lastModifiedBy>
  <cp:revision>14</cp:revision>
  <cp:lastPrinted>2023-12-05T23:37:00Z</cp:lastPrinted>
  <dcterms:created xsi:type="dcterms:W3CDTF">2023-12-06T00:21:00Z</dcterms:created>
  <dcterms:modified xsi:type="dcterms:W3CDTF">2024-01-17T17:53:00Z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0x010100460CBB8AA11275418BF24611476703E6</vt:lpwstr>
  </property>
</Properties>
</file>