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90B4A" w14:textId="078FFAD8" w:rsidR="00B848CB" w:rsidRPr="00B848CB" w:rsidRDefault="00B848CB" w:rsidP="00B848CB">
      <w:pPr>
        <w:jc w:val="center"/>
        <w:rPr>
          <w:b/>
          <w:bCs/>
          <w:lang w:val="en-AU"/>
        </w:rPr>
      </w:pPr>
      <w:bookmarkStart w:id="0" w:name="_Hlk133865616"/>
      <w:r w:rsidRPr="00B848CB">
        <w:rPr>
          <w:b/>
          <w:bCs/>
          <w:lang w:val="en-AU"/>
        </w:rPr>
        <w:t>An Assignment on</w:t>
      </w:r>
    </w:p>
    <w:p w14:paraId="5DA2F0EB" w14:textId="3996DB41" w:rsidR="00B848CB" w:rsidRPr="00B848CB" w:rsidRDefault="00B848CB" w:rsidP="00B848CB">
      <w:pPr>
        <w:jc w:val="center"/>
        <w:rPr>
          <w:b/>
          <w:bCs/>
          <w:lang w:val="en-AU"/>
        </w:rPr>
      </w:pPr>
      <w:r w:rsidRPr="00B848CB">
        <w:rPr>
          <w:b/>
          <w:bCs/>
          <w:lang w:val="en-AU"/>
        </w:rPr>
        <w:t>Building a Resilient Digital Future: Proposing Legal Reforms for Cyber Law in</w:t>
      </w:r>
    </w:p>
    <w:p w14:paraId="4F015BCF" w14:textId="77777777" w:rsidR="00B848CB" w:rsidRPr="00B848CB" w:rsidRDefault="00B848CB" w:rsidP="00B848CB">
      <w:pPr>
        <w:jc w:val="center"/>
        <w:rPr>
          <w:b/>
          <w:bCs/>
          <w:lang w:val="en-AU"/>
        </w:rPr>
      </w:pPr>
      <w:r w:rsidRPr="00B848CB">
        <w:rPr>
          <w:b/>
          <w:bCs/>
          <w:lang w:val="en-AU"/>
        </w:rPr>
        <w:t>Bangladesh Based on Leading Global Examples</w:t>
      </w:r>
    </w:p>
    <w:p w14:paraId="022BF862" w14:textId="77777777" w:rsidR="00B848CB" w:rsidRPr="00B848CB" w:rsidRDefault="00B848CB" w:rsidP="00B848CB">
      <w:pPr>
        <w:jc w:val="center"/>
        <w:rPr>
          <w:b/>
          <w:bCs/>
          <w:lang w:val="en-AU"/>
        </w:rPr>
      </w:pPr>
    </w:p>
    <w:p w14:paraId="6BE47575" w14:textId="77777777" w:rsidR="00B848CB" w:rsidRPr="00B848CB" w:rsidRDefault="00B848CB" w:rsidP="00B848CB">
      <w:pPr>
        <w:jc w:val="center"/>
        <w:rPr>
          <w:b/>
          <w:bCs/>
          <w:lang w:val="en-AU"/>
        </w:rPr>
      </w:pPr>
    </w:p>
    <w:p w14:paraId="367AE9A4" w14:textId="0DB270AE" w:rsidR="00B848CB" w:rsidRPr="00B848CB" w:rsidRDefault="00B848CB" w:rsidP="00B848CB">
      <w:pPr>
        <w:jc w:val="center"/>
        <w:rPr>
          <w:b/>
          <w:bCs/>
          <w:lang w:val="en-AU"/>
        </w:rPr>
      </w:pPr>
      <w:r w:rsidRPr="00B848CB">
        <w:rPr>
          <w:b/>
          <w:bCs/>
          <w:noProof/>
          <w:lang w:val="en-AU"/>
        </w:rPr>
        <w:drawing>
          <wp:inline distT="0" distB="0" distL="0" distR="0" wp14:anchorId="72C35F39" wp14:editId="37327AB6">
            <wp:extent cx="1365250" cy="1193800"/>
            <wp:effectExtent l="0" t="0" r="6350" b="6350"/>
            <wp:docPr id="1522030613" name="Picture 2" descr="A logo of a science laborator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030613" name="Picture 2" descr="A logo of a science laboratory&#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65250" cy="1193800"/>
                    </a:xfrm>
                    <a:prstGeom prst="rect">
                      <a:avLst/>
                    </a:prstGeom>
                    <a:noFill/>
                    <a:ln>
                      <a:noFill/>
                    </a:ln>
                  </pic:spPr>
                </pic:pic>
              </a:graphicData>
            </a:graphic>
          </wp:inline>
        </w:drawing>
      </w:r>
    </w:p>
    <w:p w14:paraId="246204C8" w14:textId="77777777" w:rsidR="00B848CB" w:rsidRPr="00B848CB" w:rsidRDefault="00B848CB" w:rsidP="00B848CB">
      <w:pPr>
        <w:jc w:val="center"/>
        <w:rPr>
          <w:b/>
          <w:bCs/>
          <w:lang w:val="en-AU"/>
        </w:rPr>
      </w:pPr>
    </w:p>
    <w:p w14:paraId="5F5E3C14" w14:textId="77777777" w:rsidR="00B848CB" w:rsidRPr="00B848CB" w:rsidRDefault="00B848CB" w:rsidP="00B848CB">
      <w:pPr>
        <w:jc w:val="center"/>
        <w:rPr>
          <w:b/>
          <w:bCs/>
          <w:lang w:val="en-AU"/>
        </w:rPr>
      </w:pPr>
      <w:r w:rsidRPr="00B848CB">
        <w:rPr>
          <w:b/>
          <w:bCs/>
          <w:lang w:val="en-AU"/>
        </w:rPr>
        <w:t>An Assignment submitted to the Department of Computer Science and Engineering,</w:t>
      </w:r>
    </w:p>
    <w:p w14:paraId="3D33B9C9" w14:textId="77777777" w:rsidR="00B848CB" w:rsidRPr="00B848CB" w:rsidRDefault="00B848CB" w:rsidP="00B848CB">
      <w:pPr>
        <w:jc w:val="center"/>
        <w:rPr>
          <w:b/>
          <w:bCs/>
          <w:lang w:val="en-AU"/>
        </w:rPr>
      </w:pPr>
      <w:r w:rsidRPr="00B848CB">
        <w:rPr>
          <w:b/>
          <w:bCs/>
          <w:lang w:val="en-AU"/>
        </w:rPr>
        <w:t>Hajee Mohammad Danesh Science and Technology University</w:t>
      </w:r>
    </w:p>
    <w:p w14:paraId="046B2ACA" w14:textId="6B661B96" w:rsidR="00B848CB" w:rsidRPr="00B848CB" w:rsidRDefault="00B848CB" w:rsidP="00B848CB">
      <w:pPr>
        <w:jc w:val="center"/>
        <w:rPr>
          <w:b/>
          <w:bCs/>
          <w:lang w:val="en-AU"/>
        </w:rPr>
      </w:pPr>
      <w:r w:rsidRPr="00B848CB">
        <w:rPr>
          <w:b/>
          <w:bCs/>
          <w:lang w:val="en-AU"/>
        </w:rPr>
        <w:t>Course Title: Computer Ethics and Cyber Law</w:t>
      </w:r>
    </w:p>
    <w:p w14:paraId="1E5547E6" w14:textId="77777777" w:rsidR="00B848CB" w:rsidRPr="00B848CB" w:rsidRDefault="00B848CB" w:rsidP="00B848CB">
      <w:pPr>
        <w:jc w:val="center"/>
        <w:rPr>
          <w:b/>
          <w:bCs/>
          <w:lang w:val="en-AU"/>
        </w:rPr>
      </w:pPr>
      <w:r w:rsidRPr="00B848CB">
        <w:rPr>
          <w:b/>
          <w:bCs/>
          <w:lang w:val="en-AU"/>
        </w:rPr>
        <w:t>Course Code: CSE 455</w:t>
      </w:r>
    </w:p>
    <w:tbl>
      <w:tblPr>
        <w:tblStyle w:val="TableGrid"/>
        <w:tblW w:w="11758" w:type="dxa"/>
        <w:tblInd w:w="-1207" w:type="dxa"/>
        <w:tblLook w:val="04A0" w:firstRow="1" w:lastRow="0" w:firstColumn="1" w:lastColumn="0" w:noHBand="0" w:noVBand="1"/>
      </w:tblPr>
      <w:tblGrid>
        <w:gridCol w:w="5882"/>
        <w:gridCol w:w="5876"/>
      </w:tblGrid>
      <w:tr w:rsidR="00B848CB" w:rsidRPr="00B848CB" w14:paraId="550D3EF7" w14:textId="0BFB7126" w:rsidTr="00807E7D">
        <w:tc>
          <w:tcPr>
            <w:tcW w:w="5882" w:type="dxa"/>
          </w:tcPr>
          <w:p w14:paraId="4D1DFD94" w14:textId="77777777" w:rsidR="00B848CB" w:rsidRPr="00B848CB" w:rsidRDefault="00B848CB" w:rsidP="00B848CB">
            <w:pPr>
              <w:spacing w:after="160" w:line="278" w:lineRule="auto"/>
              <w:jc w:val="center"/>
              <w:rPr>
                <w:b/>
                <w:bCs/>
                <w:lang w:val="en-AU"/>
              </w:rPr>
            </w:pPr>
          </w:p>
          <w:p w14:paraId="12960776" w14:textId="77777777" w:rsidR="00B848CB" w:rsidRPr="00B848CB" w:rsidRDefault="00B848CB" w:rsidP="00B848CB">
            <w:pPr>
              <w:spacing w:after="160" w:line="278" w:lineRule="auto"/>
              <w:jc w:val="center"/>
              <w:rPr>
                <w:b/>
                <w:bCs/>
                <w:lang w:val="en-AU"/>
              </w:rPr>
            </w:pPr>
            <w:r w:rsidRPr="00B848CB">
              <w:rPr>
                <w:b/>
                <w:bCs/>
                <w:lang w:val="en-AU"/>
              </w:rPr>
              <w:t>Submitted By,</w:t>
            </w:r>
          </w:p>
          <w:p w14:paraId="20A8F48A" w14:textId="530397B5" w:rsidR="00B848CB" w:rsidRPr="00B848CB" w:rsidRDefault="00B848CB" w:rsidP="00B848CB">
            <w:pPr>
              <w:spacing w:after="160" w:line="278" w:lineRule="auto"/>
              <w:jc w:val="center"/>
              <w:rPr>
                <w:b/>
                <w:bCs/>
                <w:lang w:val="en-AU"/>
              </w:rPr>
            </w:pPr>
            <w:r>
              <w:rPr>
                <w:b/>
                <w:bCs/>
                <w:lang w:val="en-AU"/>
              </w:rPr>
              <w:t>Arjon Talukder</w:t>
            </w:r>
          </w:p>
          <w:p w14:paraId="0CBA0E3B" w14:textId="5F0B0FA1" w:rsidR="00B848CB" w:rsidRPr="00B848CB" w:rsidRDefault="00807E7D" w:rsidP="00B848CB">
            <w:pPr>
              <w:spacing w:after="160" w:line="278" w:lineRule="auto"/>
              <w:jc w:val="center"/>
              <w:rPr>
                <w:b/>
                <w:bCs/>
                <w:lang w:val="en-AU"/>
              </w:rPr>
            </w:pPr>
            <w:r>
              <w:rPr>
                <w:b/>
                <w:bCs/>
                <w:lang w:val="en-AU"/>
              </w:rPr>
              <w:t>Student</w:t>
            </w:r>
            <w:r w:rsidR="00B848CB" w:rsidRPr="00B848CB">
              <w:rPr>
                <w:b/>
                <w:bCs/>
                <w:lang w:val="en-AU"/>
              </w:rPr>
              <w:t xml:space="preserve"> ID: 20020</w:t>
            </w:r>
            <w:r w:rsidR="00B848CB">
              <w:rPr>
                <w:b/>
                <w:bCs/>
                <w:lang w:val="en-AU"/>
              </w:rPr>
              <w:t>22</w:t>
            </w:r>
          </w:p>
          <w:p w14:paraId="58C09478" w14:textId="77777777" w:rsidR="00B848CB" w:rsidRPr="00B848CB" w:rsidRDefault="00B848CB" w:rsidP="00B848CB">
            <w:pPr>
              <w:spacing w:after="160" w:line="278" w:lineRule="auto"/>
              <w:jc w:val="center"/>
              <w:rPr>
                <w:b/>
                <w:bCs/>
                <w:lang w:val="en-AU"/>
              </w:rPr>
            </w:pPr>
            <w:r w:rsidRPr="00B848CB">
              <w:rPr>
                <w:b/>
                <w:bCs/>
                <w:lang w:val="en-AU"/>
              </w:rPr>
              <w:t>Level 4, Semester II</w:t>
            </w:r>
          </w:p>
          <w:p w14:paraId="6F0CB1C8" w14:textId="77777777" w:rsidR="00B848CB" w:rsidRPr="00B848CB" w:rsidRDefault="00B848CB" w:rsidP="00B848CB">
            <w:pPr>
              <w:spacing w:after="160" w:line="278" w:lineRule="auto"/>
              <w:jc w:val="center"/>
              <w:rPr>
                <w:b/>
                <w:bCs/>
                <w:lang w:val="en-AU"/>
              </w:rPr>
            </w:pPr>
          </w:p>
        </w:tc>
        <w:tc>
          <w:tcPr>
            <w:tcW w:w="5876" w:type="dxa"/>
          </w:tcPr>
          <w:p w14:paraId="0515EBE9" w14:textId="77777777" w:rsidR="00B848CB" w:rsidRPr="00B848CB" w:rsidRDefault="00B848CB" w:rsidP="00B848CB">
            <w:pPr>
              <w:spacing w:after="160" w:line="278" w:lineRule="auto"/>
              <w:jc w:val="center"/>
              <w:rPr>
                <w:b/>
                <w:bCs/>
                <w:lang w:val="en-AU"/>
              </w:rPr>
            </w:pPr>
          </w:p>
          <w:p w14:paraId="3507FE8B" w14:textId="77777777" w:rsidR="00B848CB" w:rsidRPr="00B848CB" w:rsidRDefault="00B848CB" w:rsidP="00B848CB">
            <w:pPr>
              <w:spacing w:after="160" w:line="278" w:lineRule="auto"/>
              <w:jc w:val="center"/>
              <w:rPr>
                <w:b/>
                <w:bCs/>
                <w:lang w:val="en-AU"/>
              </w:rPr>
            </w:pPr>
            <w:r w:rsidRPr="00B848CB">
              <w:rPr>
                <w:b/>
                <w:bCs/>
                <w:lang w:val="en-AU"/>
              </w:rPr>
              <w:t>Submitted To,</w:t>
            </w:r>
          </w:p>
          <w:p w14:paraId="0EBCFD7B" w14:textId="77777777" w:rsidR="00B848CB" w:rsidRPr="00B848CB" w:rsidRDefault="00B848CB" w:rsidP="00B848CB">
            <w:pPr>
              <w:spacing w:after="160" w:line="278" w:lineRule="auto"/>
              <w:jc w:val="center"/>
              <w:rPr>
                <w:b/>
                <w:bCs/>
                <w:lang w:val="en-AU"/>
              </w:rPr>
            </w:pPr>
            <w:r w:rsidRPr="00B848CB">
              <w:rPr>
                <w:b/>
                <w:bCs/>
                <w:lang w:val="en-AU"/>
              </w:rPr>
              <w:t>Pankaj Bhowmik</w:t>
            </w:r>
          </w:p>
          <w:p w14:paraId="03550924" w14:textId="77777777" w:rsidR="00B848CB" w:rsidRPr="00B848CB" w:rsidRDefault="00B848CB" w:rsidP="00B848CB">
            <w:pPr>
              <w:spacing w:after="160" w:line="278" w:lineRule="auto"/>
              <w:jc w:val="center"/>
              <w:rPr>
                <w:b/>
                <w:bCs/>
                <w:lang w:val="en-AU"/>
              </w:rPr>
            </w:pPr>
            <w:r w:rsidRPr="00B848CB">
              <w:rPr>
                <w:b/>
                <w:bCs/>
                <w:lang w:val="en-AU"/>
              </w:rPr>
              <w:t>Lecturer</w:t>
            </w:r>
          </w:p>
          <w:p w14:paraId="08DA40A3" w14:textId="77777777" w:rsidR="00807E7D" w:rsidRDefault="00B848CB" w:rsidP="00807E7D">
            <w:pPr>
              <w:jc w:val="center"/>
              <w:rPr>
                <w:b/>
                <w:bCs/>
                <w:lang w:val="en-AU"/>
              </w:rPr>
            </w:pPr>
            <w:r w:rsidRPr="00B848CB">
              <w:rPr>
                <w:b/>
                <w:bCs/>
                <w:lang w:val="en-AU"/>
              </w:rPr>
              <w:t>Department of Computer Science and</w:t>
            </w:r>
          </w:p>
          <w:p w14:paraId="48306EC2" w14:textId="37EE6E2E" w:rsidR="00B848CB" w:rsidRPr="00B848CB" w:rsidRDefault="00B848CB" w:rsidP="00807E7D">
            <w:pPr>
              <w:jc w:val="center"/>
              <w:rPr>
                <w:b/>
                <w:bCs/>
                <w:lang w:val="en-AU"/>
              </w:rPr>
            </w:pPr>
            <w:r w:rsidRPr="00B848CB">
              <w:rPr>
                <w:b/>
                <w:bCs/>
                <w:lang w:val="en-AU"/>
              </w:rPr>
              <w:t>Engineering</w:t>
            </w:r>
          </w:p>
        </w:tc>
      </w:tr>
      <w:tr w:rsidR="00B848CB" w:rsidRPr="00B848CB" w14:paraId="61796F9D" w14:textId="77777777" w:rsidTr="00807E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5876" w:type="dxa"/>
        </w:trPr>
        <w:tc>
          <w:tcPr>
            <w:tcW w:w="5882" w:type="dxa"/>
          </w:tcPr>
          <w:p w14:paraId="6E5F229A" w14:textId="06BE01C7" w:rsidR="00B848CB" w:rsidRPr="00B848CB" w:rsidRDefault="00B848CB" w:rsidP="00B848CB">
            <w:pPr>
              <w:spacing w:after="160" w:line="278" w:lineRule="auto"/>
              <w:jc w:val="center"/>
              <w:rPr>
                <w:b/>
                <w:bCs/>
                <w:lang w:val="en-AU"/>
              </w:rPr>
            </w:pPr>
          </w:p>
        </w:tc>
      </w:tr>
    </w:tbl>
    <w:p w14:paraId="19FDAC5A" w14:textId="77777777" w:rsidR="00B848CB" w:rsidRPr="00B848CB" w:rsidRDefault="00B848CB" w:rsidP="00B848CB">
      <w:pPr>
        <w:jc w:val="center"/>
        <w:rPr>
          <w:b/>
          <w:bCs/>
          <w:lang w:val="en-AU"/>
        </w:rPr>
      </w:pPr>
    </w:p>
    <w:p w14:paraId="33C9CA5E" w14:textId="77777777" w:rsidR="00B848CB" w:rsidRPr="00B848CB" w:rsidRDefault="00B848CB" w:rsidP="00B848CB">
      <w:pPr>
        <w:jc w:val="center"/>
        <w:rPr>
          <w:b/>
          <w:bCs/>
          <w:lang w:val="en-AU"/>
        </w:rPr>
      </w:pPr>
    </w:p>
    <w:p w14:paraId="5F655189" w14:textId="77777777" w:rsidR="00B848CB" w:rsidRPr="00B848CB" w:rsidRDefault="00B848CB" w:rsidP="00B848CB">
      <w:pPr>
        <w:jc w:val="center"/>
        <w:rPr>
          <w:b/>
          <w:bCs/>
          <w:lang w:val="en-AU"/>
        </w:rPr>
      </w:pPr>
      <w:r w:rsidRPr="00B848CB">
        <w:rPr>
          <w:b/>
          <w:bCs/>
          <w:lang w:val="en-AU"/>
        </w:rPr>
        <w:t>DEPARTMENT OF COMPUTER SCIENCE AND ENGINEERING</w:t>
      </w:r>
    </w:p>
    <w:p w14:paraId="11063A2D" w14:textId="269A65AB" w:rsidR="00B848CB" w:rsidRPr="00B848CB" w:rsidRDefault="00B848CB" w:rsidP="00B848CB">
      <w:pPr>
        <w:jc w:val="center"/>
        <w:rPr>
          <w:b/>
          <w:bCs/>
          <w:lang w:val="en-AU"/>
        </w:rPr>
      </w:pPr>
      <w:r w:rsidRPr="00B848CB">
        <w:rPr>
          <w:b/>
          <w:bCs/>
          <w:lang w:val="en-AU"/>
        </w:rPr>
        <w:t>HAJEE MOHAMMAD DANESH SCIENCE AND TECHNOLOGY UNIVERSITY, DINAJPUR-5200, BANGLADES</w:t>
      </w:r>
      <w:bookmarkEnd w:id="0"/>
      <w:r w:rsidRPr="00B848CB">
        <w:rPr>
          <w:b/>
          <w:bCs/>
          <w:lang w:val="en-AU"/>
        </w:rPr>
        <w:t>H</w:t>
      </w:r>
    </w:p>
    <w:p w14:paraId="43FF411F" w14:textId="7C9A68A6" w:rsidR="00B848CB" w:rsidRPr="00B848CB" w:rsidRDefault="00B848CB" w:rsidP="00B848CB">
      <w:pPr>
        <w:rPr>
          <w:b/>
          <w:bCs/>
        </w:rPr>
      </w:pPr>
      <w:r w:rsidRPr="00B848CB">
        <w:rPr>
          <w:b/>
          <w:bCs/>
        </w:rPr>
        <w:lastRenderedPageBreak/>
        <w:t xml:space="preserve">1. </w:t>
      </w:r>
      <w:r>
        <w:rPr>
          <w:b/>
          <w:bCs/>
        </w:rPr>
        <w:t>Introduction</w:t>
      </w:r>
    </w:p>
    <w:p w14:paraId="32721668" w14:textId="77777777" w:rsidR="00B848CB" w:rsidRPr="00B848CB" w:rsidRDefault="00B848CB" w:rsidP="00B848CB">
      <w:r w:rsidRPr="00B848CB">
        <w:t>In today's interconnected world, digital spaces are central to education, business, governance, and everyday life. As Bangladesh advances toward a digitally empowered society, its legal frameworks must evolve accordingly. This proposal outlines comprehensive legal reforms aimed at strengthening the nation’s cyber governance through a rights-based, forward-looking, and globally informed approach.</w:t>
      </w:r>
    </w:p>
    <w:p w14:paraId="5DD26CF2" w14:textId="77777777" w:rsidR="00B848CB" w:rsidRPr="00B848CB" w:rsidRDefault="00B848CB" w:rsidP="00B848CB">
      <w:r w:rsidRPr="00B848CB">
        <w:t>By analyzing best practices from countries such as Germany, Canada, Japan, the United Kingdom, and the United States, the proposal highlights the need for robust cyber legislation that promotes innovation, protects civil liberties, and anticipates emerging threats. These reforms are essential not only for national security but also for building trust and resilience in the digital era.</w:t>
      </w:r>
    </w:p>
    <w:p w14:paraId="6CAA5F98" w14:textId="77777777" w:rsidR="00B848CB" w:rsidRPr="00B848CB" w:rsidRDefault="00000000" w:rsidP="00B848CB">
      <w:r>
        <w:pict w14:anchorId="61903066">
          <v:rect id="_x0000_i1025" style="width:0;height:1.5pt" o:hralign="center" o:hrstd="t" o:hr="t" fillcolor="#a0a0a0" stroked="f"/>
        </w:pict>
      </w:r>
    </w:p>
    <w:p w14:paraId="5F2248B2" w14:textId="77777777" w:rsidR="00B848CB" w:rsidRPr="00B848CB" w:rsidRDefault="00B848CB" w:rsidP="00B848CB">
      <w:pPr>
        <w:rPr>
          <w:b/>
          <w:bCs/>
        </w:rPr>
      </w:pPr>
      <w:r w:rsidRPr="00B848CB">
        <w:rPr>
          <w:b/>
          <w:bCs/>
        </w:rPr>
        <w:t>2. Objectives of the Proposal</w:t>
      </w:r>
    </w:p>
    <w:p w14:paraId="414BC5E2" w14:textId="77777777" w:rsidR="00B848CB" w:rsidRPr="00B848CB" w:rsidRDefault="00B848CB" w:rsidP="00B848CB">
      <w:r w:rsidRPr="00B848CB">
        <w:t>The core objectives of this proposal are:</w:t>
      </w:r>
    </w:p>
    <w:p w14:paraId="12F33430" w14:textId="77777777" w:rsidR="00B848CB" w:rsidRPr="00B848CB" w:rsidRDefault="00B848CB" w:rsidP="00B848CB">
      <w:pPr>
        <w:numPr>
          <w:ilvl w:val="0"/>
          <w:numId w:val="1"/>
        </w:numPr>
      </w:pPr>
      <w:r w:rsidRPr="00B848CB">
        <w:t>To critically assess the existing cyber legal landscape in Bangladesh.</w:t>
      </w:r>
    </w:p>
    <w:p w14:paraId="1725DB0C" w14:textId="77777777" w:rsidR="00B848CB" w:rsidRPr="00B848CB" w:rsidRDefault="00B848CB" w:rsidP="00B848CB">
      <w:pPr>
        <w:numPr>
          <w:ilvl w:val="0"/>
          <w:numId w:val="1"/>
        </w:numPr>
      </w:pPr>
      <w:r w:rsidRPr="00B848CB">
        <w:t>To identify specific legal and structural gaps in current laws.</w:t>
      </w:r>
    </w:p>
    <w:p w14:paraId="22512B63" w14:textId="77777777" w:rsidR="00B848CB" w:rsidRPr="00B848CB" w:rsidRDefault="00B848CB" w:rsidP="00B848CB">
      <w:pPr>
        <w:numPr>
          <w:ilvl w:val="0"/>
          <w:numId w:val="1"/>
        </w:numPr>
      </w:pPr>
      <w:r w:rsidRPr="00B848CB">
        <w:t>To recommend progressive legal reforms that reflect international standards.</w:t>
      </w:r>
    </w:p>
    <w:p w14:paraId="1EFA2825" w14:textId="77777777" w:rsidR="00B848CB" w:rsidRPr="00B848CB" w:rsidRDefault="00B848CB" w:rsidP="00B848CB">
      <w:pPr>
        <w:numPr>
          <w:ilvl w:val="0"/>
          <w:numId w:val="1"/>
        </w:numPr>
      </w:pPr>
      <w:r w:rsidRPr="00B848CB">
        <w:t>To build a legal environment that upholds privacy, fosters trust, and protects against evolving digital risks.</w:t>
      </w:r>
    </w:p>
    <w:p w14:paraId="7DE2C93D" w14:textId="77777777" w:rsidR="00B848CB" w:rsidRDefault="00B848CB" w:rsidP="00B848CB">
      <w:r w:rsidRPr="00B848CB">
        <w:t>These goals align with Bangladesh’s broader vision of becoming a digitally inclusive and secure society, as outlined in its Digital Bangladesh agenda and Smart Bangladesh vision.</w:t>
      </w:r>
    </w:p>
    <w:p w14:paraId="52E09C17" w14:textId="05AB3028" w:rsidR="00B848CB" w:rsidRPr="00B848CB" w:rsidRDefault="00000000" w:rsidP="00B848CB">
      <w:r>
        <w:pict w14:anchorId="210631A4">
          <v:rect id="_x0000_i1026" style="width:0;height:1.5pt" o:hralign="center" o:hrstd="t" o:hr="t" fillcolor="#a0a0a0" stroked="f"/>
        </w:pict>
      </w:r>
    </w:p>
    <w:p w14:paraId="0EE27C17" w14:textId="77777777" w:rsidR="00B848CB" w:rsidRPr="00B848CB" w:rsidRDefault="00B848CB" w:rsidP="00B848CB">
      <w:pPr>
        <w:rPr>
          <w:b/>
          <w:bCs/>
        </w:rPr>
      </w:pPr>
      <w:r w:rsidRPr="00B848CB">
        <w:rPr>
          <w:b/>
          <w:bCs/>
        </w:rPr>
        <w:t>3. Current Legal Landscape and Global Comparison</w:t>
      </w:r>
    </w:p>
    <w:p w14:paraId="21BF48E9" w14:textId="77777777" w:rsidR="00B848CB" w:rsidRPr="00B848CB" w:rsidRDefault="00B848CB" w:rsidP="00B848CB">
      <w:r w:rsidRPr="00B848CB">
        <w:t>As Bangladesh moves toward a digitally interconnected society, the legal frameworks regulating cyberspace have grown in importance. However, while progress has been made, there remains a significant gap between the current legal provisions in Bangladesh and the comprehensive, rights-based, and future-oriented frameworks found in many developed nations. This chapter provides an overview of Bangladesh’s major cyber laws and compares them with international counterparts to highlight areas where legal reform is most urgently needed.</w:t>
      </w:r>
    </w:p>
    <w:p w14:paraId="425CE238" w14:textId="7D313866" w:rsidR="00B848CB" w:rsidRPr="00B848CB" w:rsidRDefault="00B848CB" w:rsidP="00B848CB"/>
    <w:p w14:paraId="005F5471" w14:textId="77777777" w:rsidR="00B848CB" w:rsidRPr="00B848CB" w:rsidRDefault="00B848CB" w:rsidP="00B848CB">
      <w:pPr>
        <w:rPr>
          <w:b/>
          <w:bCs/>
        </w:rPr>
      </w:pPr>
      <w:r w:rsidRPr="00B848CB">
        <w:rPr>
          <w:b/>
          <w:bCs/>
        </w:rPr>
        <w:lastRenderedPageBreak/>
        <w:t>3.1 Existing Cyber Laws in Bangladesh</w:t>
      </w:r>
    </w:p>
    <w:p w14:paraId="64371B36" w14:textId="77777777" w:rsidR="00B848CB" w:rsidRPr="00B848CB" w:rsidRDefault="00B848CB" w:rsidP="00B848CB">
      <w:pPr>
        <w:rPr>
          <w:b/>
          <w:bCs/>
        </w:rPr>
      </w:pPr>
      <w:r w:rsidRPr="00B848CB">
        <w:rPr>
          <w:b/>
          <w:bCs/>
        </w:rPr>
        <w:t>Information and Communication Technology (ICT) Act, 2006</w:t>
      </w:r>
    </w:p>
    <w:p w14:paraId="311BCE3F" w14:textId="48D1CD9B" w:rsidR="00B848CB" w:rsidRPr="00B848CB" w:rsidRDefault="00B848CB" w:rsidP="00B848CB">
      <w:r w:rsidRPr="00B848CB">
        <w:t>This was Bangladesh’s first comprehensive attempt at regulating cyber activities. The law aimed to address crimes such as hacking, identity theft, and digital forgery. However, it was widely criticized for vague language and misuse</w:t>
      </w:r>
      <w:r>
        <w:t xml:space="preserve">, </w:t>
      </w:r>
      <w:r w:rsidRPr="00B848CB">
        <w:t xml:space="preserve">particularly </w:t>
      </w:r>
      <w:r w:rsidRPr="00B848CB">
        <w:rPr>
          <w:b/>
          <w:bCs/>
        </w:rPr>
        <w:t>Section 57</w:t>
      </w:r>
      <w:r w:rsidRPr="00B848CB">
        <w:t>, which was often used to suppress free speech online. This section was eventually repealed, but the Act’s limitations laid the groundwork for further reform.</w:t>
      </w:r>
    </w:p>
    <w:p w14:paraId="12C410C5" w14:textId="77777777" w:rsidR="00B848CB" w:rsidRPr="00B848CB" w:rsidRDefault="00B848CB" w:rsidP="00B848CB">
      <w:pPr>
        <w:rPr>
          <w:b/>
          <w:bCs/>
        </w:rPr>
      </w:pPr>
      <w:r w:rsidRPr="00B848CB">
        <w:rPr>
          <w:b/>
          <w:bCs/>
        </w:rPr>
        <w:t>Digital Security Act (DSA), 2018</w:t>
      </w:r>
    </w:p>
    <w:p w14:paraId="06C40CCB" w14:textId="77777777" w:rsidR="00B848CB" w:rsidRPr="00B848CB" w:rsidRDefault="00B848CB" w:rsidP="00B848CB">
      <w:r w:rsidRPr="00B848CB">
        <w:t xml:space="preserve">The DSA was introduced to replace problematic aspects of the ICT Act and expand the legal coverage of digital offenses. It includes provisions against cyberbullying, digital defamation, hacking, and misinformation. The Act also allowed for </w:t>
      </w:r>
      <w:r w:rsidRPr="00B848CB">
        <w:rPr>
          <w:b/>
          <w:bCs/>
        </w:rPr>
        <w:t>real-time surveillance by authorities</w:t>
      </w:r>
      <w:r w:rsidRPr="00B848CB">
        <w:t>, which raised serious concerns regarding privacy and freedom of expression. Human rights groups and journalists have frequently criticized the DSA for its overbroad clauses and potential for abuse.</w:t>
      </w:r>
    </w:p>
    <w:p w14:paraId="2A2B7634" w14:textId="77777777" w:rsidR="00B848CB" w:rsidRPr="00B848CB" w:rsidRDefault="00B848CB" w:rsidP="00B848CB">
      <w:pPr>
        <w:rPr>
          <w:b/>
          <w:bCs/>
        </w:rPr>
      </w:pPr>
      <w:r w:rsidRPr="00B848CB">
        <w:rPr>
          <w:b/>
          <w:bCs/>
        </w:rPr>
        <w:t>Cyber Security Act (CSA), 2023</w:t>
      </w:r>
    </w:p>
    <w:p w14:paraId="6062740B" w14:textId="77777777" w:rsidR="00B848CB" w:rsidRPr="00B848CB" w:rsidRDefault="00B848CB" w:rsidP="00B848CB">
      <w:r w:rsidRPr="00B848CB">
        <w:t>The CSA aimed to modernize the digital legal framework and align more closely with national security goals. It introduced new provisions for protecting critical infrastructure and combating cyber terrorism. However, many of its sections inherited the same issues of vagueness and limited judicial oversight as previous laws.</w:t>
      </w:r>
    </w:p>
    <w:p w14:paraId="3C0AAAF4" w14:textId="77777777" w:rsidR="00B848CB" w:rsidRPr="00B848CB" w:rsidRDefault="00B848CB" w:rsidP="00B848CB">
      <w:pPr>
        <w:rPr>
          <w:b/>
          <w:bCs/>
        </w:rPr>
      </w:pPr>
      <w:r w:rsidRPr="00B848CB">
        <w:rPr>
          <w:b/>
          <w:bCs/>
        </w:rPr>
        <w:t>Cyber Protection Ordinance (CPO), 2024</w:t>
      </w:r>
    </w:p>
    <w:p w14:paraId="004D2E22" w14:textId="77777777" w:rsidR="00B848CB" w:rsidRPr="00B848CB" w:rsidRDefault="00B848CB" w:rsidP="00B848CB">
      <w:r w:rsidRPr="00B848CB">
        <w:t xml:space="preserve">This ordinance was introduced to address public criticism of the CSA and repeal several controversial sections. It marked a positive shift by </w:t>
      </w:r>
      <w:r w:rsidRPr="00B848CB">
        <w:rPr>
          <w:b/>
          <w:bCs/>
        </w:rPr>
        <w:t>recognizing internet access as a civil right</w:t>
      </w:r>
      <w:r w:rsidRPr="00B848CB">
        <w:t xml:space="preserve"> and criminalizing cyber harassment, particularly against women and children. Nonetheless, legal experts have noted that definitions remain imprecise, and meaningful stakeholder consultation was largely absent in its drafting process.</w:t>
      </w:r>
    </w:p>
    <w:p w14:paraId="2BEF7983" w14:textId="77777777" w:rsidR="00B848CB" w:rsidRPr="00B848CB" w:rsidRDefault="00000000" w:rsidP="00B848CB">
      <w:r>
        <w:pict w14:anchorId="1D712911">
          <v:rect id="_x0000_i1027" style="width:0;height:1.5pt" o:hralign="center" o:hrstd="t" o:hr="t" fillcolor="#a0a0a0" stroked="f"/>
        </w:pict>
      </w:r>
    </w:p>
    <w:p w14:paraId="1D15620C" w14:textId="77777777" w:rsidR="00B848CB" w:rsidRPr="00B848CB" w:rsidRDefault="00B848CB" w:rsidP="00B848CB">
      <w:pPr>
        <w:rPr>
          <w:b/>
          <w:bCs/>
        </w:rPr>
      </w:pPr>
      <w:r w:rsidRPr="00B848CB">
        <w:rPr>
          <w:b/>
          <w:bCs/>
        </w:rPr>
        <w:t>3.2 Key Challenges in Bangladesh’s Cyber Legal System</w:t>
      </w:r>
    </w:p>
    <w:p w14:paraId="585F24D9" w14:textId="77777777" w:rsidR="00B848CB" w:rsidRPr="00B848CB" w:rsidRDefault="00B848CB" w:rsidP="00B848CB">
      <w:pPr>
        <w:numPr>
          <w:ilvl w:val="0"/>
          <w:numId w:val="11"/>
        </w:numPr>
      </w:pPr>
      <w:r w:rsidRPr="00B848CB">
        <w:rPr>
          <w:b/>
          <w:bCs/>
        </w:rPr>
        <w:t>Absence of a dedicated Data Protection Law:</w:t>
      </w:r>
      <w:r w:rsidRPr="00B848CB">
        <w:br/>
        <w:t>There is currently no standalone legislation that outlines how personal data should be collected, processed, stored, or shared in Bangladesh.</w:t>
      </w:r>
    </w:p>
    <w:p w14:paraId="55158567" w14:textId="77777777" w:rsidR="00B848CB" w:rsidRPr="00B848CB" w:rsidRDefault="00B848CB" w:rsidP="00B848CB">
      <w:pPr>
        <w:numPr>
          <w:ilvl w:val="0"/>
          <w:numId w:val="11"/>
        </w:numPr>
      </w:pPr>
      <w:r w:rsidRPr="00B848CB">
        <w:rPr>
          <w:b/>
          <w:bCs/>
        </w:rPr>
        <w:lastRenderedPageBreak/>
        <w:t>Limited AI governance:</w:t>
      </w:r>
      <w:r w:rsidRPr="00B848CB">
        <w:br/>
        <w:t>Existing laws do not address the ethical or legal implications of artificial intelligence, algorithmic bias, or machine learning applications in sensitive sectors.</w:t>
      </w:r>
    </w:p>
    <w:p w14:paraId="35ABA1D3" w14:textId="77777777" w:rsidR="00B848CB" w:rsidRPr="00B848CB" w:rsidRDefault="00B848CB" w:rsidP="00B848CB">
      <w:pPr>
        <w:numPr>
          <w:ilvl w:val="0"/>
          <w:numId w:val="11"/>
        </w:numPr>
      </w:pPr>
      <w:r w:rsidRPr="00B848CB">
        <w:rPr>
          <w:b/>
          <w:bCs/>
        </w:rPr>
        <w:t>Minimal public consultation in lawmaking:</w:t>
      </w:r>
      <w:r w:rsidRPr="00B848CB">
        <w:br/>
        <w:t>Cyber laws have historically been drafted with limited input from civil society, tech experts, or the youth—the primary users of digital platforms.</w:t>
      </w:r>
    </w:p>
    <w:p w14:paraId="146BFA97" w14:textId="77777777" w:rsidR="00B848CB" w:rsidRPr="00B848CB" w:rsidRDefault="00B848CB" w:rsidP="00B848CB">
      <w:pPr>
        <w:numPr>
          <w:ilvl w:val="0"/>
          <w:numId w:val="11"/>
        </w:numPr>
      </w:pPr>
      <w:r w:rsidRPr="00B848CB">
        <w:rPr>
          <w:b/>
          <w:bCs/>
        </w:rPr>
        <w:t>Over-centralization of authority:</w:t>
      </w:r>
      <w:r w:rsidRPr="00B848CB">
        <w:br/>
        <w:t>Enforcement is heavily reliant on law enforcement and intelligence agencies, often with insufficient judicial or independent oversight.</w:t>
      </w:r>
    </w:p>
    <w:p w14:paraId="0D792BA8" w14:textId="77777777" w:rsidR="00B848CB" w:rsidRPr="00B848CB" w:rsidRDefault="00000000" w:rsidP="00B848CB">
      <w:r>
        <w:pict w14:anchorId="194123E8">
          <v:rect id="_x0000_i1028" style="width:0;height:1.5pt" o:hralign="center" o:hrstd="t" o:hr="t" fillcolor="#a0a0a0" stroked="f"/>
        </w:pict>
      </w:r>
    </w:p>
    <w:p w14:paraId="7C8C735E" w14:textId="77777777" w:rsidR="00B848CB" w:rsidRPr="00B848CB" w:rsidRDefault="00B848CB" w:rsidP="00B848CB">
      <w:pPr>
        <w:rPr>
          <w:b/>
          <w:bCs/>
        </w:rPr>
      </w:pPr>
      <w:r w:rsidRPr="00B848CB">
        <w:rPr>
          <w:b/>
          <w:bCs/>
        </w:rPr>
        <w:t>3.3 Comparative Analysis: Bangladesh vs. Developed Countries</w:t>
      </w:r>
    </w:p>
    <w:p w14:paraId="3332C4DA" w14:textId="77777777" w:rsidR="00B848CB" w:rsidRPr="00B848CB" w:rsidRDefault="00B848CB" w:rsidP="00B848CB">
      <w:r w:rsidRPr="00B848CB">
        <w:t>To design future-ready cyber laws, it is essential to compare Bangladesh’s framework with those of countries that have implemented more comprehensive, transparent, and human-rights–centered digital legislation.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1147"/>
        <w:gridCol w:w="1646"/>
        <w:gridCol w:w="1269"/>
        <w:gridCol w:w="1323"/>
        <w:gridCol w:w="1333"/>
        <w:gridCol w:w="1367"/>
      </w:tblGrid>
      <w:tr w:rsidR="00B848CB" w:rsidRPr="00B848CB" w14:paraId="477221F4" w14:textId="77777777" w:rsidTr="00B848CB">
        <w:trPr>
          <w:tblHeader/>
          <w:tblCellSpacing w:w="15" w:type="dxa"/>
        </w:trPr>
        <w:tc>
          <w:tcPr>
            <w:tcW w:w="0" w:type="auto"/>
            <w:vAlign w:val="center"/>
            <w:hideMark/>
          </w:tcPr>
          <w:p w14:paraId="3DB6A1A8" w14:textId="77777777" w:rsidR="00B848CB" w:rsidRPr="00B848CB" w:rsidRDefault="00B848CB" w:rsidP="00B848CB">
            <w:pPr>
              <w:rPr>
                <w:b/>
                <w:bCs/>
                <w:sz w:val="20"/>
                <w:szCs w:val="20"/>
              </w:rPr>
            </w:pPr>
            <w:r w:rsidRPr="00B848CB">
              <w:rPr>
                <w:b/>
                <w:bCs/>
                <w:sz w:val="20"/>
                <w:szCs w:val="20"/>
              </w:rPr>
              <w:t>Aspect</w:t>
            </w:r>
          </w:p>
        </w:tc>
        <w:tc>
          <w:tcPr>
            <w:tcW w:w="0" w:type="auto"/>
            <w:vAlign w:val="center"/>
            <w:hideMark/>
          </w:tcPr>
          <w:p w14:paraId="2264884B" w14:textId="77777777" w:rsidR="00B848CB" w:rsidRPr="00B848CB" w:rsidRDefault="00B848CB" w:rsidP="00B848CB">
            <w:pPr>
              <w:rPr>
                <w:b/>
                <w:bCs/>
                <w:sz w:val="20"/>
                <w:szCs w:val="20"/>
              </w:rPr>
            </w:pPr>
            <w:r w:rsidRPr="00B848CB">
              <w:rPr>
                <w:b/>
                <w:bCs/>
                <w:sz w:val="20"/>
                <w:szCs w:val="20"/>
              </w:rPr>
              <w:t>Bangladesh</w:t>
            </w:r>
          </w:p>
        </w:tc>
        <w:tc>
          <w:tcPr>
            <w:tcW w:w="0" w:type="auto"/>
            <w:vAlign w:val="center"/>
            <w:hideMark/>
          </w:tcPr>
          <w:p w14:paraId="05CD6C0F" w14:textId="77777777" w:rsidR="00B848CB" w:rsidRPr="00B848CB" w:rsidRDefault="00B848CB" w:rsidP="00B848CB">
            <w:pPr>
              <w:rPr>
                <w:b/>
                <w:bCs/>
                <w:sz w:val="20"/>
                <w:szCs w:val="20"/>
              </w:rPr>
            </w:pPr>
            <w:r w:rsidRPr="00B848CB">
              <w:rPr>
                <w:b/>
                <w:bCs/>
                <w:sz w:val="20"/>
                <w:szCs w:val="20"/>
              </w:rPr>
              <w:t>USA</w:t>
            </w:r>
          </w:p>
        </w:tc>
        <w:tc>
          <w:tcPr>
            <w:tcW w:w="0" w:type="auto"/>
            <w:vAlign w:val="center"/>
            <w:hideMark/>
          </w:tcPr>
          <w:p w14:paraId="34B72184" w14:textId="77777777" w:rsidR="00B848CB" w:rsidRPr="00B848CB" w:rsidRDefault="00B848CB" w:rsidP="00B848CB">
            <w:pPr>
              <w:rPr>
                <w:b/>
                <w:bCs/>
                <w:sz w:val="20"/>
                <w:szCs w:val="20"/>
              </w:rPr>
            </w:pPr>
            <w:r w:rsidRPr="00B848CB">
              <w:rPr>
                <w:b/>
                <w:bCs/>
                <w:sz w:val="20"/>
                <w:szCs w:val="20"/>
              </w:rPr>
              <w:t>UK</w:t>
            </w:r>
          </w:p>
        </w:tc>
        <w:tc>
          <w:tcPr>
            <w:tcW w:w="0" w:type="auto"/>
            <w:vAlign w:val="center"/>
            <w:hideMark/>
          </w:tcPr>
          <w:p w14:paraId="708D82EB" w14:textId="77777777" w:rsidR="00B848CB" w:rsidRPr="00B848CB" w:rsidRDefault="00B848CB" w:rsidP="00B848CB">
            <w:pPr>
              <w:rPr>
                <w:b/>
                <w:bCs/>
                <w:sz w:val="20"/>
                <w:szCs w:val="20"/>
              </w:rPr>
            </w:pPr>
            <w:r w:rsidRPr="00B848CB">
              <w:rPr>
                <w:b/>
                <w:bCs/>
                <w:sz w:val="20"/>
                <w:szCs w:val="20"/>
              </w:rPr>
              <w:t>Germany</w:t>
            </w:r>
          </w:p>
        </w:tc>
        <w:tc>
          <w:tcPr>
            <w:tcW w:w="0" w:type="auto"/>
            <w:vAlign w:val="center"/>
            <w:hideMark/>
          </w:tcPr>
          <w:p w14:paraId="7FE45386" w14:textId="77777777" w:rsidR="00B848CB" w:rsidRPr="00B848CB" w:rsidRDefault="00B848CB" w:rsidP="00B848CB">
            <w:pPr>
              <w:rPr>
                <w:b/>
                <w:bCs/>
                <w:sz w:val="20"/>
                <w:szCs w:val="20"/>
              </w:rPr>
            </w:pPr>
            <w:r w:rsidRPr="00B848CB">
              <w:rPr>
                <w:b/>
                <w:bCs/>
                <w:sz w:val="20"/>
                <w:szCs w:val="20"/>
              </w:rPr>
              <w:t>Japan</w:t>
            </w:r>
          </w:p>
        </w:tc>
        <w:tc>
          <w:tcPr>
            <w:tcW w:w="0" w:type="auto"/>
            <w:vAlign w:val="center"/>
            <w:hideMark/>
          </w:tcPr>
          <w:p w14:paraId="75653A15" w14:textId="77777777" w:rsidR="00B848CB" w:rsidRPr="00B848CB" w:rsidRDefault="00B848CB" w:rsidP="00B848CB">
            <w:pPr>
              <w:rPr>
                <w:b/>
                <w:bCs/>
                <w:sz w:val="20"/>
                <w:szCs w:val="20"/>
              </w:rPr>
            </w:pPr>
            <w:r w:rsidRPr="00B848CB">
              <w:rPr>
                <w:b/>
                <w:bCs/>
                <w:sz w:val="20"/>
                <w:szCs w:val="20"/>
              </w:rPr>
              <w:t>Canada</w:t>
            </w:r>
          </w:p>
        </w:tc>
      </w:tr>
      <w:tr w:rsidR="00B848CB" w:rsidRPr="00B848CB" w14:paraId="6742E0F1" w14:textId="77777777" w:rsidTr="00B848CB">
        <w:trPr>
          <w:tblCellSpacing w:w="15" w:type="dxa"/>
        </w:trPr>
        <w:tc>
          <w:tcPr>
            <w:tcW w:w="0" w:type="auto"/>
            <w:vAlign w:val="center"/>
            <w:hideMark/>
          </w:tcPr>
          <w:p w14:paraId="008D5DE5" w14:textId="77777777" w:rsidR="00B848CB" w:rsidRPr="00B848CB" w:rsidRDefault="00B848CB" w:rsidP="00B848CB">
            <w:pPr>
              <w:rPr>
                <w:sz w:val="20"/>
                <w:szCs w:val="20"/>
              </w:rPr>
            </w:pPr>
            <w:r w:rsidRPr="00B848CB">
              <w:rPr>
                <w:b/>
                <w:bCs/>
                <w:sz w:val="20"/>
                <w:szCs w:val="20"/>
              </w:rPr>
              <w:t>Data Protection Law</w:t>
            </w:r>
          </w:p>
        </w:tc>
        <w:tc>
          <w:tcPr>
            <w:tcW w:w="0" w:type="auto"/>
            <w:vAlign w:val="center"/>
            <w:hideMark/>
          </w:tcPr>
          <w:p w14:paraId="4A57BBE9" w14:textId="77777777" w:rsidR="00B848CB" w:rsidRPr="00B848CB" w:rsidRDefault="00B848CB" w:rsidP="00B848CB">
            <w:pPr>
              <w:rPr>
                <w:sz w:val="20"/>
                <w:szCs w:val="20"/>
              </w:rPr>
            </w:pPr>
            <w:r w:rsidRPr="00B848CB">
              <w:rPr>
                <w:sz w:val="20"/>
                <w:szCs w:val="20"/>
              </w:rPr>
              <w:t>None</w:t>
            </w:r>
          </w:p>
        </w:tc>
        <w:tc>
          <w:tcPr>
            <w:tcW w:w="0" w:type="auto"/>
            <w:vAlign w:val="center"/>
            <w:hideMark/>
          </w:tcPr>
          <w:p w14:paraId="22D0A972" w14:textId="77777777" w:rsidR="00B848CB" w:rsidRPr="00B848CB" w:rsidRDefault="00B848CB" w:rsidP="00B848CB">
            <w:pPr>
              <w:rPr>
                <w:sz w:val="20"/>
                <w:szCs w:val="20"/>
              </w:rPr>
            </w:pPr>
            <w:r w:rsidRPr="00B848CB">
              <w:rPr>
                <w:sz w:val="20"/>
                <w:szCs w:val="20"/>
              </w:rPr>
              <w:t>CCPA</w:t>
            </w:r>
          </w:p>
        </w:tc>
        <w:tc>
          <w:tcPr>
            <w:tcW w:w="0" w:type="auto"/>
            <w:vAlign w:val="center"/>
            <w:hideMark/>
          </w:tcPr>
          <w:p w14:paraId="3A014A83" w14:textId="77777777" w:rsidR="00B848CB" w:rsidRPr="00B848CB" w:rsidRDefault="00B848CB" w:rsidP="00B848CB">
            <w:pPr>
              <w:rPr>
                <w:sz w:val="20"/>
                <w:szCs w:val="20"/>
              </w:rPr>
            </w:pPr>
            <w:r w:rsidRPr="00B848CB">
              <w:rPr>
                <w:sz w:val="20"/>
                <w:szCs w:val="20"/>
              </w:rPr>
              <w:t>Data Protection Act (GDPR-aligned)</w:t>
            </w:r>
          </w:p>
        </w:tc>
        <w:tc>
          <w:tcPr>
            <w:tcW w:w="0" w:type="auto"/>
            <w:vAlign w:val="center"/>
            <w:hideMark/>
          </w:tcPr>
          <w:p w14:paraId="5E946419" w14:textId="77777777" w:rsidR="00B848CB" w:rsidRPr="00B848CB" w:rsidRDefault="00B848CB" w:rsidP="00B848CB">
            <w:pPr>
              <w:rPr>
                <w:sz w:val="20"/>
                <w:szCs w:val="20"/>
              </w:rPr>
            </w:pPr>
            <w:r w:rsidRPr="00B848CB">
              <w:rPr>
                <w:sz w:val="20"/>
                <w:szCs w:val="20"/>
              </w:rPr>
              <w:t>GDPR</w:t>
            </w:r>
          </w:p>
        </w:tc>
        <w:tc>
          <w:tcPr>
            <w:tcW w:w="0" w:type="auto"/>
            <w:vAlign w:val="center"/>
            <w:hideMark/>
          </w:tcPr>
          <w:p w14:paraId="7DD0EB1F" w14:textId="77777777" w:rsidR="00B848CB" w:rsidRPr="00B848CB" w:rsidRDefault="00B848CB" w:rsidP="00B848CB">
            <w:pPr>
              <w:rPr>
                <w:sz w:val="20"/>
                <w:szCs w:val="20"/>
              </w:rPr>
            </w:pPr>
            <w:r w:rsidRPr="00B848CB">
              <w:rPr>
                <w:sz w:val="20"/>
                <w:szCs w:val="20"/>
              </w:rPr>
              <w:t>APPI</w:t>
            </w:r>
          </w:p>
        </w:tc>
        <w:tc>
          <w:tcPr>
            <w:tcW w:w="0" w:type="auto"/>
            <w:vAlign w:val="center"/>
            <w:hideMark/>
          </w:tcPr>
          <w:p w14:paraId="52D8EE82" w14:textId="77777777" w:rsidR="00B848CB" w:rsidRPr="00B848CB" w:rsidRDefault="00B848CB" w:rsidP="00B848CB">
            <w:pPr>
              <w:rPr>
                <w:sz w:val="20"/>
                <w:szCs w:val="20"/>
              </w:rPr>
            </w:pPr>
            <w:r w:rsidRPr="00B848CB">
              <w:rPr>
                <w:sz w:val="20"/>
                <w:szCs w:val="20"/>
              </w:rPr>
              <w:t>PIPEDA</w:t>
            </w:r>
          </w:p>
        </w:tc>
      </w:tr>
      <w:tr w:rsidR="00B848CB" w:rsidRPr="00B848CB" w14:paraId="2F93FF1A" w14:textId="77777777" w:rsidTr="00B848CB">
        <w:trPr>
          <w:tblCellSpacing w:w="15" w:type="dxa"/>
        </w:trPr>
        <w:tc>
          <w:tcPr>
            <w:tcW w:w="0" w:type="auto"/>
            <w:vAlign w:val="center"/>
            <w:hideMark/>
          </w:tcPr>
          <w:p w14:paraId="0BBC7717" w14:textId="77777777" w:rsidR="00B848CB" w:rsidRPr="00B848CB" w:rsidRDefault="00B848CB" w:rsidP="00B848CB">
            <w:pPr>
              <w:rPr>
                <w:sz w:val="20"/>
                <w:szCs w:val="20"/>
              </w:rPr>
            </w:pPr>
            <w:r w:rsidRPr="00B848CB">
              <w:rPr>
                <w:b/>
                <w:bCs/>
                <w:sz w:val="20"/>
                <w:szCs w:val="20"/>
              </w:rPr>
              <w:t>Cybercrime Law</w:t>
            </w:r>
          </w:p>
        </w:tc>
        <w:tc>
          <w:tcPr>
            <w:tcW w:w="0" w:type="auto"/>
            <w:vAlign w:val="center"/>
            <w:hideMark/>
          </w:tcPr>
          <w:p w14:paraId="5831524B" w14:textId="77777777" w:rsidR="00B848CB" w:rsidRPr="00B848CB" w:rsidRDefault="00B848CB" w:rsidP="00B848CB">
            <w:pPr>
              <w:rPr>
                <w:sz w:val="20"/>
                <w:szCs w:val="20"/>
              </w:rPr>
            </w:pPr>
            <w:r w:rsidRPr="00B848CB">
              <w:rPr>
                <w:sz w:val="20"/>
                <w:szCs w:val="20"/>
              </w:rPr>
              <w:t>ICT Act, DSA, CSA</w:t>
            </w:r>
          </w:p>
        </w:tc>
        <w:tc>
          <w:tcPr>
            <w:tcW w:w="0" w:type="auto"/>
            <w:vAlign w:val="center"/>
            <w:hideMark/>
          </w:tcPr>
          <w:p w14:paraId="772EF623" w14:textId="77777777" w:rsidR="00B848CB" w:rsidRPr="00B848CB" w:rsidRDefault="00B848CB" w:rsidP="00B848CB">
            <w:pPr>
              <w:rPr>
                <w:sz w:val="20"/>
                <w:szCs w:val="20"/>
              </w:rPr>
            </w:pPr>
            <w:r w:rsidRPr="00B848CB">
              <w:rPr>
                <w:sz w:val="20"/>
                <w:szCs w:val="20"/>
              </w:rPr>
              <w:t>CFAA, Electronic Communications Privacy Act</w:t>
            </w:r>
          </w:p>
        </w:tc>
        <w:tc>
          <w:tcPr>
            <w:tcW w:w="0" w:type="auto"/>
            <w:vAlign w:val="center"/>
            <w:hideMark/>
          </w:tcPr>
          <w:p w14:paraId="5FA59652" w14:textId="77777777" w:rsidR="00B848CB" w:rsidRPr="00B848CB" w:rsidRDefault="00B848CB" w:rsidP="00B848CB">
            <w:pPr>
              <w:rPr>
                <w:sz w:val="20"/>
                <w:szCs w:val="20"/>
              </w:rPr>
            </w:pPr>
            <w:r w:rsidRPr="00B848CB">
              <w:rPr>
                <w:sz w:val="20"/>
                <w:szCs w:val="20"/>
              </w:rPr>
              <w:t>Computer Misuse Act</w:t>
            </w:r>
          </w:p>
        </w:tc>
        <w:tc>
          <w:tcPr>
            <w:tcW w:w="0" w:type="auto"/>
            <w:vAlign w:val="center"/>
            <w:hideMark/>
          </w:tcPr>
          <w:p w14:paraId="6E84C07F" w14:textId="77777777" w:rsidR="00B848CB" w:rsidRPr="00B848CB" w:rsidRDefault="00B848CB" w:rsidP="00B848CB">
            <w:pPr>
              <w:rPr>
                <w:sz w:val="20"/>
                <w:szCs w:val="20"/>
              </w:rPr>
            </w:pPr>
            <w:r w:rsidRPr="00B848CB">
              <w:rPr>
                <w:sz w:val="20"/>
                <w:szCs w:val="20"/>
              </w:rPr>
              <w:t>BSI Act (Critical Infrastructure Protection)</w:t>
            </w:r>
          </w:p>
        </w:tc>
        <w:tc>
          <w:tcPr>
            <w:tcW w:w="0" w:type="auto"/>
            <w:vAlign w:val="center"/>
            <w:hideMark/>
          </w:tcPr>
          <w:p w14:paraId="75D9B9E0" w14:textId="77777777" w:rsidR="00B848CB" w:rsidRPr="00B848CB" w:rsidRDefault="00B848CB" w:rsidP="00B848CB">
            <w:pPr>
              <w:rPr>
                <w:sz w:val="20"/>
                <w:szCs w:val="20"/>
              </w:rPr>
            </w:pPr>
            <w:r w:rsidRPr="00B848CB">
              <w:rPr>
                <w:sz w:val="20"/>
                <w:szCs w:val="20"/>
              </w:rPr>
              <w:t>Penal Code, APPI</w:t>
            </w:r>
          </w:p>
        </w:tc>
        <w:tc>
          <w:tcPr>
            <w:tcW w:w="0" w:type="auto"/>
            <w:vAlign w:val="center"/>
            <w:hideMark/>
          </w:tcPr>
          <w:p w14:paraId="3CBCBC63" w14:textId="77777777" w:rsidR="00B848CB" w:rsidRPr="00B848CB" w:rsidRDefault="00B848CB" w:rsidP="00B848CB">
            <w:pPr>
              <w:rPr>
                <w:sz w:val="20"/>
                <w:szCs w:val="20"/>
              </w:rPr>
            </w:pPr>
            <w:r w:rsidRPr="00B848CB">
              <w:rPr>
                <w:sz w:val="20"/>
                <w:szCs w:val="20"/>
              </w:rPr>
              <w:t>Criminal Code, Cybercrime Act</w:t>
            </w:r>
          </w:p>
        </w:tc>
      </w:tr>
      <w:tr w:rsidR="00B848CB" w:rsidRPr="00B848CB" w14:paraId="632A4FF4" w14:textId="77777777" w:rsidTr="00B848CB">
        <w:trPr>
          <w:tblCellSpacing w:w="15" w:type="dxa"/>
        </w:trPr>
        <w:tc>
          <w:tcPr>
            <w:tcW w:w="0" w:type="auto"/>
            <w:vAlign w:val="center"/>
            <w:hideMark/>
          </w:tcPr>
          <w:p w14:paraId="5BAE59D1" w14:textId="77777777" w:rsidR="00B848CB" w:rsidRPr="00B848CB" w:rsidRDefault="00B848CB" w:rsidP="00B848CB">
            <w:pPr>
              <w:rPr>
                <w:sz w:val="20"/>
                <w:szCs w:val="20"/>
              </w:rPr>
            </w:pPr>
            <w:r w:rsidRPr="00B848CB">
              <w:rPr>
                <w:b/>
                <w:bCs/>
                <w:sz w:val="20"/>
                <w:szCs w:val="20"/>
              </w:rPr>
              <w:t>AI Regulation</w:t>
            </w:r>
          </w:p>
        </w:tc>
        <w:tc>
          <w:tcPr>
            <w:tcW w:w="0" w:type="auto"/>
            <w:vAlign w:val="center"/>
            <w:hideMark/>
          </w:tcPr>
          <w:p w14:paraId="4AB88ACE" w14:textId="77777777" w:rsidR="00B848CB" w:rsidRPr="00B848CB" w:rsidRDefault="00B848CB" w:rsidP="00B848CB">
            <w:pPr>
              <w:rPr>
                <w:sz w:val="20"/>
                <w:szCs w:val="20"/>
              </w:rPr>
            </w:pPr>
            <w:r w:rsidRPr="00B848CB">
              <w:rPr>
                <w:sz w:val="20"/>
                <w:szCs w:val="20"/>
              </w:rPr>
              <w:t>Not available</w:t>
            </w:r>
          </w:p>
        </w:tc>
        <w:tc>
          <w:tcPr>
            <w:tcW w:w="0" w:type="auto"/>
            <w:vAlign w:val="center"/>
            <w:hideMark/>
          </w:tcPr>
          <w:p w14:paraId="24B1DF8C" w14:textId="77777777" w:rsidR="00B848CB" w:rsidRPr="00B848CB" w:rsidRDefault="00B848CB" w:rsidP="00B848CB">
            <w:pPr>
              <w:rPr>
                <w:sz w:val="20"/>
                <w:szCs w:val="20"/>
              </w:rPr>
            </w:pPr>
            <w:r w:rsidRPr="00B848CB">
              <w:rPr>
                <w:sz w:val="20"/>
                <w:szCs w:val="20"/>
              </w:rPr>
              <w:t>AI Bill of Rights (Draft)</w:t>
            </w:r>
          </w:p>
        </w:tc>
        <w:tc>
          <w:tcPr>
            <w:tcW w:w="0" w:type="auto"/>
            <w:vAlign w:val="center"/>
            <w:hideMark/>
          </w:tcPr>
          <w:p w14:paraId="56D9C81D" w14:textId="77777777" w:rsidR="00B848CB" w:rsidRPr="00B848CB" w:rsidRDefault="00B848CB" w:rsidP="00B848CB">
            <w:pPr>
              <w:rPr>
                <w:sz w:val="20"/>
                <w:szCs w:val="20"/>
              </w:rPr>
            </w:pPr>
            <w:r w:rsidRPr="00B848CB">
              <w:rPr>
                <w:sz w:val="20"/>
                <w:szCs w:val="20"/>
              </w:rPr>
              <w:t>In development</w:t>
            </w:r>
          </w:p>
        </w:tc>
        <w:tc>
          <w:tcPr>
            <w:tcW w:w="0" w:type="auto"/>
            <w:vAlign w:val="center"/>
            <w:hideMark/>
          </w:tcPr>
          <w:p w14:paraId="7BDEDA98" w14:textId="77777777" w:rsidR="00B848CB" w:rsidRPr="00B848CB" w:rsidRDefault="00B848CB" w:rsidP="00B848CB">
            <w:pPr>
              <w:rPr>
                <w:sz w:val="20"/>
                <w:szCs w:val="20"/>
              </w:rPr>
            </w:pPr>
            <w:r w:rsidRPr="00B848CB">
              <w:rPr>
                <w:sz w:val="20"/>
                <w:szCs w:val="20"/>
              </w:rPr>
              <w:t>GDPR + Ethics Guidelines</w:t>
            </w:r>
          </w:p>
        </w:tc>
        <w:tc>
          <w:tcPr>
            <w:tcW w:w="0" w:type="auto"/>
            <w:vAlign w:val="center"/>
            <w:hideMark/>
          </w:tcPr>
          <w:p w14:paraId="2F750629" w14:textId="77777777" w:rsidR="00B848CB" w:rsidRPr="00B848CB" w:rsidRDefault="00B848CB" w:rsidP="00B848CB">
            <w:pPr>
              <w:rPr>
                <w:sz w:val="20"/>
                <w:szCs w:val="20"/>
              </w:rPr>
            </w:pPr>
            <w:r w:rsidRPr="00B848CB">
              <w:rPr>
                <w:sz w:val="20"/>
                <w:szCs w:val="20"/>
              </w:rPr>
              <w:t>Early-stage legislation</w:t>
            </w:r>
          </w:p>
        </w:tc>
        <w:tc>
          <w:tcPr>
            <w:tcW w:w="0" w:type="auto"/>
            <w:vAlign w:val="center"/>
            <w:hideMark/>
          </w:tcPr>
          <w:p w14:paraId="377A1FFF" w14:textId="77777777" w:rsidR="00B848CB" w:rsidRPr="00B848CB" w:rsidRDefault="00B848CB" w:rsidP="00B848CB">
            <w:pPr>
              <w:rPr>
                <w:sz w:val="20"/>
                <w:szCs w:val="20"/>
              </w:rPr>
            </w:pPr>
            <w:r w:rsidRPr="00B848CB">
              <w:rPr>
                <w:sz w:val="20"/>
                <w:szCs w:val="20"/>
              </w:rPr>
              <w:t>Under policy review</w:t>
            </w:r>
          </w:p>
        </w:tc>
      </w:tr>
      <w:tr w:rsidR="00B848CB" w:rsidRPr="00B848CB" w14:paraId="57E67BF3" w14:textId="77777777" w:rsidTr="00B848CB">
        <w:trPr>
          <w:tblCellSpacing w:w="15" w:type="dxa"/>
        </w:trPr>
        <w:tc>
          <w:tcPr>
            <w:tcW w:w="0" w:type="auto"/>
            <w:vAlign w:val="center"/>
            <w:hideMark/>
          </w:tcPr>
          <w:p w14:paraId="694A2711" w14:textId="77777777" w:rsidR="00B848CB" w:rsidRPr="00B848CB" w:rsidRDefault="00B848CB" w:rsidP="00B848CB">
            <w:pPr>
              <w:rPr>
                <w:sz w:val="20"/>
                <w:szCs w:val="20"/>
              </w:rPr>
            </w:pPr>
            <w:r w:rsidRPr="00B848CB">
              <w:rPr>
                <w:b/>
                <w:bCs/>
                <w:sz w:val="20"/>
                <w:szCs w:val="20"/>
              </w:rPr>
              <w:t>Surveillance Oversight</w:t>
            </w:r>
          </w:p>
        </w:tc>
        <w:tc>
          <w:tcPr>
            <w:tcW w:w="0" w:type="auto"/>
            <w:vAlign w:val="center"/>
            <w:hideMark/>
          </w:tcPr>
          <w:p w14:paraId="5CC9B8CD" w14:textId="77777777" w:rsidR="00B848CB" w:rsidRPr="00B848CB" w:rsidRDefault="00B848CB" w:rsidP="00B848CB">
            <w:pPr>
              <w:rPr>
                <w:sz w:val="20"/>
                <w:szCs w:val="20"/>
              </w:rPr>
            </w:pPr>
            <w:r w:rsidRPr="00B848CB">
              <w:rPr>
                <w:sz w:val="20"/>
                <w:szCs w:val="20"/>
              </w:rPr>
              <w:t>Weak</w:t>
            </w:r>
          </w:p>
        </w:tc>
        <w:tc>
          <w:tcPr>
            <w:tcW w:w="0" w:type="auto"/>
            <w:vAlign w:val="center"/>
            <w:hideMark/>
          </w:tcPr>
          <w:p w14:paraId="41C37374" w14:textId="77777777" w:rsidR="00B848CB" w:rsidRPr="00B848CB" w:rsidRDefault="00B848CB" w:rsidP="00B848CB">
            <w:pPr>
              <w:rPr>
                <w:sz w:val="20"/>
                <w:szCs w:val="20"/>
              </w:rPr>
            </w:pPr>
            <w:r w:rsidRPr="00B848CB">
              <w:rPr>
                <w:sz w:val="20"/>
                <w:szCs w:val="20"/>
              </w:rPr>
              <w:t>NSA oversight (Controversial)</w:t>
            </w:r>
          </w:p>
        </w:tc>
        <w:tc>
          <w:tcPr>
            <w:tcW w:w="0" w:type="auto"/>
            <w:vAlign w:val="center"/>
            <w:hideMark/>
          </w:tcPr>
          <w:p w14:paraId="023100F6" w14:textId="77777777" w:rsidR="00B848CB" w:rsidRPr="00B848CB" w:rsidRDefault="00B848CB" w:rsidP="00B848CB">
            <w:pPr>
              <w:rPr>
                <w:sz w:val="20"/>
                <w:szCs w:val="20"/>
              </w:rPr>
            </w:pPr>
            <w:r w:rsidRPr="00B848CB">
              <w:rPr>
                <w:sz w:val="20"/>
                <w:szCs w:val="20"/>
              </w:rPr>
              <w:t>Judicial authorization required</w:t>
            </w:r>
          </w:p>
        </w:tc>
        <w:tc>
          <w:tcPr>
            <w:tcW w:w="0" w:type="auto"/>
            <w:vAlign w:val="center"/>
            <w:hideMark/>
          </w:tcPr>
          <w:p w14:paraId="2CFE8C59" w14:textId="77777777" w:rsidR="00B848CB" w:rsidRPr="00B848CB" w:rsidRDefault="00B848CB" w:rsidP="00B848CB">
            <w:pPr>
              <w:rPr>
                <w:sz w:val="20"/>
                <w:szCs w:val="20"/>
              </w:rPr>
            </w:pPr>
            <w:r w:rsidRPr="00B848CB">
              <w:rPr>
                <w:sz w:val="20"/>
                <w:szCs w:val="20"/>
              </w:rPr>
              <w:t>Strong limits under GDPR</w:t>
            </w:r>
          </w:p>
        </w:tc>
        <w:tc>
          <w:tcPr>
            <w:tcW w:w="0" w:type="auto"/>
            <w:vAlign w:val="center"/>
            <w:hideMark/>
          </w:tcPr>
          <w:p w14:paraId="3C5B07E7" w14:textId="77777777" w:rsidR="00B848CB" w:rsidRPr="00B848CB" w:rsidRDefault="00B848CB" w:rsidP="00B848CB">
            <w:pPr>
              <w:rPr>
                <w:sz w:val="20"/>
                <w:szCs w:val="20"/>
              </w:rPr>
            </w:pPr>
            <w:r w:rsidRPr="00B848CB">
              <w:rPr>
                <w:sz w:val="20"/>
                <w:szCs w:val="20"/>
              </w:rPr>
              <w:t>Administrative monitoring</w:t>
            </w:r>
          </w:p>
        </w:tc>
        <w:tc>
          <w:tcPr>
            <w:tcW w:w="0" w:type="auto"/>
            <w:vAlign w:val="center"/>
            <w:hideMark/>
          </w:tcPr>
          <w:p w14:paraId="0B4B0409" w14:textId="77777777" w:rsidR="00B848CB" w:rsidRPr="00B848CB" w:rsidRDefault="00B848CB" w:rsidP="00B848CB">
            <w:pPr>
              <w:rPr>
                <w:sz w:val="20"/>
                <w:szCs w:val="20"/>
              </w:rPr>
            </w:pPr>
            <w:r w:rsidRPr="00B848CB">
              <w:rPr>
                <w:sz w:val="20"/>
                <w:szCs w:val="20"/>
              </w:rPr>
              <w:t>Balanced judicial review</w:t>
            </w:r>
          </w:p>
        </w:tc>
      </w:tr>
      <w:tr w:rsidR="00B848CB" w:rsidRPr="00B848CB" w14:paraId="7ED3515A" w14:textId="77777777" w:rsidTr="00B848CB">
        <w:trPr>
          <w:tblCellSpacing w:w="15" w:type="dxa"/>
        </w:trPr>
        <w:tc>
          <w:tcPr>
            <w:tcW w:w="0" w:type="auto"/>
            <w:vAlign w:val="center"/>
            <w:hideMark/>
          </w:tcPr>
          <w:p w14:paraId="402DF956" w14:textId="77777777" w:rsidR="00B848CB" w:rsidRPr="00B848CB" w:rsidRDefault="00B848CB" w:rsidP="00B848CB">
            <w:pPr>
              <w:rPr>
                <w:sz w:val="20"/>
                <w:szCs w:val="20"/>
              </w:rPr>
            </w:pPr>
            <w:r w:rsidRPr="00B848CB">
              <w:rPr>
                <w:b/>
                <w:bCs/>
                <w:sz w:val="20"/>
                <w:szCs w:val="20"/>
              </w:rPr>
              <w:t>Public Participation</w:t>
            </w:r>
          </w:p>
        </w:tc>
        <w:tc>
          <w:tcPr>
            <w:tcW w:w="0" w:type="auto"/>
            <w:vAlign w:val="center"/>
            <w:hideMark/>
          </w:tcPr>
          <w:p w14:paraId="3EC32CD6" w14:textId="77777777" w:rsidR="00B848CB" w:rsidRPr="00B848CB" w:rsidRDefault="00B848CB" w:rsidP="00B848CB">
            <w:pPr>
              <w:rPr>
                <w:sz w:val="20"/>
                <w:szCs w:val="20"/>
              </w:rPr>
            </w:pPr>
            <w:r w:rsidRPr="00B848CB">
              <w:rPr>
                <w:sz w:val="20"/>
                <w:szCs w:val="20"/>
              </w:rPr>
              <w:t>Limited</w:t>
            </w:r>
          </w:p>
        </w:tc>
        <w:tc>
          <w:tcPr>
            <w:tcW w:w="0" w:type="auto"/>
            <w:vAlign w:val="center"/>
            <w:hideMark/>
          </w:tcPr>
          <w:p w14:paraId="609BEA5A" w14:textId="77777777" w:rsidR="00B848CB" w:rsidRPr="00B848CB" w:rsidRDefault="00B848CB" w:rsidP="00B848CB">
            <w:pPr>
              <w:rPr>
                <w:sz w:val="20"/>
                <w:szCs w:val="20"/>
              </w:rPr>
            </w:pPr>
            <w:r w:rsidRPr="00B848CB">
              <w:rPr>
                <w:sz w:val="20"/>
                <w:szCs w:val="20"/>
              </w:rPr>
              <w:t>Moderate</w:t>
            </w:r>
          </w:p>
        </w:tc>
        <w:tc>
          <w:tcPr>
            <w:tcW w:w="0" w:type="auto"/>
            <w:vAlign w:val="center"/>
            <w:hideMark/>
          </w:tcPr>
          <w:p w14:paraId="587A6C04" w14:textId="77777777" w:rsidR="00B848CB" w:rsidRPr="00B848CB" w:rsidRDefault="00B848CB" w:rsidP="00B848CB">
            <w:pPr>
              <w:rPr>
                <w:sz w:val="20"/>
                <w:szCs w:val="20"/>
              </w:rPr>
            </w:pPr>
            <w:r w:rsidRPr="00B848CB">
              <w:rPr>
                <w:sz w:val="20"/>
                <w:szCs w:val="20"/>
              </w:rPr>
              <w:t>High</w:t>
            </w:r>
          </w:p>
        </w:tc>
        <w:tc>
          <w:tcPr>
            <w:tcW w:w="0" w:type="auto"/>
            <w:vAlign w:val="center"/>
            <w:hideMark/>
          </w:tcPr>
          <w:p w14:paraId="6B8EAFD0" w14:textId="77777777" w:rsidR="00B848CB" w:rsidRPr="00B848CB" w:rsidRDefault="00B848CB" w:rsidP="00B848CB">
            <w:pPr>
              <w:rPr>
                <w:sz w:val="20"/>
                <w:szCs w:val="20"/>
              </w:rPr>
            </w:pPr>
            <w:r w:rsidRPr="00B848CB">
              <w:rPr>
                <w:sz w:val="20"/>
                <w:szCs w:val="20"/>
              </w:rPr>
              <w:t>High (multi-stakeholder)</w:t>
            </w:r>
          </w:p>
        </w:tc>
        <w:tc>
          <w:tcPr>
            <w:tcW w:w="0" w:type="auto"/>
            <w:vAlign w:val="center"/>
            <w:hideMark/>
          </w:tcPr>
          <w:p w14:paraId="5BFBC103" w14:textId="77777777" w:rsidR="00B848CB" w:rsidRPr="00B848CB" w:rsidRDefault="00B848CB" w:rsidP="00B848CB">
            <w:pPr>
              <w:rPr>
                <w:sz w:val="20"/>
                <w:szCs w:val="20"/>
              </w:rPr>
            </w:pPr>
            <w:r w:rsidRPr="00B848CB">
              <w:rPr>
                <w:sz w:val="20"/>
                <w:szCs w:val="20"/>
              </w:rPr>
              <w:t>Moderate</w:t>
            </w:r>
          </w:p>
        </w:tc>
        <w:tc>
          <w:tcPr>
            <w:tcW w:w="0" w:type="auto"/>
            <w:vAlign w:val="center"/>
            <w:hideMark/>
          </w:tcPr>
          <w:p w14:paraId="64287311" w14:textId="77777777" w:rsidR="00B848CB" w:rsidRPr="00B848CB" w:rsidRDefault="00B848CB" w:rsidP="00B848CB">
            <w:pPr>
              <w:rPr>
                <w:sz w:val="20"/>
                <w:szCs w:val="20"/>
              </w:rPr>
            </w:pPr>
            <w:r w:rsidRPr="00B848CB">
              <w:rPr>
                <w:sz w:val="20"/>
                <w:szCs w:val="20"/>
              </w:rPr>
              <w:t>High (public consultations)</w:t>
            </w:r>
          </w:p>
        </w:tc>
      </w:tr>
    </w:tbl>
    <w:p w14:paraId="0BE4E568" w14:textId="77777777" w:rsidR="00B848CB" w:rsidRPr="00B848CB" w:rsidRDefault="00000000" w:rsidP="00B848CB">
      <w:r>
        <w:pict w14:anchorId="730B2DA1">
          <v:rect id="_x0000_i1029" style="width:0;height:1.5pt" o:hralign="center" o:hrstd="t" o:hr="t" fillcolor="#a0a0a0" stroked="f"/>
        </w:pict>
      </w:r>
    </w:p>
    <w:p w14:paraId="2C79C4C1" w14:textId="77777777" w:rsidR="00B848CB" w:rsidRDefault="00B848CB" w:rsidP="00B848CB">
      <w:pPr>
        <w:rPr>
          <w:b/>
          <w:bCs/>
        </w:rPr>
      </w:pPr>
    </w:p>
    <w:p w14:paraId="38DF8357" w14:textId="77777777" w:rsidR="00B848CB" w:rsidRDefault="00B848CB" w:rsidP="00B848CB">
      <w:pPr>
        <w:rPr>
          <w:b/>
          <w:bCs/>
        </w:rPr>
      </w:pPr>
    </w:p>
    <w:p w14:paraId="6741760F" w14:textId="567DF2FC" w:rsidR="00B848CB" w:rsidRPr="00B848CB" w:rsidRDefault="00B848CB" w:rsidP="00B848CB">
      <w:pPr>
        <w:rPr>
          <w:b/>
          <w:bCs/>
        </w:rPr>
      </w:pPr>
      <w:r w:rsidRPr="00B848CB">
        <w:rPr>
          <w:b/>
          <w:bCs/>
        </w:rPr>
        <w:lastRenderedPageBreak/>
        <w:t>3.4 Lessons for Bangladesh</w:t>
      </w:r>
    </w:p>
    <w:p w14:paraId="555B0EE4" w14:textId="77777777" w:rsidR="00B848CB" w:rsidRPr="00B848CB" w:rsidRDefault="00B848CB" w:rsidP="00B848CB">
      <w:r w:rsidRPr="00B848CB">
        <w:t>The global comparison reveals that while Bangladesh has made legislative efforts in the cyber domain, these laws often lack the scope, precision, and protections found in international frameworks. Countries like Germany and Canada have focused on citizen rights, consent-based data collection, and independent oversight. The UK and Japan emphasize transparency and early public education on cybersecurity. The USA leads in critical infrastructure protection and technological innovation, though it too faces debates around privacy.</w:t>
      </w:r>
    </w:p>
    <w:p w14:paraId="21571AD2" w14:textId="77777777" w:rsidR="00B848CB" w:rsidRPr="00B848CB" w:rsidRDefault="00B848CB" w:rsidP="00B848CB">
      <w:r w:rsidRPr="00B848CB">
        <w:t>To bridge this gap, Bangladesh must develop laws that:</w:t>
      </w:r>
    </w:p>
    <w:p w14:paraId="25ACA389" w14:textId="77777777" w:rsidR="00B848CB" w:rsidRPr="00B848CB" w:rsidRDefault="00B848CB" w:rsidP="00B848CB">
      <w:pPr>
        <w:numPr>
          <w:ilvl w:val="0"/>
          <w:numId w:val="12"/>
        </w:numPr>
      </w:pPr>
      <w:r w:rsidRPr="00B848CB">
        <w:t>Clearly define digital rights and responsibilities.</w:t>
      </w:r>
    </w:p>
    <w:p w14:paraId="6B0A8FEA" w14:textId="77777777" w:rsidR="00B848CB" w:rsidRPr="00B848CB" w:rsidRDefault="00B848CB" w:rsidP="00B848CB">
      <w:pPr>
        <w:numPr>
          <w:ilvl w:val="0"/>
          <w:numId w:val="12"/>
        </w:numPr>
      </w:pPr>
      <w:r w:rsidRPr="00B848CB">
        <w:t>Incorporate judicial oversight and public input.</w:t>
      </w:r>
    </w:p>
    <w:p w14:paraId="0F3FF959" w14:textId="77777777" w:rsidR="00B848CB" w:rsidRPr="00B848CB" w:rsidRDefault="00B848CB" w:rsidP="00B848CB">
      <w:pPr>
        <w:numPr>
          <w:ilvl w:val="0"/>
          <w:numId w:val="12"/>
        </w:numPr>
      </w:pPr>
      <w:r w:rsidRPr="00B848CB">
        <w:t>Protect data with a rights-based approach.</w:t>
      </w:r>
    </w:p>
    <w:p w14:paraId="244D9031" w14:textId="77777777" w:rsidR="00B848CB" w:rsidRPr="00B848CB" w:rsidRDefault="00B848CB" w:rsidP="00B848CB">
      <w:pPr>
        <w:numPr>
          <w:ilvl w:val="0"/>
          <w:numId w:val="12"/>
        </w:numPr>
      </w:pPr>
      <w:r w:rsidRPr="00B848CB">
        <w:t>Regulate AI and emerging technologies with ethical safeguards.</w:t>
      </w:r>
    </w:p>
    <w:p w14:paraId="4EA17EDE" w14:textId="77777777" w:rsidR="00B848CB" w:rsidRPr="00B848CB" w:rsidRDefault="00B848CB" w:rsidP="00B848CB">
      <w:pPr>
        <w:numPr>
          <w:ilvl w:val="0"/>
          <w:numId w:val="12"/>
        </w:numPr>
      </w:pPr>
      <w:r w:rsidRPr="00B848CB">
        <w:t>Embrace regional and international collaboration.</w:t>
      </w:r>
    </w:p>
    <w:p w14:paraId="0124BD05" w14:textId="77777777" w:rsidR="00B848CB" w:rsidRPr="00B848CB" w:rsidRDefault="00000000" w:rsidP="00B848CB">
      <w:r>
        <w:pict w14:anchorId="7F1EEC9A">
          <v:rect id="_x0000_i1030" style="width:0;height:1.5pt" o:hralign="center" o:hrstd="t" o:hr="t" fillcolor="#a0a0a0" stroked="f"/>
        </w:pict>
      </w:r>
    </w:p>
    <w:p w14:paraId="79742A9A" w14:textId="77777777" w:rsidR="00B848CB" w:rsidRPr="00B848CB" w:rsidRDefault="00B848CB" w:rsidP="00B848CB">
      <w:pPr>
        <w:rPr>
          <w:b/>
          <w:bCs/>
        </w:rPr>
      </w:pPr>
      <w:r w:rsidRPr="00B848CB">
        <w:rPr>
          <w:b/>
          <w:bCs/>
        </w:rPr>
        <w:t>4. Proposed Legal Reforms</w:t>
      </w:r>
    </w:p>
    <w:p w14:paraId="78934237" w14:textId="77777777" w:rsidR="00B848CB" w:rsidRPr="00B848CB" w:rsidRDefault="00B848CB" w:rsidP="00B848CB">
      <w:pPr>
        <w:rPr>
          <w:b/>
          <w:bCs/>
        </w:rPr>
      </w:pPr>
      <w:r w:rsidRPr="00B848CB">
        <w:rPr>
          <w:b/>
          <w:bCs/>
        </w:rPr>
        <w:t>4.1 National Data Protection and Privacy Law</w:t>
      </w:r>
    </w:p>
    <w:p w14:paraId="44602F7E" w14:textId="77777777" w:rsidR="00B848CB" w:rsidRPr="00B848CB" w:rsidRDefault="00B848CB" w:rsidP="00B848CB">
      <w:r w:rsidRPr="00B848CB">
        <w:rPr>
          <w:b/>
          <w:bCs/>
        </w:rPr>
        <w:t>Why it matters:</w:t>
      </w:r>
      <w:r w:rsidRPr="00B848CB">
        <w:br/>
        <w:t>With increased digitization, personal data is constantly collected by governments, corporations, and digital platforms. Without a robust legal framework, this information is prone to misuse.</w:t>
      </w:r>
    </w:p>
    <w:p w14:paraId="390AC3D3" w14:textId="77777777" w:rsidR="00B848CB" w:rsidRPr="00B848CB" w:rsidRDefault="00B848CB" w:rsidP="00B848CB">
      <w:r w:rsidRPr="00B848CB">
        <w:rPr>
          <w:b/>
          <w:bCs/>
        </w:rPr>
        <w:t>Proposed actions:</w:t>
      </w:r>
    </w:p>
    <w:p w14:paraId="6D074154" w14:textId="77777777" w:rsidR="00B848CB" w:rsidRPr="00B848CB" w:rsidRDefault="00B848CB" w:rsidP="00B848CB">
      <w:pPr>
        <w:numPr>
          <w:ilvl w:val="0"/>
          <w:numId w:val="3"/>
        </w:numPr>
      </w:pPr>
      <w:r w:rsidRPr="00B848CB">
        <w:t xml:space="preserve">Enact a standalone </w:t>
      </w:r>
      <w:r w:rsidRPr="00B848CB">
        <w:rPr>
          <w:b/>
          <w:bCs/>
        </w:rPr>
        <w:t>Data Protection Act</w:t>
      </w:r>
      <w:r w:rsidRPr="00B848CB">
        <w:t xml:space="preserve"> that clearly defines what constitutes personal data and establishes legal rights for data subjects.</w:t>
      </w:r>
    </w:p>
    <w:p w14:paraId="4A621EE3" w14:textId="77777777" w:rsidR="00B848CB" w:rsidRPr="00B848CB" w:rsidRDefault="00B848CB" w:rsidP="00B848CB">
      <w:pPr>
        <w:numPr>
          <w:ilvl w:val="0"/>
          <w:numId w:val="3"/>
        </w:numPr>
      </w:pPr>
      <w:r w:rsidRPr="00B848CB">
        <w:t xml:space="preserve">Set up an </w:t>
      </w:r>
      <w:r w:rsidRPr="00B848CB">
        <w:rPr>
          <w:b/>
          <w:bCs/>
        </w:rPr>
        <w:t>independent Data Protection Authority</w:t>
      </w:r>
      <w:r w:rsidRPr="00B848CB">
        <w:t xml:space="preserve"> to enforce compliance and manage grievances.</w:t>
      </w:r>
    </w:p>
    <w:p w14:paraId="3147CF8B" w14:textId="77777777" w:rsidR="00B848CB" w:rsidRDefault="00B848CB" w:rsidP="00B848CB">
      <w:pPr>
        <w:numPr>
          <w:ilvl w:val="0"/>
          <w:numId w:val="3"/>
        </w:numPr>
      </w:pPr>
      <w:r w:rsidRPr="00B848CB">
        <w:t>Require informed, opt-in consent for all data collection, especially by online platforms and government services.</w:t>
      </w:r>
    </w:p>
    <w:p w14:paraId="334C9A82" w14:textId="77777777" w:rsidR="00B848CB" w:rsidRDefault="00B848CB" w:rsidP="00B848CB"/>
    <w:p w14:paraId="7E401D77" w14:textId="77777777" w:rsidR="00B848CB" w:rsidRPr="00B848CB" w:rsidRDefault="00B848CB" w:rsidP="00B848CB"/>
    <w:p w14:paraId="2AF1E29C" w14:textId="77777777" w:rsidR="00B848CB" w:rsidRPr="00B848CB" w:rsidRDefault="00B848CB" w:rsidP="00B848CB">
      <w:pPr>
        <w:rPr>
          <w:b/>
          <w:bCs/>
        </w:rPr>
      </w:pPr>
      <w:r w:rsidRPr="00B848CB">
        <w:rPr>
          <w:b/>
          <w:bCs/>
        </w:rPr>
        <w:lastRenderedPageBreak/>
        <w:t>4.2 AI Accountability and Ethical Use Law</w:t>
      </w:r>
    </w:p>
    <w:p w14:paraId="1C8F4FB8" w14:textId="77777777" w:rsidR="00B848CB" w:rsidRPr="00B848CB" w:rsidRDefault="00B848CB" w:rsidP="00B848CB">
      <w:r w:rsidRPr="00B848CB">
        <w:rPr>
          <w:b/>
          <w:bCs/>
        </w:rPr>
        <w:t>Why it matters:</w:t>
      </w:r>
      <w:r w:rsidRPr="00B848CB">
        <w:br/>
        <w:t>AI technologies are increasingly used in decision-making systems—such as credit scoring, hiring, and predictive policing—but without legal safeguards, they risk amplifying bias, discrimination, and misinformation.</w:t>
      </w:r>
    </w:p>
    <w:p w14:paraId="40F1FF8A" w14:textId="77777777" w:rsidR="00B848CB" w:rsidRPr="00B848CB" w:rsidRDefault="00B848CB" w:rsidP="00B848CB">
      <w:r w:rsidRPr="00B848CB">
        <w:rPr>
          <w:b/>
          <w:bCs/>
        </w:rPr>
        <w:t>Proposed actions:</w:t>
      </w:r>
    </w:p>
    <w:p w14:paraId="1EE525BB" w14:textId="77777777" w:rsidR="00B848CB" w:rsidRPr="00B848CB" w:rsidRDefault="00B848CB" w:rsidP="00B848CB">
      <w:pPr>
        <w:numPr>
          <w:ilvl w:val="0"/>
          <w:numId w:val="4"/>
        </w:numPr>
      </w:pPr>
      <w:r w:rsidRPr="00B848CB">
        <w:t xml:space="preserve">Introduce a </w:t>
      </w:r>
      <w:r w:rsidRPr="00B848CB">
        <w:rPr>
          <w:b/>
          <w:bCs/>
        </w:rPr>
        <w:t>Right to Explanation</w:t>
      </w:r>
      <w:r w:rsidRPr="00B848CB">
        <w:t xml:space="preserve"> for individuals affected by automated decision-making.</w:t>
      </w:r>
    </w:p>
    <w:p w14:paraId="57E52D2E" w14:textId="77777777" w:rsidR="00B848CB" w:rsidRPr="00B848CB" w:rsidRDefault="00B848CB" w:rsidP="00B848CB">
      <w:pPr>
        <w:numPr>
          <w:ilvl w:val="0"/>
          <w:numId w:val="4"/>
        </w:numPr>
      </w:pPr>
      <w:r w:rsidRPr="00B848CB">
        <w:t xml:space="preserve">Mandate </w:t>
      </w:r>
      <w:r w:rsidRPr="00B848CB">
        <w:rPr>
          <w:b/>
          <w:bCs/>
        </w:rPr>
        <w:t>algorithmic audits</w:t>
      </w:r>
      <w:r w:rsidRPr="00B848CB">
        <w:t xml:space="preserve"> and bias-testing for high-risk AI applications.</w:t>
      </w:r>
    </w:p>
    <w:p w14:paraId="0E032B09" w14:textId="77777777" w:rsidR="00B848CB" w:rsidRPr="00B848CB" w:rsidRDefault="00B848CB" w:rsidP="00B848CB">
      <w:pPr>
        <w:numPr>
          <w:ilvl w:val="0"/>
          <w:numId w:val="4"/>
        </w:numPr>
      </w:pPr>
      <w:r w:rsidRPr="00B848CB">
        <w:t xml:space="preserve">Prohibit the deployment of </w:t>
      </w:r>
      <w:r w:rsidRPr="00B848CB">
        <w:rPr>
          <w:b/>
          <w:bCs/>
        </w:rPr>
        <w:t>autonomous lethal AI systems</w:t>
      </w:r>
      <w:r w:rsidRPr="00B848CB">
        <w:t>, aligning with global humanitarian guidelines.</w:t>
      </w:r>
    </w:p>
    <w:p w14:paraId="2A96AC45" w14:textId="77777777" w:rsidR="00B848CB" w:rsidRPr="00B848CB" w:rsidRDefault="00B848CB" w:rsidP="00B848CB">
      <w:pPr>
        <w:rPr>
          <w:b/>
          <w:bCs/>
        </w:rPr>
      </w:pPr>
      <w:r w:rsidRPr="00B848CB">
        <w:rPr>
          <w:b/>
          <w:bCs/>
        </w:rPr>
        <w:t>4.3 Quantum-Resilient Cybersecurity Framework</w:t>
      </w:r>
    </w:p>
    <w:p w14:paraId="715BAF27" w14:textId="77777777" w:rsidR="00B848CB" w:rsidRPr="00B848CB" w:rsidRDefault="00B848CB" w:rsidP="00B848CB">
      <w:r w:rsidRPr="00B848CB">
        <w:rPr>
          <w:b/>
          <w:bCs/>
        </w:rPr>
        <w:t>Why it matters:</w:t>
      </w:r>
      <w:r w:rsidRPr="00B848CB">
        <w:br/>
        <w:t>Quantum computing poses a major threat to traditional encryption methods. Without timely preparation, critical infrastructure and sensitive data could be exposed.</w:t>
      </w:r>
    </w:p>
    <w:p w14:paraId="655B4E12" w14:textId="77777777" w:rsidR="00B848CB" w:rsidRPr="00B848CB" w:rsidRDefault="00B848CB" w:rsidP="00B848CB">
      <w:r w:rsidRPr="00B848CB">
        <w:rPr>
          <w:b/>
          <w:bCs/>
        </w:rPr>
        <w:t>Proposed actions:</w:t>
      </w:r>
    </w:p>
    <w:p w14:paraId="7ACEFFBF" w14:textId="77777777" w:rsidR="00B848CB" w:rsidRPr="00B848CB" w:rsidRDefault="00B848CB" w:rsidP="00B848CB">
      <w:pPr>
        <w:numPr>
          <w:ilvl w:val="0"/>
          <w:numId w:val="5"/>
        </w:numPr>
      </w:pPr>
      <w:r w:rsidRPr="00B848CB">
        <w:t xml:space="preserve">Require public and financial institutions to adopt </w:t>
      </w:r>
      <w:r w:rsidRPr="00B848CB">
        <w:rPr>
          <w:b/>
          <w:bCs/>
        </w:rPr>
        <w:t>quantum-safe encryption</w:t>
      </w:r>
      <w:r w:rsidRPr="00B848CB">
        <w:t xml:space="preserve"> by 2030.</w:t>
      </w:r>
    </w:p>
    <w:p w14:paraId="72364236" w14:textId="77777777" w:rsidR="00B848CB" w:rsidRPr="00B848CB" w:rsidRDefault="00B848CB" w:rsidP="00B848CB">
      <w:pPr>
        <w:numPr>
          <w:ilvl w:val="0"/>
          <w:numId w:val="5"/>
        </w:numPr>
      </w:pPr>
      <w:r w:rsidRPr="00B848CB">
        <w:t xml:space="preserve">Establish a </w:t>
      </w:r>
      <w:r w:rsidRPr="00B848CB">
        <w:rPr>
          <w:b/>
          <w:bCs/>
        </w:rPr>
        <w:t>Quantum Cyber Defense Research Unit</w:t>
      </w:r>
      <w:r w:rsidRPr="00B848CB">
        <w:t xml:space="preserve"> under the ICT Division to promote domestic capability and international collaboration.</w:t>
      </w:r>
    </w:p>
    <w:p w14:paraId="26970D53" w14:textId="77777777" w:rsidR="00B848CB" w:rsidRPr="00B848CB" w:rsidRDefault="00B848CB" w:rsidP="00B848CB">
      <w:pPr>
        <w:rPr>
          <w:b/>
          <w:bCs/>
        </w:rPr>
      </w:pPr>
      <w:r w:rsidRPr="00B848CB">
        <w:rPr>
          <w:b/>
          <w:bCs/>
        </w:rPr>
        <w:t>4.4 Digital Rights in Virtual and Augmented Environments</w:t>
      </w:r>
    </w:p>
    <w:p w14:paraId="0BE6FECD" w14:textId="77777777" w:rsidR="00B848CB" w:rsidRPr="00B848CB" w:rsidRDefault="00B848CB" w:rsidP="00B848CB">
      <w:r w:rsidRPr="00B848CB">
        <w:rPr>
          <w:b/>
          <w:bCs/>
        </w:rPr>
        <w:t>Why it matters:</w:t>
      </w:r>
      <w:r w:rsidRPr="00B848CB">
        <w:br/>
        <w:t>With the rise of immersive technologies such as the metaverse, users are increasingly exposed to new forms of virtual harm—such as avatar impersonation, digital harassment, and theft of virtual assets.</w:t>
      </w:r>
    </w:p>
    <w:p w14:paraId="37C9A330" w14:textId="77777777" w:rsidR="00B848CB" w:rsidRPr="00B848CB" w:rsidRDefault="00B848CB" w:rsidP="00B848CB">
      <w:r w:rsidRPr="00B848CB">
        <w:rPr>
          <w:b/>
          <w:bCs/>
        </w:rPr>
        <w:t>Proposed actions:</w:t>
      </w:r>
    </w:p>
    <w:p w14:paraId="4D86426D" w14:textId="77777777" w:rsidR="00B848CB" w:rsidRPr="00B848CB" w:rsidRDefault="00B848CB" w:rsidP="00B848CB">
      <w:pPr>
        <w:numPr>
          <w:ilvl w:val="0"/>
          <w:numId w:val="6"/>
        </w:numPr>
      </w:pPr>
      <w:r w:rsidRPr="00B848CB">
        <w:t xml:space="preserve">Recognize </w:t>
      </w:r>
      <w:r w:rsidRPr="00B848CB">
        <w:rPr>
          <w:b/>
          <w:bCs/>
        </w:rPr>
        <w:t>digital identity and virtual assets</w:t>
      </w:r>
      <w:r w:rsidRPr="00B848CB">
        <w:t xml:space="preserve"> under the law.</w:t>
      </w:r>
    </w:p>
    <w:p w14:paraId="32AF2F35" w14:textId="77777777" w:rsidR="00B848CB" w:rsidRPr="00B848CB" w:rsidRDefault="00B848CB" w:rsidP="00B848CB">
      <w:pPr>
        <w:numPr>
          <w:ilvl w:val="0"/>
          <w:numId w:val="6"/>
        </w:numPr>
      </w:pPr>
      <w:r w:rsidRPr="00B848CB">
        <w:t xml:space="preserve">Criminalize </w:t>
      </w:r>
      <w:r w:rsidRPr="00B848CB">
        <w:rPr>
          <w:b/>
          <w:bCs/>
        </w:rPr>
        <w:t>avatar impersonation, virtual stalking, and digital property theft</w:t>
      </w:r>
      <w:r w:rsidRPr="00B848CB">
        <w:t>.</w:t>
      </w:r>
    </w:p>
    <w:p w14:paraId="05B2D568" w14:textId="77777777" w:rsidR="00B848CB" w:rsidRPr="00B848CB" w:rsidRDefault="00B848CB" w:rsidP="00B848CB">
      <w:pPr>
        <w:numPr>
          <w:ilvl w:val="0"/>
          <w:numId w:val="6"/>
        </w:numPr>
      </w:pPr>
      <w:r w:rsidRPr="00B848CB">
        <w:t xml:space="preserve">Develop </w:t>
      </w:r>
      <w:r w:rsidRPr="00B848CB">
        <w:rPr>
          <w:b/>
          <w:bCs/>
        </w:rPr>
        <w:t>“virtual courts”</w:t>
      </w:r>
      <w:r w:rsidRPr="00B848CB">
        <w:t xml:space="preserve"> to resolve disputes arising in digital platforms.</w:t>
      </w:r>
    </w:p>
    <w:p w14:paraId="38B19F65" w14:textId="77777777" w:rsidR="00B848CB" w:rsidRPr="00B848CB" w:rsidRDefault="00B848CB" w:rsidP="00B848CB">
      <w:pPr>
        <w:rPr>
          <w:b/>
          <w:bCs/>
        </w:rPr>
      </w:pPr>
      <w:r w:rsidRPr="00B848CB">
        <w:rPr>
          <w:b/>
          <w:bCs/>
        </w:rPr>
        <w:t>4.5 Establishment of a National Digital Resilience Council (NDRC)</w:t>
      </w:r>
    </w:p>
    <w:p w14:paraId="113CAA67" w14:textId="77777777" w:rsidR="00B848CB" w:rsidRPr="00B848CB" w:rsidRDefault="00B848CB" w:rsidP="00B848CB">
      <w:r w:rsidRPr="00B848CB">
        <w:rPr>
          <w:b/>
          <w:bCs/>
        </w:rPr>
        <w:lastRenderedPageBreak/>
        <w:t>Why it matters:</w:t>
      </w:r>
      <w:r w:rsidRPr="00B848CB">
        <w:br/>
        <w:t>Cybersecurity efforts in Bangladesh are currently fragmented across different agencies and ministries. A coordinated, multidisciplinary body is essential to anticipate threats and formulate inclusive policies.</w:t>
      </w:r>
    </w:p>
    <w:p w14:paraId="5F61FA8C" w14:textId="77777777" w:rsidR="00B848CB" w:rsidRPr="00B848CB" w:rsidRDefault="00B848CB" w:rsidP="00B848CB">
      <w:r w:rsidRPr="00B848CB">
        <w:rPr>
          <w:b/>
          <w:bCs/>
        </w:rPr>
        <w:t>Proposed actions:</w:t>
      </w:r>
    </w:p>
    <w:p w14:paraId="4CD5B17D" w14:textId="77777777" w:rsidR="00B848CB" w:rsidRPr="00B848CB" w:rsidRDefault="00B848CB" w:rsidP="00B848CB">
      <w:pPr>
        <w:numPr>
          <w:ilvl w:val="0"/>
          <w:numId w:val="7"/>
        </w:numPr>
      </w:pPr>
      <w:r w:rsidRPr="00B848CB">
        <w:t xml:space="preserve">Form the </w:t>
      </w:r>
      <w:r w:rsidRPr="00B848CB">
        <w:rPr>
          <w:b/>
          <w:bCs/>
        </w:rPr>
        <w:t>NDRC</w:t>
      </w:r>
      <w:r w:rsidRPr="00B848CB">
        <w:t xml:space="preserve"> as a permanent body consisting of legal experts, technologists, ethicists, educators, and youth representatives.</w:t>
      </w:r>
    </w:p>
    <w:p w14:paraId="3D06E014" w14:textId="77777777" w:rsidR="00B848CB" w:rsidRPr="00B848CB" w:rsidRDefault="00B848CB" w:rsidP="00B848CB">
      <w:pPr>
        <w:numPr>
          <w:ilvl w:val="0"/>
          <w:numId w:val="7"/>
        </w:numPr>
      </w:pPr>
      <w:r w:rsidRPr="00B848CB">
        <w:t xml:space="preserve">Conduct </w:t>
      </w:r>
      <w:r w:rsidRPr="00B848CB">
        <w:rPr>
          <w:b/>
          <w:bCs/>
        </w:rPr>
        <w:t>annual reviews of cyber legislation</w:t>
      </w:r>
      <w:r w:rsidRPr="00B848CB">
        <w:t xml:space="preserve"> and oversee implementation.</w:t>
      </w:r>
    </w:p>
    <w:p w14:paraId="4BCF26AC" w14:textId="77777777" w:rsidR="00B848CB" w:rsidRPr="00B848CB" w:rsidRDefault="00B848CB" w:rsidP="00B848CB">
      <w:pPr>
        <w:numPr>
          <w:ilvl w:val="0"/>
          <w:numId w:val="7"/>
        </w:numPr>
      </w:pPr>
      <w:r w:rsidRPr="00B848CB">
        <w:t xml:space="preserve">Launch </w:t>
      </w:r>
      <w:r w:rsidRPr="00B848CB">
        <w:rPr>
          <w:b/>
          <w:bCs/>
        </w:rPr>
        <w:t>nationwide digital literacy programs</w:t>
      </w:r>
      <w:r w:rsidRPr="00B848CB">
        <w:t>, particularly focused on youth, rural communities, and vulnerable populations.</w:t>
      </w:r>
    </w:p>
    <w:p w14:paraId="650B724B" w14:textId="77777777" w:rsidR="00B848CB" w:rsidRPr="00B848CB" w:rsidRDefault="00B848CB" w:rsidP="00B848CB">
      <w:pPr>
        <w:rPr>
          <w:b/>
          <w:bCs/>
        </w:rPr>
      </w:pPr>
      <w:r w:rsidRPr="00B848CB">
        <w:rPr>
          <w:b/>
          <w:bCs/>
        </w:rPr>
        <w:t>4.6 Regional Cyber Peace and Cooperation Framework</w:t>
      </w:r>
    </w:p>
    <w:p w14:paraId="032C90F9" w14:textId="77777777" w:rsidR="00B848CB" w:rsidRPr="00B848CB" w:rsidRDefault="00B848CB" w:rsidP="00B848CB">
      <w:r w:rsidRPr="00B848CB">
        <w:rPr>
          <w:b/>
          <w:bCs/>
        </w:rPr>
        <w:t>Why it matters:</w:t>
      </w:r>
      <w:r w:rsidRPr="00B848CB">
        <w:br/>
        <w:t>Cyber threats often transcend borders. Regional collaboration can enhance collective response and capacity-building.</w:t>
      </w:r>
    </w:p>
    <w:p w14:paraId="5FC25F3F" w14:textId="77777777" w:rsidR="00B848CB" w:rsidRPr="00B848CB" w:rsidRDefault="00B848CB" w:rsidP="00B848CB">
      <w:r w:rsidRPr="00B848CB">
        <w:rPr>
          <w:b/>
          <w:bCs/>
        </w:rPr>
        <w:t>Proposed actions:</w:t>
      </w:r>
    </w:p>
    <w:p w14:paraId="3ECCD5F8" w14:textId="77777777" w:rsidR="00B848CB" w:rsidRPr="00B848CB" w:rsidRDefault="00B848CB" w:rsidP="00B848CB">
      <w:pPr>
        <w:numPr>
          <w:ilvl w:val="0"/>
          <w:numId w:val="8"/>
        </w:numPr>
      </w:pPr>
      <w:r w:rsidRPr="00B848CB">
        <w:t xml:space="preserve">Initiate a </w:t>
      </w:r>
      <w:r w:rsidRPr="00B848CB">
        <w:rPr>
          <w:b/>
          <w:bCs/>
        </w:rPr>
        <w:t>South Asia Cybersecurity Alliance</w:t>
      </w:r>
      <w:r w:rsidRPr="00B848CB">
        <w:t xml:space="preserve"> with neighboring countries.</w:t>
      </w:r>
    </w:p>
    <w:p w14:paraId="53397305" w14:textId="77777777" w:rsidR="00B848CB" w:rsidRPr="00B848CB" w:rsidRDefault="00B848CB" w:rsidP="00B848CB">
      <w:pPr>
        <w:numPr>
          <w:ilvl w:val="0"/>
          <w:numId w:val="8"/>
        </w:numPr>
      </w:pPr>
      <w:r w:rsidRPr="00B848CB">
        <w:t xml:space="preserve">Develop joint </w:t>
      </w:r>
      <w:r w:rsidRPr="00B848CB">
        <w:rPr>
          <w:b/>
          <w:bCs/>
        </w:rPr>
        <w:t>incident response protocols</w:t>
      </w:r>
      <w:r w:rsidRPr="00B848CB">
        <w:t>, training programs, and investigative tools.</w:t>
      </w:r>
    </w:p>
    <w:p w14:paraId="5DFE5E2E" w14:textId="77777777" w:rsidR="00B848CB" w:rsidRPr="00B848CB" w:rsidRDefault="00B848CB" w:rsidP="00B848CB">
      <w:pPr>
        <w:numPr>
          <w:ilvl w:val="0"/>
          <w:numId w:val="8"/>
        </w:numPr>
      </w:pPr>
      <w:r w:rsidRPr="00B848CB">
        <w:t xml:space="preserve">Position Bangladesh as a </w:t>
      </w:r>
      <w:r w:rsidRPr="00B848CB">
        <w:rPr>
          <w:b/>
          <w:bCs/>
        </w:rPr>
        <w:t>regional hub</w:t>
      </w:r>
      <w:r w:rsidRPr="00B848CB">
        <w:t xml:space="preserve"> for ethical cyber governance and digital diplomacy.</w:t>
      </w:r>
    </w:p>
    <w:p w14:paraId="027002FA" w14:textId="77777777" w:rsidR="00B848CB" w:rsidRPr="00B848CB" w:rsidRDefault="00000000" w:rsidP="00B848CB">
      <w:r>
        <w:pict w14:anchorId="6067C774">
          <v:rect id="_x0000_i1031" style="width:0;height:1.5pt" o:hralign="center" o:hrstd="t" o:hr="t" fillcolor="#a0a0a0" stroked="f"/>
        </w:pict>
      </w:r>
    </w:p>
    <w:p w14:paraId="1E2ED264" w14:textId="77777777" w:rsidR="00B848CB" w:rsidRPr="00B848CB" w:rsidRDefault="00B848CB" w:rsidP="00B848CB">
      <w:pPr>
        <w:rPr>
          <w:b/>
          <w:bCs/>
        </w:rPr>
      </w:pPr>
      <w:r w:rsidRPr="00B848CB">
        <w:rPr>
          <w:b/>
          <w:bCs/>
        </w:rPr>
        <w:t>5. Expected Impact</w:t>
      </w:r>
    </w:p>
    <w:p w14:paraId="054A0832" w14:textId="77777777" w:rsidR="00B848CB" w:rsidRPr="00B848CB" w:rsidRDefault="00B848CB" w:rsidP="00B848CB">
      <w:r w:rsidRPr="00B848CB">
        <w:t>If implemented, these legal reforms will help:</w:t>
      </w:r>
    </w:p>
    <w:p w14:paraId="042923AF" w14:textId="77777777" w:rsidR="00B848CB" w:rsidRPr="00B848CB" w:rsidRDefault="00B848CB" w:rsidP="00B848CB">
      <w:pPr>
        <w:numPr>
          <w:ilvl w:val="0"/>
          <w:numId w:val="9"/>
        </w:numPr>
      </w:pPr>
      <w:r w:rsidRPr="00B848CB">
        <w:t>Establish a clear and enforceable digital rights regime.</w:t>
      </w:r>
    </w:p>
    <w:p w14:paraId="394AA8EC" w14:textId="77777777" w:rsidR="00B848CB" w:rsidRPr="00B848CB" w:rsidRDefault="00B848CB" w:rsidP="00B848CB">
      <w:pPr>
        <w:numPr>
          <w:ilvl w:val="0"/>
          <w:numId w:val="9"/>
        </w:numPr>
      </w:pPr>
      <w:r w:rsidRPr="00B848CB">
        <w:t>Strengthen public trust in digital platforms and government systems.</w:t>
      </w:r>
    </w:p>
    <w:p w14:paraId="003F2FFE" w14:textId="77777777" w:rsidR="00B848CB" w:rsidRPr="00B848CB" w:rsidRDefault="00B848CB" w:rsidP="00B848CB">
      <w:pPr>
        <w:numPr>
          <w:ilvl w:val="0"/>
          <w:numId w:val="9"/>
        </w:numPr>
      </w:pPr>
      <w:r w:rsidRPr="00B848CB">
        <w:t>Enhance Bangladesh’s readiness for emerging technologies.</w:t>
      </w:r>
    </w:p>
    <w:p w14:paraId="1320D6FA" w14:textId="77777777" w:rsidR="00B848CB" w:rsidRPr="00B848CB" w:rsidRDefault="00B848CB" w:rsidP="00B848CB">
      <w:pPr>
        <w:numPr>
          <w:ilvl w:val="0"/>
          <w:numId w:val="9"/>
        </w:numPr>
      </w:pPr>
      <w:r w:rsidRPr="00B848CB">
        <w:t>Foster international credibility and partnerships.</w:t>
      </w:r>
    </w:p>
    <w:p w14:paraId="6DE3F508" w14:textId="77777777" w:rsidR="00B848CB" w:rsidRPr="00B848CB" w:rsidRDefault="00B848CB" w:rsidP="00B848CB">
      <w:pPr>
        <w:numPr>
          <w:ilvl w:val="0"/>
          <w:numId w:val="9"/>
        </w:numPr>
      </w:pPr>
      <w:r w:rsidRPr="00B848CB">
        <w:t>Empower citizens through inclusive, rights-based digital governance.</w:t>
      </w:r>
    </w:p>
    <w:p w14:paraId="5D3C35A9" w14:textId="77777777" w:rsidR="00B848CB" w:rsidRPr="00B848CB" w:rsidRDefault="00000000" w:rsidP="00B848CB">
      <w:r>
        <w:pict w14:anchorId="085BA28F">
          <v:rect id="_x0000_i1032" style="width:0;height:1.5pt" o:hralign="center" o:hrstd="t" o:hr="t" fillcolor="#a0a0a0" stroked="f"/>
        </w:pict>
      </w:r>
    </w:p>
    <w:p w14:paraId="69E38D40" w14:textId="77777777" w:rsidR="00B848CB" w:rsidRPr="00B848CB" w:rsidRDefault="00B848CB" w:rsidP="00B848CB">
      <w:pPr>
        <w:rPr>
          <w:b/>
          <w:bCs/>
        </w:rPr>
      </w:pPr>
      <w:r w:rsidRPr="00B848CB">
        <w:rPr>
          <w:b/>
          <w:bCs/>
        </w:rPr>
        <w:lastRenderedPageBreak/>
        <w:t>6. Implementation 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7"/>
        <w:gridCol w:w="66"/>
        <w:gridCol w:w="66"/>
        <w:gridCol w:w="66"/>
        <w:gridCol w:w="1008"/>
        <w:gridCol w:w="66"/>
        <w:gridCol w:w="66"/>
        <w:gridCol w:w="4575"/>
      </w:tblGrid>
      <w:tr w:rsidR="00B848CB" w:rsidRPr="00B848CB" w14:paraId="51F7BC72" w14:textId="77777777" w:rsidTr="00076D3C">
        <w:trPr>
          <w:tblHeader/>
          <w:tblCellSpacing w:w="15" w:type="dxa"/>
        </w:trPr>
        <w:tc>
          <w:tcPr>
            <w:tcW w:w="0" w:type="auto"/>
            <w:vAlign w:val="center"/>
            <w:hideMark/>
          </w:tcPr>
          <w:p w14:paraId="59AECFED" w14:textId="77777777" w:rsidR="00B848CB" w:rsidRPr="00B848CB" w:rsidRDefault="00B848CB" w:rsidP="00B848CB">
            <w:pPr>
              <w:rPr>
                <w:b/>
                <w:bCs/>
              </w:rPr>
            </w:pPr>
            <w:r w:rsidRPr="00B848CB">
              <w:rPr>
                <w:b/>
                <w:bCs/>
              </w:rPr>
              <w:t>Phase</w:t>
            </w:r>
          </w:p>
        </w:tc>
        <w:tc>
          <w:tcPr>
            <w:tcW w:w="0" w:type="auto"/>
          </w:tcPr>
          <w:p w14:paraId="1F691D59" w14:textId="77777777" w:rsidR="00B848CB" w:rsidRPr="00B848CB" w:rsidRDefault="00B848CB" w:rsidP="00B848CB">
            <w:pPr>
              <w:rPr>
                <w:b/>
                <w:bCs/>
              </w:rPr>
            </w:pPr>
          </w:p>
        </w:tc>
        <w:tc>
          <w:tcPr>
            <w:tcW w:w="0" w:type="auto"/>
          </w:tcPr>
          <w:p w14:paraId="58B47C82" w14:textId="5C3604F5" w:rsidR="00B848CB" w:rsidRPr="00B848CB" w:rsidRDefault="00B848CB" w:rsidP="00B848CB">
            <w:pPr>
              <w:rPr>
                <w:b/>
                <w:bCs/>
              </w:rPr>
            </w:pPr>
          </w:p>
        </w:tc>
        <w:tc>
          <w:tcPr>
            <w:tcW w:w="0" w:type="auto"/>
          </w:tcPr>
          <w:p w14:paraId="102E98A5" w14:textId="4ECE3AD9" w:rsidR="00B848CB" w:rsidRPr="00B848CB" w:rsidRDefault="00B848CB" w:rsidP="00B848CB">
            <w:pPr>
              <w:rPr>
                <w:b/>
                <w:bCs/>
              </w:rPr>
            </w:pPr>
          </w:p>
        </w:tc>
        <w:tc>
          <w:tcPr>
            <w:tcW w:w="0" w:type="auto"/>
            <w:vAlign w:val="center"/>
            <w:hideMark/>
          </w:tcPr>
          <w:p w14:paraId="226BA4B8" w14:textId="2758AE97" w:rsidR="00B848CB" w:rsidRPr="00B848CB" w:rsidRDefault="00B848CB" w:rsidP="00B848CB">
            <w:pPr>
              <w:rPr>
                <w:b/>
                <w:bCs/>
              </w:rPr>
            </w:pPr>
            <w:r w:rsidRPr="00B848CB">
              <w:rPr>
                <w:b/>
                <w:bCs/>
              </w:rPr>
              <w:t>Duration</w:t>
            </w:r>
          </w:p>
        </w:tc>
        <w:tc>
          <w:tcPr>
            <w:tcW w:w="0" w:type="auto"/>
          </w:tcPr>
          <w:p w14:paraId="786122D5" w14:textId="77777777" w:rsidR="00B848CB" w:rsidRPr="00B848CB" w:rsidRDefault="00B848CB" w:rsidP="00B848CB">
            <w:pPr>
              <w:rPr>
                <w:b/>
                <w:bCs/>
              </w:rPr>
            </w:pPr>
          </w:p>
        </w:tc>
        <w:tc>
          <w:tcPr>
            <w:tcW w:w="0" w:type="auto"/>
          </w:tcPr>
          <w:p w14:paraId="526CB5F2" w14:textId="5BB2E0A6" w:rsidR="00B848CB" w:rsidRPr="00B848CB" w:rsidRDefault="00B848CB" w:rsidP="00B848CB">
            <w:pPr>
              <w:rPr>
                <w:b/>
                <w:bCs/>
              </w:rPr>
            </w:pPr>
          </w:p>
        </w:tc>
        <w:tc>
          <w:tcPr>
            <w:tcW w:w="0" w:type="auto"/>
            <w:vAlign w:val="center"/>
            <w:hideMark/>
          </w:tcPr>
          <w:p w14:paraId="169AF6B8" w14:textId="2F6BB788" w:rsidR="00B848CB" w:rsidRPr="00B848CB" w:rsidRDefault="00B848CB" w:rsidP="00B848CB">
            <w:pPr>
              <w:rPr>
                <w:b/>
                <w:bCs/>
              </w:rPr>
            </w:pPr>
            <w:r w:rsidRPr="00B848CB">
              <w:rPr>
                <w:b/>
                <w:bCs/>
              </w:rPr>
              <w:t>Key Actions</w:t>
            </w:r>
          </w:p>
        </w:tc>
      </w:tr>
      <w:tr w:rsidR="00B848CB" w:rsidRPr="00B848CB" w14:paraId="682D589C" w14:textId="77777777" w:rsidTr="00076D3C">
        <w:trPr>
          <w:tblCellSpacing w:w="15" w:type="dxa"/>
        </w:trPr>
        <w:tc>
          <w:tcPr>
            <w:tcW w:w="0" w:type="auto"/>
            <w:vAlign w:val="center"/>
            <w:hideMark/>
          </w:tcPr>
          <w:p w14:paraId="280545D2" w14:textId="77777777" w:rsidR="00B848CB" w:rsidRPr="00B848CB" w:rsidRDefault="00B848CB" w:rsidP="00B848CB">
            <w:pPr>
              <w:rPr>
                <w:sz w:val="20"/>
                <w:szCs w:val="20"/>
              </w:rPr>
            </w:pPr>
            <w:r w:rsidRPr="00B848CB">
              <w:rPr>
                <w:sz w:val="20"/>
                <w:szCs w:val="20"/>
              </w:rPr>
              <w:t>Research &amp; Policy Drafting</w:t>
            </w:r>
          </w:p>
        </w:tc>
        <w:tc>
          <w:tcPr>
            <w:tcW w:w="0" w:type="auto"/>
          </w:tcPr>
          <w:p w14:paraId="38F614B7" w14:textId="77777777" w:rsidR="00B848CB" w:rsidRPr="00B848CB" w:rsidRDefault="00B848CB" w:rsidP="00B848CB">
            <w:pPr>
              <w:rPr>
                <w:sz w:val="20"/>
                <w:szCs w:val="20"/>
              </w:rPr>
            </w:pPr>
          </w:p>
        </w:tc>
        <w:tc>
          <w:tcPr>
            <w:tcW w:w="0" w:type="auto"/>
          </w:tcPr>
          <w:p w14:paraId="2E795AA6" w14:textId="1E9799DA" w:rsidR="00B848CB" w:rsidRPr="00B848CB" w:rsidRDefault="00B848CB" w:rsidP="00B848CB">
            <w:pPr>
              <w:rPr>
                <w:sz w:val="20"/>
                <w:szCs w:val="20"/>
              </w:rPr>
            </w:pPr>
          </w:p>
        </w:tc>
        <w:tc>
          <w:tcPr>
            <w:tcW w:w="0" w:type="auto"/>
          </w:tcPr>
          <w:p w14:paraId="0B73EBBB" w14:textId="1F1973BA" w:rsidR="00B848CB" w:rsidRPr="00B848CB" w:rsidRDefault="00B848CB" w:rsidP="00B848CB">
            <w:pPr>
              <w:rPr>
                <w:sz w:val="20"/>
                <w:szCs w:val="20"/>
              </w:rPr>
            </w:pPr>
          </w:p>
        </w:tc>
        <w:tc>
          <w:tcPr>
            <w:tcW w:w="0" w:type="auto"/>
            <w:vAlign w:val="center"/>
            <w:hideMark/>
          </w:tcPr>
          <w:p w14:paraId="6D544C0C" w14:textId="66A2B7D9" w:rsidR="00B848CB" w:rsidRPr="00B848CB" w:rsidRDefault="00B848CB" w:rsidP="00B848CB">
            <w:pPr>
              <w:rPr>
                <w:sz w:val="20"/>
                <w:szCs w:val="20"/>
              </w:rPr>
            </w:pPr>
            <w:r w:rsidRPr="00B848CB">
              <w:rPr>
                <w:sz w:val="20"/>
                <w:szCs w:val="20"/>
              </w:rPr>
              <w:t>3 months</w:t>
            </w:r>
          </w:p>
        </w:tc>
        <w:tc>
          <w:tcPr>
            <w:tcW w:w="0" w:type="auto"/>
          </w:tcPr>
          <w:p w14:paraId="3CE26064" w14:textId="77777777" w:rsidR="00B848CB" w:rsidRPr="00B848CB" w:rsidRDefault="00B848CB" w:rsidP="00B848CB">
            <w:pPr>
              <w:rPr>
                <w:sz w:val="20"/>
                <w:szCs w:val="20"/>
              </w:rPr>
            </w:pPr>
          </w:p>
        </w:tc>
        <w:tc>
          <w:tcPr>
            <w:tcW w:w="0" w:type="auto"/>
          </w:tcPr>
          <w:p w14:paraId="4AA37FC7" w14:textId="4182401D" w:rsidR="00B848CB" w:rsidRPr="00B848CB" w:rsidRDefault="00B848CB" w:rsidP="00B848CB">
            <w:pPr>
              <w:rPr>
                <w:sz w:val="20"/>
                <w:szCs w:val="20"/>
              </w:rPr>
            </w:pPr>
          </w:p>
        </w:tc>
        <w:tc>
          <w:tcPr>
            <w:tcW w:w="0" w:type="auto"/>
            <w:vAlign w:val="center"/>
            <w:hideMark/>
          </w:tcPr>
          <w:p w14:paraId="55F6627E" w14:textId="2F8CE114" w:rsidR="00B848CB" w:rsidRPr="00B848CB" w:rsidRDefault="00B848CB" w:rsidP="00B848CB">
            <w:pPr>
              <w:rPr>
                <w:sz w:val="20"/>
                <w:szCs w:val="20"/>
              </w:rPr>
            </w:pPr>
            <w:r w:rsidRPr="00B848CB">
              <w:rPr>
                <w:sz w:val="20"/>
                <w:szCs w:val="20"/>
              </w:rPr>
              <w:t>Comparative legal analysis, expert consultations</w:t>
            </w:r>
          </w:p>
        </w:tc>
      </w:tr>
      <w:tr w:rsidR="00B848CB" w:rsidRPr="00B848CB" w14:paraId="2E0B05A3" w14:textId="77777777" w:rsidTr="00076D3C">
        <w:trPr>
          <w:tblCellSpacing w:w="15" w:type="dxa"/>
        </w:trPr>
        <w:tc>
          <w:tcPr>
            <w:tcW w:w="0" w:type="auto"/>
            <w:vAlign w:val="center"/>
            <w:hideMark/>
          </w:tcPr>
          <w:p w14:paraId="2EAD3489" w14:textId="77777777" w:rsidR="00B848CB" w:rsidRPr="00B848CB" w:rsidRDefault="00B848CB" w:rsidP="00B848CB">
            <w:pPr>
              <w:rPr>
                <w:sz w:val="20"/>
                <w:szCs w:val="20"/>
              </w:rPr>
            </w:pPr>
            <w:r w:rsidRPr="00B848CB">
              <w:rPr>
                <w:sz w:val="20"/>
                <w:szCs w:val="20"/>
              </w:rPr>
              <w:t>Stakeholder Engagement</w:t>
            </w:r>
          </w:p>
        </w:tc>
        <w:tc>
          <w:tcPr>
            <w:tcW w:w="0" w:type="auto"/>
          </w:tcPr>
          <w:p w14:paraId="447744B4" w14:textId="77777777" w:rsidR="00B848CB" w:rsidRPr="00B848CB" w:rsidRDefault="00B848CB" w:rsidP="00B848CB">
            <w:pPr>
              <w:rPr>
                <w:sz w:val="20"/>
                <w:szCs w:val="20"/>
              </w:rPr>
            </w:pPr>
          </w:p>
        </w:tc>
        <w:tc>
          <w:tcPr>
            <w:tcW w:w="0" w:type="auto"/>
          </w:tcPr>
          <w:p w14:paraId="47BE6B6C" w14:textId="5385861F" w:rsidR="00B848CB" w:rsidRPr="00B848CB" w:rsidRDefault="00B848CB" w:rsidP="00B848CB">
            <w:pPr>
              <w:rPr>
                <w:sz w:val="20"/>
                <w:szCs w:val="20"/>
              </w:rPr>
            </w:pPr>
          </w:p>
        </w:tc>
        <w:tc>
          <w:tcPr>
            <w:tcW w:w="0" w:type="auto"/>
          </w:tcPr>
          <w:p w14:paraId="6F1C2091" w14:textId="00974F00" w:rsidR="00B848CB" w:rsidRPr="00B848CB" w:rsidRDefault="00B848CB" w:rsidP="00B848CB">
            <w:pPr>
              <w:rPr>
                <w:sz w:val="20"/>
                <w:szCs w:val="20"/>
              </w:rPr>
            </w:pPr>
          </w:p>
        </w:tc>
        <w:tc>
          <w:tcPr>
            <w:tcW w:w="0" w:type="auto"/>
            <w:vAlign w:val="center"/>
            <w:hideMark/>
          </w:tcPr>
          <w:p w14:paraId="45C539C5" w14:textId="79272DFC" w:rsidR="00B848CB" w:rsidRPr="00B848CB" w:rsidRDefault="00B848CB" w:rsidP="00B848CB">
            <w:pPr>
              <w:rPr>
                <w:sz w:val="20"/>
                <w:szCs w:val="20"/>
              </w:rPr>
            </w:pPr>
            <w:r w:rsidRPr="00B848CB">
              <w:rPr>
                <w:sz w:val="20"/>
                <w:szCs w:val="20"/>
              </w:rPr>
              <w:t>2 months</w:t>
            </w:r>
          </w:p>
        </w:tc>
        <w:tc>
          <w:tcPr>
            <w:tcW w:w="0" w:type="auto"/>
          </w:tcPr>
          <w:p w14:paraId="25ADF47E" w14:textId="77777777" w:rsidR="00B848CB" w:rsidRPr="00B848CB" w:rsidRDefault="00B848CB" w:rsidP="00B848CB">
            <w:pPr>
              <w:rPr>
                <w:sz w:val="20"/>
                <w:szCs w:val="20"/>
              </w:rPr>
            </w:pPr>
          </w:p>
        </w:tc>
        <w:tc>
          <w:tcPr>
            <w:tcW w:w="0" w:type="auto"/>
          </w:tcPr>
          <w:p w14:paraId="5D4513A7" w14:textId="5398BD96" w:rsidR="00B848CB" w:rsidRPr="00B848CB" w:rsidRDefault="00B848CB" w:rsidP="00B848CB">
            <w:pPr>
              <w:rPr>
                <w:sz w:val="20"/>
                <w:szCs w:val="20"/>
              </w:rPr>
            </w:pPr>
          </w:p>
        </w:tc>
        <w:tc>
          <w:tcPr>
            <w:tcW w:w="0" w:type="auto"/>
            <w:vAlign w:val="center"/>
            <w:hideMark/>
          </w:tcPr>
          <w:p w14:paraId="3A4617C7" w14:textId="7D69C204" w:rsidR="00B848CB" w:rsidRPr="00B848CB" w:rsidRDefault="00B848CB" w:rsidP="00B848CB">
            <w:pPr>
              <w:rPr>
                <w:sz w:val="20"/>
                <w:szCs w:val="20"/>
              </w:rPr>
            </w:pPr>
            <w:r w:rsidRPr="00B848CB">
              <w:rPr>
                <w:sz w:val="20"/>
                <w:szCs w:val="20"/>
              </w:rPr>
              <w:t>Public forums, surveys, civil society dialogue</w:t>
            </w:r>
          </w:p>
        </w:tc>
      </w:tr>
      <w:tr w:rsidR="00B848CB" w:rsidRPr="00B848CB" w14:paraId="47E5DC05" w14:textId="77777777" w:rsidTr="00076D3C">
        <w:trPr>
          <w:tblCellSpacing w:w="15" w:type="dxa"/>
        </w:trPr>
        <w:tc>
          <w:tcPr>
            <w:tcW w:w="0" w:type="auto"/>
            <w:vAlign w:val="center"/>
            <w:hideMark/>
          </w:tcPr>
          <w:p w14:paraId="77E3F79B" w14:textId="77777777" w:rsidR="00B848CB" w:rsidRPr="00B848CB" w:rsidRDefault="00B848CB" w:rsidP="00B848CB">
            <w:pPr>
              <w:rPr>
                <w:sz w:val="20"/>
                <w:szCs w:val="20"/>
              </w:rPr>
            </w:pPr>
            <w:r w:rsidRPr="00B848CB">
              <w:rPr>
                <w:sz w:val="20"/>
                <w:szCs w:val="20"/>
              </w:rPr>
              <w:t>Legislation Development</w:t>
            </w:r>
          </w:p>
        </w:tc>
        <w:tc>
          <w:tcPr>
            <w:tcW w:w="0" w:type="auto"/>
          </w:tcPr>
          <w:p w14:paraId="6CBD73D8" w14:textId="77777777" w:rsidR="00B848CB" w:rsidRPr="00B848CB" w:rsidRDefault="00B848CB" w:rsidP="00B848CB">
            <w:pPr>
              <w:rPr>
                <w:sz w:val="20"/>
                <w:szCs w:val="20"/>
              </w:rPr>
            </w:pPr>
          </w:p>
        </w:tc>
        <w:tc>
          <w:tcPr>
            <w:tcW w:w="0" w:type="auto"/>
          </w:tcPr>
          <w:p w14:paraId="01286CEA" w14:textId="2E938762" w:rsidR="00B848CB" w:rsidRPr="00B848CB" w:rsidRDefault="00B848CB" w:rsidP="00B848CB">
            <w:pPr>
              <w:rPr>
                <w:sz w:val="20"/>
                <w:szCs w:val="20"/>
              </w:rPr>
            </w:pPr>
          </w:p>
        </w:tc>
        <w:tc>
          <w:tcPr>
            <w:tcW w:w="0" w:type="auto"/>
          </w:tcPr>
          <w:p w14:paraId="7F6DB7DC" w14:textId="6F2BDF75" w:rsidR="00B848CB" w:rsidRPr="00B848CB" w:rsidRDefault="00B848CB" w:rsidP="00B848CB">
            <w:pPr>
              <w:rPr>
                <w:sz w:val="20"/>
                <w:szCs w:val="20"/>
              </w:rPr>
            </w:pPr>
          </w:p>
        </w:tc>
        <w:tc>
          <w:tcPr>
            <w:tcW w:w="0" w:type="auto"/>
            <w:vAlign w:val="center"/>
            <w:hideMark/>
          </w:tcPr>
          <w:p w14:paraId="7F9EFAC1" w14:textId="251A5CFA" w:rsidR="00B848CB" w:rsidRPr="00B848CB" w:rsidRDefault="00B848CB" w:rsidP="00B848CB">
            <w:pPr>
              <w:rPr>
                <w:sz w:val="20"/>
                <w:szCs w:val="20"/>
              </w:rPr>
            </w:pPr>
            <w:r w:rsidRPr="00B848CB">
              <w:rPr>
                <w:sz w:val="20"/>
                <w:szCs w:val="20"/>
              </w:rPr>
              <w:t>2 months</w:t>
            </w:r>
          </w:p>
        </w:tc>
        <w:tc>
          <w:tcPr>
            <w:tcW w:w="0" w:type="auto"/>
          </w:tcPr>
          <w:p w14:paraId="366E6684" w14:textId="77777777" w:rsidR="00B848CB" w:rsidRPr="00B848CB" w:rsidRDefault="00B848CB" w:rsidP="00B848CB">
            <w:pPr>
              <w:rPr>
                <w:sz w:val="20"/>
                <w:szCs w:val="20"/>
              </w:rPr>
            </w:pPr>
          </w:p>
        </w:tc>
        <w:tc>
          <w:tcPr>
            <w:tcW w:w="0" w:type="auto"/>
          </w:tcPr>
          <w:p w14:paraId="02EEE3A8" w14:textId="1D8946D0" w:rsidR="00B848CB" w:rsidRPr="00B848CB" w:rsidRDefault="00B848CB" w:rsidP="00B848CB">
            <w:pPr>
              <w:rPr>
                <w:sz w:val="20"/>
                <w:szCs w:val="20"/>
              </w:rPr>
            </w:pPr>
          </w:p>
        </w:tc>
        <w:tc>
          <w:tcPr>
            <w:tcW w:w="0" w:type="auto"/>
            <w:vAlign w:val="center"/>
            <w:hideMark/>
          </w:tcPr>
          <w:p w14:paraId="1106AB49" w14:textId="3E0FE5C7" w:rsidR="00B848CB" w:rsidRPr="00B848CB" w:rsidRDefault="00B848CB" w:rsidP="00B848CB">
            <w:pPr>
              <w:rPr>
                <w:sz w:val="20"/>
                <w:szCs w:val="20"/>
              </w:rPr>
            </w:pPr>
            <w:r w:rsidRPr="00B848CB">
              <w:rPr>
                <w:sz w:val="20"/>
                <w:szCs w:val="20"/>
              </w:rPr>
              <w:t>Drafting bills, legal vetting, submission to Parliament</w:t>
            </w:r>
          </w:p>
        </w:tc>
      </w:tr>
      <w:tr w:rsidR="00B848CB" w:rsidRPr="00B848CB" w14:paraId="31961721" w14:textId="77777777" w:rsidTr="00076D3C">
        <w:trPr>
          <w:tblCellSpacing w:w="15" w:type="dxa"/>
        </w:trPr>
        <w:tc>
          <w:tcPr>
            <w:tcW w:w="0" w:type="auto"/>
            <w:vAlign w:val="center"/>
            <w:hideMark/>
          </w:tcPr>
          <w:p w14:paraId="5836971D" w14:textId="77777777" w:rsidR="00B848CB" w:rsidRPr="00B848CB" w:rsidRDefault="00B848CB" w:rsidP="00B848CB">
            <w:pPr>
              <w:rPr>
                <w:sz w:val="20"/>
                <w:szCs w:val="20"/>
              </w:rPr>
            </w:pPr>
            <w:r w:rsidRPr="00B848CB">
              <w:rPr>
                <w:sz w:val="20"/>
                <w:szCs w:val="20"/>
              </w:rPr>
              <w:t>Institutional Setup</w:t>
            </w:r>
          </w:p>
        </w:tc>
        <w:tc>
          <w:tcPr>
            <w:tcW w:w="0" w:type="auto"/>
          </w:tcPr>
          <w:p w14:paraId="40EE983C" w14:textId="77777777" w:rsidR="00B848CB" w:rsidRPr="00B848CB" w:rsidRDefault="00B848CB" w:rsidP="00B848CB">
            <w:pPr>
              <w:rPr>
                <w:sz w:val="20"/>
                <w:szCs w:val="20"/>
              </w:rPr>
            </w:pPr>
          </w:p>
        </w:tc>
        <w:tc>
          <w:tcPr>
            <w:tcW w:w="0" w:type="auto"/>
          </w:tcPr>
          <w:p w14:paraId="67CDDDEC" w14:textId="3B121CFB" w:rsidR="00B848CB" w:rsidRPr="00B848CB" w:rsidRDefault="00B848CB" w:rsidP="00B848CB">
            <w:pPr>
              <w:rPr>
                <w:sz w:val="20"/>
                <w:szCs w:val="20"/>
              </w:rPr>
            </w:pPr>
          </w:p>
        </w:tc>
        <w:tc>
          <w:tcPr>
            <w:tcW w:w="0" w:type="auto"/>
          </w:tcPr>
          <w:p w14:paraId="64C2F9B6" w14:textId="06E70595" w:rsidR="00B848CB" w:rsidRPr="00B848CB" w:rsidRDefault="00B848CB" w:rsidP="00B848CB">
            <w:pPr>
              <w:rPr>
                <w:sz w:val="20"/>
                <w:szCs w:val="20"/>
              </w:rPr>
            </w:pPr>
          </w:p>
        </w:tc>
        <w:tc>
          <w:tcPr>
            <w:tcW w:w="0" w:type="auto"/>
            <w:vAlign w:val="center"/>
            <w:hideMark/>
          </w:tcPr>
          <w:p w14:paraId="41501192" w14:textId="2F337958" w:rsidR="00B848CB" w:rsidRPr="00B848CB" w:rsidRDefault="00B848CB" w:rsidP="00B848CB">
            <w:pPr>
              <w:rPr>
                <w:sz w:val="20"/>
                <w:szCs w:val="20"/>
              </w:rPr>
            </w:pPr>
            <w:r w:rsidRPr="00B848CB">
              <w:rPr>
                <w:sz w:val="20"/>
                <w:szCs w:val="20"/>
              </w:rPr>
              <w:t>3 months</w:t>
            </w:r>
          </w:p>
        </w:tc>
        <w:tc>
          <w:tcPr>
            <w:tcW w:w="0" w:type="auto"/>
          </w:tcPr>
          <w:p w14:paraId="234A0E8E" w14:textId="77777777" w:rsidR="00B848CB" w:rsidRPr="00B848CB" w:rsidRDefault="00B848CB" w:rsidP="00B848CB">
            <w:pPr>
              <w:rPr>
                <w:sz w:val="20"/>
                <w:szCs w:val="20"/>
              </w:rPr>
            </w:pPr>
          </w:p>
        </w:tc>
        <w:tc>
          <w:tcPr>
            <w:tcW w:w="0" w:type="auto"/>
          </w:tcPr>
          <w:p w14:paraId="1CEE4310" w14:textId="445F9E55" w:rsidR="00B848CB" w:rsidRPr="00B848CB" w:rsidRDefault="00B848CB" w:rsidP="00B848CB">
            <w:pPr>
              <w:rPr>
                <w:sz w:val="20"/>
                <w:szCs w:val="20"/>
              </w:rPr>
            </w:pPr>
          </w:p>
        </w:tc>
        <w:tc>
          <w:tcPr>
            <w:tcW w:w="0" w:type="auto"/>
            <w:vAlign w:val="center"/>
            <w:hideMark/>
          </w:tcPr>
          <w:p w14:paraId="37BEE64E" w14:textId="21A047C6" w:rsidR="00B848CB" w:rsidRPr="00B848CB" w:rsidRDefault="00B848CB" w:rsidP="00B848CB">
            <w:pPr>
              <w:rPr>
                <w:sz w:val="20"/>
                <w:szCs w:val="20"/>
              </w:rPr>
            </w:pPr>
            <w:r w:rsidRPr="00B848CB">
              <w:rPr>
                <w:sz w:val="20"/>
                <w:szCs w:val="20"/>
              </w:rPr>
              <w:t>Forming authorities, task forces, council formation</w:t>
            </w:r>
          </w:p>
        </w:tc>
      </w:tr>
      <w:tr w:rsidR="00B848CB" w:rsidRPr="00B848CB" w14:paraId="76EC5F6B" w14:textId="77777777" w:rsidTr="00076D3C">
        <w:trPr>
          <w:tblCellSpacing w:w="15" w:type="dxa"/>
        </w:trPr>
        <w:tc>
          <w:tcPr>
            <w:tcW w:w="0" w:type="auto"/>
            <w:vAlign w:val="center"/>
            <w:hideMark/>
          </w:tcPr>
          <w:p w14:paraId="660209D4" w14:textId="77777777" w:rsidR="00B848CB" w:rsidRPr="00B848CB" w:rsidRDefault="00B848CB" w:rsidP="00B848CB">
            <w:pPr>
              <w:rPr>
                <w:sz w:val="20"/>
                <w:szCs w:val="20"/>
              </w:rPr>
            </w:pPr>
            <w:r w:rsidRPr="00B848CB">
              <w:rPr>
                <w:sz w:val="20"/>
                <w:szCs w:val="20"/>
              </w:rPr>
              <w:t>Awareness and Training</w:t>
            </w:r>
          </w:p>
        </w:tc>
        <w:tc>
          <w:tcPr>
            <w:tcW w:w="0" w:type="auto"/>
          </w:tcPr>
          <w:p w14:paraId="376C6A55" w14:textId="77777777" w:rsidR="00B848CB" w:rsidRPr="00B848CB" w:rsidRDefault="00B848CB" w:rsidP="00B848CB">
            <w:pPr>
              <w:rPr>
                <w:sz w:val="20"/>
                <w:szCs w:val="20"/>
              </w:rPr>
            </w:pPr>
          </w:p>
        </w:tc>
        <w:tc>
          <w:tcPr>
            <w:tcW w:w="0" w:type="auto"/>
          </w:tcPr>
          <w:p w14:paraId="0943A800" w14:textId="1C53017A" w:rsidR="00B848CB" w:rsidRPr="00B848CB" w:rsidRDefault="00B848CB" w:rsidP="00B848CB">
            <w:pPr>
              <w:rPr>
                <w:sz w:val="20"/>
                <w:szCs w:val="20"/>
              </w:rPr>
            </w:pPr>
          </w:p>
        </w:tc>
        <w:tc>
          <w:tcPr>
            <w:tcW w:w="0" w:type="auto"/>
          </w:tcPr>
          <w:p w14:paraId="45CA4FD6" w14:textId="5FC7A64C" w:rsidR="00B848CB" w:rsidRPr="00B848CB" w:rsidRDefault="00B848CB" w:rsidP="00B848CB">
            <w:pPr>
              <w:rPr>
                <w:sz w:val="20"/>
                <w:szCs w:val="20"/>
              </w:rPr>
            </w:pPr>
          </w:p>
        </w:tc>
        <w:tc>
          <w:tcPr>
            <w:tcW w:w="0" w:type="auto"/>
            <w:vAlign w:val="center"/>
            <w:hideMark/>
          </w:tcPr>
          <w:p w14:paraId="773FF6BC" w14:textId="26F2A5AB" w:rsidR="00B848CB" w:rsidRPr="00B848CB" w:rsidRDefault="00B848CB" w:rsidP="00B848CB">
            <w:pPr>
              <w:rPr>
                <w:sz w:val="20"/>
                <w:szCs w:val="20"/>
              </w:rPr>
            </w:pPr>
            <w:r w:rsidRPr="00B848CB">
              <w:rPr>
                <w:sz w:val="20"/>
                <w:szCs w:val="20"/>
              </w:rPr>
              <w:t>Ongoing</w:t>
            </w:r>
          </w:p>
        </w:tc>
        <w:tc>
          <w:tcPr>
            <w:tcW w:w="0" w:type="auto"/>
          </w:tcPr>
          <w:p w14:paraId="553E4352" w14:textId="77777777" w:rsidR="00B848CB" w:rsidRPr="00B848CB" w:rsidRDefault="00B848CB" w:rsidP="00B848CB">
            <w:pPr>
              <w:rPr>
                <w:sz w:val="20"/>
                <w:szCs w:val="20"/>
              </w:rPr>
            </w:pPr>
          </w:p>
        </w:tc>
        <w:tc>
          <w:tcPr>
            <w:tcW w:w="0" w:type="auto"/>
          </w:tcPr>
          <w:p w14:paraId="49AB2EDB" w14:textId="6B1D11BC" w:rsidR="00B848CB" w:rsidRPr="00B848CB" w:rsidRDefault="00B848CB" w:rsidP="00B848CB">
            <w:pPr>
              <w:rPr>
                <w:sz w:val="20"/>
                <w:szCs w:val="20"/>
              </w:rPr>
            </w:pPr>
          </w:p>
        </w:tc>
        <w:tc>
          <w:tcPr>
            <w:tcW w:w="0" w:type="auto"/>
            <w:vAlign w:val="center"/>
            <w:hideMark/>
          </w:tcPr>
          <w:p w14:paraId="6BE979A3" w14:textId="7B8F75E8" w:rsidR="00B848CB" w:rsidRPr="00B848CB" w:rsidRDefault="00B848CB" w:rsidP="00B848CB">
            <w:pPr>
              <w:rPr>
                <w:sz w:val="20"/>
                <w:szCs w:val="20"/>
              </w:rPr>
            </w:pPr>
            <w:r w:rsidRPr="00B848CB">
              <w:rPr>
                <w:sz w:val="20"/>
                <w:szCs w:val="20"/>
              </w:rPr>
              <w:t>Legal education, cyber literacy, judicial training</w:t>
            </w:r>
          </w:p>
        </w:tc>
      </w:tr>
      <w:tr w:rsidR="00B848CB" w:rsidRPr="00B848CB" w14:paraId="463AC863" w14:textId="77777777" w:rsidTr="00076D3C">
        <w:trPr>
          <w:tblCellSpacing w:w="15" w:type="dxa"/>
        </w:trPr>
        <w:tc>
          <w:tcPr>
            <w:tcW w:w="0" w:type="auto"/>
            <w:vAlign w:val="center"/>
            <w:hideMark/>
          </w:tcPr>
          <w:p w14:paraId="651579CA" w14:textId="77777777" w:rsidR="00B848CB" w:rsidRPr="00B848CB" w:rsidRDefault="00B848CB" w:rsidP="00B848CB">
            <w:pPr>
              <w:rPr>
                <w:sz w:val="20"/>
                <w:szCs w:val="20"/>
              </w:rPr>
            </w:pPr>
            <w:r w:rsidRPr="00B848CB">
              <w:rPr>
                <w:sz w:val="20"/>
                <w:szCs w:val="20"/>
              </w:rPr>
              <w:t>Monitoring and Evaluation</w:t>
            </w:r>
          </w:p>
        </w:tc>
        <w:tc>
          <w:tcPr>
            <w:tcW w:w="0" w:type="auto"/>
          </w:tcPr>
          <w:p w14:paraId="6005AB76" w14:textId="77777777" w:rsidR="00B848CB" w:rsidRPr="00B848CB" w:rsidRDefault="00B848CB" w:rsidP="00B848CB">
            <w:pPr>
              <w:rPr>
                <w:sz w:val="20"/>
                <w:szCs w:val="20"/>
              </w:rPr>
            </w:pPr>
          </w:p>
        </w:tc>
        <w:tc>
          <w:tcPr>
            <w:tcW w:w="0" w:type="auto"/>
          </w:tcPr>
          <w:p w14:paraId="62698982" w14:textId="5537FD85" w:rsidR="00B848CB" w:rsidRPr="00B848CB" w:rsidRDefault="00B848CB" w:rsidP="00B848CB">
            <w:pPr>
              <w:rPr>
                <w:sz w:val="20"/>
                <w:szCs w:val="20"/>
              </w:rPr>
            </w:pPr>
          </w:p>
        </w:tc>
        <w:tc>
          <w:tcPr>
            <w:tcW w:w="0" w:type="auto"/>
          </w:tcPr>
          <w:p w14:paraId="3EB2699A" w14:textId="0390BB2E" w:rsidR="00B848CB" w:rsidRPr="00B848CB" w:rsidRDefault="00B848CB" w:rsidP="00B848CB">
            <w:pPr>
              <w:rPr>
                <w:sz w:val="20"/>
                <w:szCs w:val="20"/>
              </w:rPr>
            </w:pPr>
          </w:p>
        </w:tc>
        <w:tc>
          <w:tcPr>
            <w:tcW w:w="0" w:type="auto"/>
            <w:vAlign w:val="center"/>
            <w:hideMark/>
          </w:tcPr>
          <w:p w14:paraId="03EE2635" w14:textId="7D659FDA" w:rsidR="00B848CB" w:rsidRPr="00B848CB" w:rsidRDefault="00B848CB" w:rsidP="00B848CB">
            <w:pPr>
              <w:rPr>
                <w:sz w:val="20"/>
                <w:szCs w:val="20"/>
              </w:rPr>
            </w:pPr>
            <w:r w:rsidRPr="00B848CB">
              <w:rPr>
                <w:sz w:val="20"/>
                <w:szCs w:val="20"/>
              </w:rPr>
              <w:t>Annual</w:t>
            </w:r>
          </w:p>
        </w:tc>
        <w:tc>
          <w:tcPr>
            <w:tcW w:w="0" w:type="auto"/>
          </w:tcPr>
          <w:p w14:paraId="10F4C29D" w14:textId="77777777" w:rsidR="00B848CB" w:rsidRPr="00B848CB" w:rsidRDefault="00B848CB" w:rsidP="00B848CB">
            <w:pPr>
              <w:rPr>
                <w:sz w:val="20"/>
                <w:szCs w:val="20"/>
              </w:rPr>
            </w:pPr>
          </w:p>
        </w:tc>
        <w:tc>
          <w:tcPr>
            <w:tcW w:w="0" w:type="auto"/>
          </w:tcPr>
          <w:p w14:paraId="4C109C20" w14:textId="50A97B87" w:rsidR="00B848CB" w:rsidRPr="00B848CB" w:rsidRDefault="00B848CB" w:rsidP="00B848CB">
            <w:pPr>
              <w:rPr>
                <w:sz w:val="20"/>
                <w:szCs w:val="20"/>
              </w:rPr>
            </w:pPr>
          </w:p>
        </w:tc>
        <w:tc>
          <w:tcPr>
            <w:tcW w:w="0" w:type="auto"/>
            <w:vAlign w:val="center"/>
            <w:hideMark/>
          </w:tcPr>
          <w:p w14:paraId="623C8157" w14:textId="47315EDA" w:rsidR="00B848CB" w:rsidRPr="00B848CB" w:rsidRDefault="00B848CB" w:rsidP="00B848CB">
            <w:pPr>
              <w:rPr>
                <w:sz w:val="20"/>
                <w:szCs w:val="20"/>
              </w:rPr>
            </w:pPr>
            <w:r w:rsidRPr="00B848CB">
              <w:rPr>
                <w:sz w:val="20"/>
                <w:szCs w:val="20"/>
              </w:rPr>
              <w:t>Policy review, public reporting, legal revisions</w:t>
            </w:r>
          </w:p>
        </w:tc>
      </w:tr>
    </w:tbl>
    <w:p w14:paraId="58265960" w14:textId="77777777" w:rsidR="00B848CB" w:rsidRPr="00B848CB" w:rsidRDefault="00000000" w:rsidP="00B848CB">
      <w:r>
        <w:pict w14:anchorId="3E77ED44">
          <v:rect id="_x0000_i1033" style="width:0;height:1.5pt" o:hralign="center" o:hrstd="t" o:hr="t" fillcolor="#a0a0a0" stroked="f"/>
        </w:pict>
      </w:r>
    </w:p>
    <w:p w14:paraId="523FA8CB" w14:textId="77777777" w:rsidR="00B848CB" w:rsidRPr="00B848CB" w:rsidRDefault="00B848CB" w:rsidP="00B848CB">
      <w:pPr>
        <w:rPr>
          <w:b/>
          <w:bCs/>
        </w:rPr>
      </w:pPr>
      <w:r w:rsidRPr="00B848CB">
        <w:rPr>
          <w:b/>
          <w:bCs/>
        </w:rPr>
        <w:t>7. Conclusion</w:t>
      </w:r>
    </w:p>
    <w:p w14:paraId="6F3B4351" w14:textId="53B8ED31" w:rsidR="00B848CB" w:rsidRPr="00B848CB" w:rsidRDefault="00B848CB" w:rsidP="00B848CB">
      <w:r w:rsidRPr="00B848CB">
        <w:t xml:space="preserve">Bangladesh stands at a critical juncture in its digital evolution. Legal reforms are no longer a </w:t>
      </w:r>
      <w:proofErr w:type="gramStart"/>
      <w:r w:rsidRPr="00B848CB">
        <w:t>luxury</w:t>
      </w:r>
      <w:r>
        <w:t>,</w:t>
      </w:r>
      <w:proofErr w:type="gramEnd"/>
      <w:r>
        <w:t xml:space="preserve"> </w:t>
      </w:r>
      <w:r w:rsidRPr="00B848CB">
        <w:t>they are a necessity. The cyber laws of the future must be inclusive, transparent, and agile enough to adapt to rapid technological shifts.</w:t>
      </w:r>
    </w:p>
    <w:p w14:paraId="4F9276E2" w14:textId="77777777" w:rsidR="00B848CB" w:rsidRPr="00B848CB" w:rsidRDefault="00B848CB" w:rsidP="00B848CB">
      <w:r w:rsidRPr="00B848CB">
        <w:t>By learning from global best practices while respecting local contexts, Bangladesh has the opportunity to create a digital ecosystem that is both resilient and empowering. Through the proposals outlined in this document, the country can lay the foundation for a secure, ethical, and forward-thinking digital future.</w:t>
      </w:r>
    </w:p>
    <w:p w14:paraId="40E78AB4" w14:textId="77777777" w:rsidR="00B848CB" w:rsidRPr="00B848CB" w:rsidRDefault="00000000" w:rsidP="00B848CB">
      <w:r>
        <w:pict w14:anchorId="19D60EB7">
          <v:rect id="_x0000_i1034" style="width:0;height:1.5pt" o:hralign="center" o:hrstd="t" o:hr="t" fillcolor="#a0a0a0" stroked="f"/>
        </w:pict>
      </w:r>
    </w:p>
    <w:p w14:paraId="0DC0E3A0" w14:textId="77777777" w:rsidR="00B848CB" w:rsidRPr="00B848CB" w:rsidRDefault="00B848CB" w:rsidP="00B848CB">
      <w:pPr>
        <w:rPr>
          <w:b/>
          <w:bCs/>
        </w:rPr>
      </w:pPr>
      <w:r w:rsidRPr="00B848CB">
        <w:rPr>
          <w:b/>
          <w:bCs/>
        </w:rPr>
        <w:t>8. References</w:t>
      </w:r>
    </w:p>
    <w:p w14:paraId="4A0916CE" w14:textId="77777777" w:rsidR="00B848CB" w:rsidRDefault="00B848CB" w:rsidP="00B848CB">
      <w:pPr>
        <w:pStyle w:val="NormalWeb"/>
        <w:numPr>
          <w:ilvl w:val="0"/>
          <w:numId w:val="13"/>
        </w:numPr>
      </w:pPr>
      <w:proofErr w:type="gramStart"/>
      <w:r>
        <w:rPr>
          <w:rFonts w:hAnsi="Symbol"/>
        </w:rPr>
        <w:t></w:t>
      </w:r>
      <w:r>
        <w:t xml:space="preserve">  [</w:t>
      </w:r>
      <w:proofErr w:type="gramEnd"/>
      <w:r>
        <w:t xml:space="preserve">1] ARTICLE 19, "Bangladesh: Digital laws must be transparent and protect free expression," ARTICLE 19, Mar. 5, 2024. [Online]. Available: </w:t>
      </w:r>
      <w:hyperlink r:id="rId8" w:tgtFrame="_new" w:history="1">
        <w:r>
          <w:rPr>
            <w:rStyle w:val="Hyperlink"/>
            <w:rFonts w:eastAsiaTheme="majorEastAsia"/>
          </w:rPr>
          <w:t>https://www.article19.org/resources/bangladesh-digital-laws-must-be-transparent-and-protect-free-expression</w:t>
        </w:r>
      </w:hyperlink>
    </w:p>
    <w:p w14:paraId="59BCBBFE" w14:textId="77777777" w:rsidR="00B848CB" w:rsidRDefault="00B848CB" w:rsidP="00B848CB">
      <w:pPr>
        <w:pStyle w:val="NormalWeb"/>
        <w:numPr>
          <w:ilvl w:val="0"/>
          <w:numId w:val="13"/>
        </w:numPr>
      </w:pPr>
      <w:proofErr w:type="gramStart"/>
      <w:r>
        <w:rPr>
          <w:rFonts w:hAnsi="Symbol"/>
        </w:rPr>
        <w:t></w:t>
      </w:r>
      <w:r>
        <w:t xml:space="preserve">  [</w:t>
      </w:r>
      <w:proofErr w:type="gramEnd"/>
      <w:r>
        <w:t xml:space="preserve">2] The Daily Star, "Cyber Security Ordinance 2024: Progress or Pitfall?" The Daily Star, Mar. 26, 2024. [Online]. Available: </w:t>
      </w:r>
      <w:hyperlink r:id="rId9" w:tgtFrame="_new" w:history="1">
        <w:r>
          <w:rPr>
            <w:rStyle w:val="Hyperlink"/>
            <w:rFonts w:eastAsiaTheme="majorEastAsia"/>
          </w:rPr>
          <w:t>https://www.thedailystar.net/tech-startup/news/cyber-security-ordinance-2024-progress-or-pitfall-3785116</w:t>
        </w:r>
      </w:hyperlink>
    </w:p>
    <w:p w14:paraId="3884F357" w14:textId="77777777" w:rsidR="00B848CB" w:rsidRDefault="00B848CB" w:rsidP="00B848CB">
      <w:pPr>
        <w:pStyle w:val="NormalWeb"/>
        <w:numPr>
          <w:ilvl w:val="0"/>
          <w:numId w:val="13"/>
        </w:numPr>
      </w:pPr>
      <w:proofErr w:type="gramStart"/>
      <w:r>
        <w:rPr>
          <w:rFonts w:hAnsi="Symbol"/>
        </w:rPr>
        <w:t></w:t>
      </w:r>
      <w:r>
        <w:t xml:space="preserve">  [</w:t>
      </w:r>
      <w:proofErr w:type="gramEnd"/>
      <w:r>
        <w:t xml:space="preserve">3] European Commission, "Proposal for a Regulation: Laying Down </w:t>
      </w:r>
      <w:proofErr w:type="spellStart"/>
      <w:r>
        <w:t>Harmonised</w:t>
      </w:r>
      <w:proofErr w:type="spellEnd"/>
      <w:r>
        <w:t xml:space="preserve"> Rules on Artificial Intelligence (AI Act)," European Union, 2023. [Online]. Available: </w:t>
      </w:r>
      <w:hyperlink r:id="rId10" w:tgtFrame="_new" w:history="1">
        <w:r>
          <w:rPr>
            <w:rStyle w:val="Hyperlink"/>
            <w:rFonts w:eastAsiaTheme="majorEastAsia"/>
          </w:rPr>
          <w:t>https://eur-lex.europa.eu/legal-content/EN/TXT/?uri=CELEX%3A52021PC0206</w:t>
        </w:r>
      </w:hyperlink>
    </w:p>
    <w:p w14:paraId="5F7811F1" w14:textId="77777777" w:rsidR="00B848CB" w:rsidRDefault="00B848CB" w:rsidP="00B848CB">
      <w:pPr>
        <w:pStyle w:val="NormalWeb"/>
        <w:numPr>
          <w:ilvl w:val="0"/>
          <w:numId w:val="13"/>
        </w:numPr>
      </w:pPr>
      <w:proofErr w:type="gramStart"/>
      <w:r>
        <w:rPr>
          <w:rFonts w:hAnsi="Symbol"/>
        </w:rPr>
        <w:t></w:t>
      </w:r>
      <w:r>
        <w:t xml:space="preserve">  [</w:t>
      </w:r>
      <w:proofErr w:type="gramEnd"/>
      <w:r>
        <w:t>4] Office of the Privacy Commissioner of Canada, "Guidance on the Personal Information Protection and Electronic Documents Act (PIPEDA)," Government of Canada, 2023. [Online]. Available: https://www.priv.gc.ca/en/privacy-topics/privacy-</w:t>
      </w:r>
      <w:r>
        <w:lastRenderedPageBreak/>
        <w:t>laws-in-canada/the-personal-information-protection-and-electronic-documents-act-pipeda/</w:t>
      </w:r>
    </w:p>
    <w:p w14:paraId="1C553361" w14:textId="77777777" w:rsidR="00B848CB" w:rsidRDefault="00B848CB" w:rsidP="00B848CB">
      <w:pPr>
        <w:pStyle w:val="NormalWeb"/>
        <w:numPr>
          <w:ilvl w:val="0"/>
          <w:numId w:val="13"/>
        </w:numPr>
      </w:pPr>
      <w:proofErr w:type="gramStart"/>
      <w:r>
        <w:rPr>
          <w:rFonts w:hAnsi="Symbol"/>
        </w:rPr>
        <w:t></w:t>
      </w:r>
      <w:r>
        <w:t xml:space="preserve">  [</w:t>
      </w:r>
      <w:proofErr w:type="gramEnd"/>
      <w:r>
        <w:t>5] CISA, "Cybersecurity Framework for Critical Infrastructure," Cybersecurity and Infrastructure Security Agency, 2023. [Online]. Available: https://www.cisa.gov/resources-tools/resources/cybersecurity-framework</w:t>
      </w:r>
    </w:p>
    <w:p w14:paraId="0BA0C823" w14:textId="77777777" w:rsidR="00B848CB" w:rsidRDefault="00B848CB" w:rsidP="00B848CB">
      <w:pPr>
        <w:pStyle w:val="NormalWeb"/>
        <w:numPr>
          <w:ilvl w:val="0"/>
          <w:numId w:val="13"/>
        </w:numPr>
      </w:pPr>
      <w:proofErr w:type="gramStart"/>
      <w:r>
        <w:rPr>
          <w:rFonts w:hAnsi="Symbol"/>
        </w:rPr>
        <w:t></w:t>
      </w:r>
      <w:r>
        <w:t xml:space="preserve">  [</w:t>
      </w:r>
      <w:proofErr w:type="gramEnd"/>
      <w:r>
        <w:t>6] OECD, "Digital Government Review of Japan: Towards a Data-Driven Public Sector," OECD Publishing, 2022. [Online]. Available: https://www.oecd.org/gov/digital-government-review-of-japan-1f930fb8-en.htm</w:t>
      </w:r>
    </w:p>
    <w:p w14:paraId="322AAD86" w14:textId="77777777" w:rsidR="00B848CB" w:rsidRDefault="00B848CB" w:rsidP="00B848CB">
      <w:pPr>
        <w:pStyle w:val="NormalWeb"/>
        <w:numPr>
          <w:ilvl w:val="0"/>
          <w:numId w:val="13"/>
        </w:numPr>
      </w:pPr>
      <w:proofErr w:type="gramStart"/>
      <w:r>
        <w:rPr>
          <w:rFonts w:hAnsi="Symbol"/>
        </w:rPr>
        <w:t></w:t>
      </w:r>
      <w:r>
        <w:t xml:space="preserve">  [</w:t>
      </w:r>
      <w:proofErr w:type="gramEnd"/>
      <w:r>
        <w:t>7] ARTICLE 19, "Reforming the Digital Security Act in Bangladesh: Towards a Human Rights-Based Approach," ARTICLE 19, Jan. 2023. [Online]. Available: https://www.article19.org/resources/bangladesh-reforming-the-digital-security-act/</w:t>
      </w:r>
    </w:p>
    <w:p w14:paraId="2A4FBA1C" w14:textId="77777777" w:rsidR="00B848CB" w:rsidRDefault="00B848CB" w:rsidP="00B848CB">
      <w:pPr>
        <w:pStyle w:val="NormalWeb"/>
        <w:numPr>
          <w:ilvl w:val="0"/>
          <w:numId w:val="13"/>
        </w:numPr>
      </w:pPr>
      <w:proofErr w:type="gramStart"/>
      <w:r>
        <w:rPr>
          <w:rFonts w:hAnsi="Symbol"/>
        </w:rPr>
        <w:t></w:t>
      </w:r>
      <w:r>
        <w:t xml:space="preserve">  [</w:t>
      </w:r>
      <w:proofErr w:type="gramEnd"/>
      <w:r>
        <w:t>8] Transparency International Bangladesh, "Digital Laws and Freedom of Expression in Bangladesh," TIB, 2024. [Online]. Available: https://www.ti-bangladesh.org/research/reports/2024-digital-laws</w:t>
      </w:r>
    </w:p>
    <w:p w14:paraId="4FA38223" w14:textId="77777777" w:rsidR="00B848CB" w:rsidRDefault="00B848CB" w:rsidP="00B848CB">
      <w:pPr>
        <w:pStyle w:val="NormalWeb"/>
        <w:numPr>
          <w:ilvl w:val="0"/>
          <w:numId w:val="13"/>
        </w:numPr>
      </w:pPr>
      <w:proofErr w:type="gramStart"/>
      <w:r>
        <w:rPr>
          <w:rFonts w:hAnsi="Symbol"/>
        </w:rPr>
        <w:t></w:t>
      </w:r>
      <w:r>
        <w:t xml:space="preserve">  [</w:t>
      </w:r>
      <w:proofErr w:type="gramEnd"/>
      <w:r>
        <w:t>9] World Economic Forum, "Global Cybersecurity Outlook 2023," WEF, Jan. 2023. [Online]. Available: https://www.weforum.org/reports/global-cybersecurity-outlook-2023</w:t>
      </w:r>
    </w:p>
    <w:p w14:paraId="5122F9BB" w14:textId="3402D7B8" w:rsidR="00B848CB" w:rsidRPr="00B848CB" w:rsidRDefault="00B848CB" w:rsidP="00B848CB">
      <w:pPr>
        <w:pStyle w:val="NormalWeb"/>
        <w:numPr>
          <w:ilvl w:val="0"/>
          <w:numId w:val="13"/>
        </w:numPr>
      </w:pPr>
      <w:proofErr w:type="gramStart"/>
      <w:r>
        <w:rPr>
          <w:rFonts w:hAnsi="Symbol"/>
        </w:rPr>
        <w:t></w:t>
      </w:r>
      <w:r>
        <w:t xml:space="preserve">  [</w:t>
      </w:r>
      <w:proofErr w:type="gramEnd"/>
      <w:r>
        <w:t xml:space="preserve">10] BitSight, "7 Cybersecurity Frameworks to Reduce Cyber Risk," BitSight, Jul. 12, 2023. [Online]. Available: </w:t>
      </w:r>
      <w:hyperlink r:id="rId11" w:tgtFrame="_new" w:history="1">
        <w:r>
          <w:rPr>
            <w:rStyle w:val="Hyperlink"/>
            <w:rFonts w:eastAsiaTheme="majorEastAsia"/>
          </w:rPr>
          <w:t>https://www.bitsight.com/blog/7-cybersecurity-frameworks-to-reduce-cyber-risk</w:t>
        </w:r>
      </w:hyperlink>
    </w:p>
    <w:p w14:paraId="7D9CEB65" w14:textId="77777777" w:rsidR="001E3AE0" w:rsidRDefault="001E3AE0"/>
    <w:sectPr w:rsidR="001E3AE0" w:rsidSect="000E075C">
      <w:footerReference w:type="default" r:id="rId12"/>
      <w:foot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0D3BA2" w14:textId="77777777" w:rsidR="00424C8C" w:rsidRDefault="00424C8C" w:rsidP="00B848CB">
      <w:pPr>
        <w:spacing w:after="0" w:line="240" w:lineRule="auto"/>
      </w:pPr>
      <w:r>
        <w:separator/>
      </w:r>
    </w:p>
  </w:endnote>
  <w:endnote w:type="continuationSeparator" w:id="0">
    <w:p w14:paraId="7A03C845" w14:textId="77777777" w:rsidR="00424C8C" w:rsidRDefault="00424C8C" w:rsidP="00B84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3575600"/>
      <w:docPartObj>
        <w:docPartGallery w:val="Page Numbers (Bottom of Page)"/>
        <w:docPartUnique/>
      </w:docPartObj>
    </w:sdtPr>
    <w:sdtEndPr>
      <w:rPr>
        <w:noProof/>
      </w:rPr>
    </w:sdtEndPr>
    <w:sdtContent>
      <w:p w14:paraId="018112CC" w14:textId="010C38DF" w:rsidR="000E075C" w:rsidRDefault="000E07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887D5B" w14:textId="46ACA801" w:rsidR="00B848CB" w:rsidRDefault="00B848CB" w:rsidP="00B848CB">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A09AE0" w14:textId="17356723" w:rsidR="00B848CB" w:rsidRDefault="00B848CB">
    <w:pPr>
      <w:pStyle w:val="Footer"/>
      <w:jc w:val="right"/>
    </w:pPr>
  </w:p>
  <w:p w14:paraId="02BC94AE" w14:textId="77777777" w:rsidR="00B848CB" w:rsidRDefault="00B848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B40BF4" w14:textId="77777777" w:rsidR="00424C8C" w:rsidRDefault="00424C8C" w:rsidP="00B848CB">
      <w:pPr>
        <w:spacing w:after="0" w:line="240" w:lineRule="auto"/>
      </w:pPr>
      <w:r>
        <w:separator/>
      </w:r>
    </w:p>
  </w:footnote>
  <w:footnote w:type="continuationSeparator" w:id="0">
    <w:p w14:paraId="408C2B5C" w14:textId="77777777" w:rsidR="00424C8C" w:rsidRDefault="00424C8C" w:rsidP="00B848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63318"/>
    <w:multiLevelType w:val="multilevel"/>
    <w:tmpl w:val="C4D0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A4549"/>
    <w:multiLevelType w:val="multilevel"/>
    <w:tmpl w:val="99D2A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8156C"/>
    <w:multiLevelType w:val="multilevel"/>
    <w:tmpl w:val="EE6C2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1D5C6E"/>
    <w:multiLevelType w:val="multilevel"/>
    <w:tmpl w:val="57EA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960053"/>
    <w:multiLevelType w:val="multilevel"/>
    <w:tmpl w:val="324C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9B18B7"/>
    <w:multiLevelType w:val="multilevel"/>
    <w:tmpl w:val="9F2E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F61180"/>
    <w:multiLevelType w:val="multilevel"/>
    <w:tmpl w:val="11C2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690B2E"/>
    <w:multiLevelType w:val="multilevel"/>
    <w:tmpl w:val="049A0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BC2741"/>
    <w:multiLevelType w:val="multilevel"/>
    <w:tmpl w:val="40DA42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606B2CF9"/>
    <w:multiLevelType w:val="multilevel"/>
    <w:tmpl w:val="F0707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84039A"/>
    <w:multiLevelType w:val="multilevel"/>
    <w:tmpl w:val="94C26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BC23BA"/>
    <w:multiLevelType w:val="multilevel"/>
    <w:tmpl w:val="8F40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D4627E"/>
    <w:multiLevelType w:val="multilevel"/>
    <w:tmpl w:val="7218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0805043">
    <w:abstractNumId w:val="1"/>
  </w:num>
  <w:num w:numId="2" w16cid:durableId="1436514007">
    <w:abstractNumId w:val="4"/>
  </w:num>
  <w:num w:numId="3" w16cid:durableId="1565331152">
    <w:abstractNumId w:val="10"/>
  </w:num>
  <w:num w:numId="4" w16cid:durableId="1881625833">
    <w:abstractNumId w:val="12"/>
  </w:num>
  <w:num w:numId="5" w16cid:durableId="1050306170">
    <w:abstractNumId w:val="6"/>
  </w:num>
  <w:num w:numId="6" w16cid:durableId="1639257629">
    <w:abstractNumId w:val="0"/>
  </w:num>
  <w:num w:numId="7" w16cid:durableId="1939210348">
    <w:abstractNumId w:val="2"/>
  </w:num>
  <w:num w:numId="8" w16cid:durableId="2047832287">
    <w:abstractNumId w:val="7"/>
  </w:num>
  <w:num w:numId="9" w16cid:durableId="1074548990">
    <w:abstractNumId w:val="11"/>
  </w:num>
  <w:num w:numId="10" w16cid:durableId="1977756682">
    <w:abstractNumId w:val="9"/>
  </w:num>
  <w:num w:numId="11" w16cid:durableId="405952861">
    <w:abstractNumId w:val="5"/>
  </w:num>
  <w:num w:numId="12" w16cid:durableId="1902667372">
    <w:abstractNumId w:val="3"/>
  </w:num>
  <w:num w:numId="13" w16cid:durableId="54487049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8CB"/>
    <w:rsid w:val="0004006C"/>
    <w:rsid w:val="000E075C"/>
    <w:rsid w:val="001E3AE0"/>
    <w:rsid w:val="0025409A"/>
    <w:rsid w:val="00424C8C"/>
    <w:rsid w:val="005C1AB5"/>
    <w:rsid w:val="00807E7D"/>
    <w:rsid w:val="00B848C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4D0036"/>
  <w15:chartTrackingRefBased/>
  <w15:docId w15:val="{3CF1426B-9CCB-4EA8-9EBD-0F9CAB55A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8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48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48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48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48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48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48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48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48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8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48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48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48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48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48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48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48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48CB"/>
    <w:rPr>
      <w:rFonts w:eastAsiaTheme="majorEastAsia" w:cstheme="majorBidi"/>
      <w:color w:val="272727" w:themeColor="text1" w:themeTint="D8"/>
    </w:rPr>
  </w:style>
  <w:style w:type="paragraph" w:styleId="Title">
    <w:name w:val="Title"/>
    <w:basedOn w:val="Normal"/>
    <w:next w:val="Normal"/>
    <w:link w:val="TitleChar"/>
    <w:uiPriority w:val="10"/>
    <w:qFormat/>
    <w:rsid w:val="00B848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8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48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48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48CB"/>
    <w:pPr>
      <w:spacing w:before="160"/>
      <w:jc w:val="center"/>
    </w:pPr>
    <w:rPr>
      <w:i/>
      <w:iCs/>
      <w:color w:val="404040" w:themeColor="text1" w:themeTint="BF"/>
    </w:rPr>
  </w:style>
  <w:style w:type="character" w:customStyle="1" w:styleId="QuoteChar">
    <w:name w:val="Quote Char"/>
    <w:basedOn w:val="DefaultParagraphFont"/>
    <w:link w:val="Quote"/>
    <w:uiPriority w:val="29"/>
    <w:rsid w:val="00B848CB"/>
    <w:rPr>
      <w:i/>
      <w:iCs/>
      <w:color w:val="404040" w:themeColor="text1" w:themeTint="BF"/>
    </w:rPr>
  </w:style>
  <w:style w:type="paragraph" w:styleId="ListParagraph">
    <w:name w:val="List Paragraph"/>
    <w:basedOn w:val="Normal"/>
    <w:uiPriority w:val="34"/>
    <w:qFormat/>
    <w:rsid w:val="00B848CB"/>
    <w:pPr>
      <w:ind w:left="720"/>
      <w:contextualSpacing/>
    </w:pPr>
  </w:style>
  <w:style w:type="character" w:styleId="IntenseEmphasis">
    <w:name w:val="Intense Emphasis"/>
    <w:basedOn w:val="DefaultParagraphFont"/>
    <w:uiPriority w:val="21"/>
    <w:qFormat/>
    <w:rsid w:val="00B848CB"/>
    <w:rPr>
      <w:i/>
      <w:iCs/>
      <w:color w:val="0F4761" w:themeColor="accent1" w:themeShade="BF"/>
    </w:rPr>
  </w:style>
  <w:style w:type="paragraph" w:styleId="IntenseQuote">
    <w:name w:val="Intense Quote"/>
    <w:basedOn w:val="Normal"/>
    <w:next w:val="Normal"/>
    <w:link w:val="IntenseQuoteChar"/>
    <w:uiPriority w:val="30"/>
    <w:qFormat/>
    <w:rsid w:val="00B848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48CB"/>
    <w:rPr>
      <w:i/>
      <w:iCs/>
      <w:color w:val="0F4761" w:themeColor="accent1" w:themeShade="BF"/>
    </w:rPr>
  </w:style>
  <w:style w:type="character" w:styleId="IntenseReference">
    <w:name w:val="Intense Reference"/>
    <w:basedOn w:val="DefaultParagraphFont"/>
    <w:uiPriority w:val="32"/>
    <w:qFormat/>
    <w:rsid w:val="00B848CB"/>
    <w:rPr>
      <w:b/>
      <w:bCs/>
      <w:smallCaps/>
      <w:color w:val="0F4761" w:themeColor="accent1" w:themeShade="BF"/>
      <w:spacing w:val="5"/>
    </w:rPr>
  </w:style>
  <w:style w:type="character" w:styleId="Hyperlink">
    <w:name w:val="Hyperlink"/>
    <w:basedOn w:val="DefaultParagraphFont"/>
    <w:uiPriority w:val="99"/>
    <w:unhideWhenUsed/>
    <w:rsid w:val="00B848CB"/>
    <w:rPr>
      <w:color w:val="467886" w:themeColor="hyperlink"/>
      <w:u w:val="single"/>
    </w:rPr>
  </w:style>
  <w:style w:type="character" w:styleId="UnresolvedMention">
    <w:name w:val="Unresolved Mention"/>
    <w:basedOn w:val="DefaultParagraphFont"/>
    <w:uiPriority w:val="99"/>
    <w:semiHidden/>
    <w:unhideWhenUsed/>
    <w:rsid w:val="00B848CB"/>
    <w:rPr>
      <w:color w:val="605E5C"/>
      <w:shd w:val="clear" w:color="auto" w:fill="E1DFDD"/>
    </w:rPr>
  </w:style>
  <w:style w:type="paragraph" w:styleId="NormalWeb">
    <w:name w:val="Normal (Web)"/>
    <w:basedOn w:val="Normal"/>
    <w:uiPriority w:val="99"/>
    <w:unhideWhenUsed/>
    <w:rsid w:val="00B848CB"/>
    <w:pPr>
      <w:spacing w:before="100" w:beforeAutospacing="1" w:after="100" w:afterAutospacing="1" w:line="240" w:lineRule="auto"/>
    </w:pPr>
    <w:rPr>
      <w:rFonts w:ascii="Times New Roman" w:eastAsia="Times New Roman" w:hAnsi="Times New Roman" w:cs="Times New Roman"/>
      <w:kern w:val="0"/>
      <w:lang w:bidi="bn-IN"/>
      <w14:ligatures w14:val="none"/>
    </w:rPr>
  </w:style>
  <w:style w:type="table" w:styleId="TableGrid">
    <w:name w:val="Table Grid"/>
    <w:basedOn w:val="TableNormal"/>
    <w:uiPriority w:val="39"/>
    <w:rsid w:val="00B84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48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8CB"/>
  </w:style>
  <w:style w:type="paragraph" w:styleId="Footer">
    <w:name w:val="footer"/>
    <w:basedOn w:val="Normal"/>
    <w:link w:val="FooterChar"/>
    <w:uiPriority w:val="99"/>
    <w:unhideWhenUsed/>
    <w:rsid w:val="00B848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834392">
      <w:bodyDiv w:val="1"/>
      <w:marLeft w:val="0"/>
      <w:marRight w:val="0"/>
      <w:marTop w:val="0"/>
      <w:marBottom w:val="0"/>
      <w:divBdr>
        <w:top w:val="none" w:sz="0" w:space="0" w:color="auto"/>
        <w:left w:val="none" w:sz="0" w:space="0" w:color="auto"/>
        <w:bottom w:val="none" w:sz="0" w:space="0" w:color="auto"/>
        <w:right w:val="none" w:sz="0" w:space="0" w:color="auto"/>
      </w:divBdr>
    </w:div>
    <w:div w:id="276834616">
      <w:bodyDiv w:val="1"/>
      <w:marLeft w:val="0"/>
      <w:marRight w:val="0"/>
      <w:marTop w:val="0"/>
      <w:marBottom w:val="0"/>
      <w:divBdr>
        <w:top w:val="none" w:sz="0" w:space="0" w:color="auto"/>
        <w:left w:val="none" w:sz="0" w:space="0" w:color="auto"/>
        <w:bottom w:val="none" w:sz="0" w:space="0" w:color="auto"/>
        <w:right w:val="none" w:sz="0" w:space="0" w:color="auto"/>
      </w:divBdr>
      <w:divsChild>
        <w:div w:id="33430661">
          <w:marLeft w:val="0"/>
          <w:marRight w:val="0"/>
          <w:marTop w:val="0"/>
          <w:marBottom w:val="0"/>
          <w:divBdr>
            <w:top w:val="none" w:sz="0" w:space="0" w:color="auto"/>
            <w:left w:val="none" w:sz="0" w:space="0" w:color="auto"/>
            <w:bottom w:val="none" w:sz="0" w:space="0" w:color="auto"/>
            <w:right w:val="none" w:sz="0" w:space="0" w:color="auto"/>
          </w:divBdr>
          <w:divsChild>
            <w:div w:id="18843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7221">
      <w:bodyDiv w:val="1"/>
      <w:marLeft w:val="0"/>
      <w:marRight w:val="0"/>
      <w:marTop w:val="0"/>
      <w:marBottom w:val="0"/>
      <w:divBdr>
        <w:top w:val="none" w:sz="0" w:space="0" w:color="auto"/>
        <w:left w:val="none" w:sz="0" w:space="0" w:color="auto"/>
        <w:bottom w:val="none" w:sz="0" w:space="0" w:color="auto"/>
        <w:right w:val="none" w:sz="0" w:space="0" w:color="auto"/>
      </w:divBdr>
    </w:div>
    <w:div w:id="974792602">
      <w:bodyDiv w:val="1"/>
      <w:marLeft w:val="0"/>
      <w:marRight w:val="0"/>
      <w:marTop w:val="0"/>
      <w:marBottom w:val="0"/>
      <w:divBdr>
        <w:top w:val="none" w:sz="0" w:space="0" w:color="auto"/>
        <w:left w:val="none" w:sz="0" w:space="0" w:color="auto"/>
        <w:bottom w:val="none" w:sz="0" w:space="0" w:color="auto"/>
        <w:right w:val="none" w:sz="0" w:space="0" w:color="auto"/>
      </w:divBdr>
    </w:div>
    <w:div w:id="1062948863">
      <w:bodyDiv w:val="1"/>
      <w:marLeft w:val="0"/>
      <w:marRight w:val="0"/>
      <w:marTop w:val="0"/>
      <w:marBottom w:val="0"/>
      <w:divBdr>
        <w:top w:val="none" w:sz="0" w:space="0" w:color="auto"/>
        <w:left w:val="none" w:sz="0" w:space="0" w:color="auto"/>
        <w:bottom w:val="none" w:sz="0" w:space="0" w:color="auto"/>
        <w:right w:val="none" w:sz="0" w:space="0" w:color="auto"/>
      </w:divBdr>
      <w:divsChild>
        <w:div w:id="1028919960">
          <w:marLeft w:val="0"/>
          <w:marRight w:val="0"/>
          <w:marTop w:val="0"/>
          <w:marBottom w:val="0"/>
          <w:divBdr>
            <w:top w:val="none" w:sz="0" w:space="0" w:color="auto"/>
            <w:left w:val="none" w:sz="0" w:space="0" w:color="auto"/>
            <w:bottom w:val="none" w:sz="0" w:space="0" w:color="auto"/>
            <w:right w:val="none" w:sz="0" w:space="0" w:color="auto"/>
          </w:divBdr>
          <w:divsChild>
            <w:div w:id="143277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04879">
      <w:bodyDiv w:val="1"/>
      <w:marLeft w:val="0"/>
      <w:marRight w:val="0"/>
      <w:marTop w:val="0"/>
      <w:marBottom w:val="0"/>
      <w:divBdr>
        <w:top w:val="none" w:sz="0" w:space="0" w:color="auto"/>
        <w:left w:val="none" w:sz="0" w:space="0" w:color="auto"/>
        <w:bottom w:val="none" w:sz="0" w:space="0" w:color="auto"/>
        <w:right w:val="none" w:sz="0" w:space="0" w:color="auto"/>
      </w:divBdr>
    </w:div>
    <w:div w:id="1603804779">
      <w:bodyDiv w:val="1"/>
      <w:marLeft w:val="0"/>
      <w:marRight w:val="0"/>
      <w:marTop w:val="0"/>
      <w:marBottom w:val="0"/>
      <w:divBdr>
        <w:top w:val="none" w:sz="0" w:space="0" w:color="auto"/>
        <w:left w:val="none" w:sz="0" w:space="0" w:color="auto"/>
        <w:bottom w:val="none" w:sz="0" w:space="0" w:color="auto"/>
        <w:right w:val="none" w:sz="0" w:space="0" w:color="auto"/>
      </w:divBdr>
    </w:div>
    <w:div w:id="1952397221">
      <w:bodyDiv w:val="1"/>
      <w:marLeft w:val="0"/>
      <w:marRight w:val="0"/>
      <w:marTop w:val="0"/>
      <w:marBottom w:val="0"/>
      <w:divBdr>
        <w:top w:val="none" w:sz="0" w:space="0" w:color="auto"/>
        <w:left w:val="none" w:sz="0" w:space="0" w:color="auto"/>
        <w:bottom w:val="none" w:sz="0" w:space="0" w:color="auto"/>
        <w:right w:val="none" w:sz="0" w:space="0" w:color="auto"/>
      </w:divBdr>
      <w:divsChild>
        <w:div w:id="782967176">
          <w:marLeft w:val="0"/>
          <w:marRight w:val="0"/>
          <w:marTop w:val="0"/>
          <w:marBottom w:val="0"/>
          <w:divBdr>
            <w:top w:val="none" w:sz="0" w:space="0" w:color="auto"/>
            <w:left w:val="none" w:sz="0" w:space="0" w:color="auto"/>
            <w:bottom w:val="none" w:sz="0" w:space="0" w:color="auto"/>
            <w:right w:val="none" w:sz="0" w:space="0" w:color="auto"/>
          </w:divBdr>
          <w:divsChild>
            <w:div w:id="95336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3695">
      <w:bodyDiv w:val="1"/>
      <w:marLeft w:val="0"/>
      <w:marRight w:val="0"/>
      <w:marTop w:val="0"/>
      <w:marBottom w:val="0"/>
      <w:divBdr>
        <w:top w:val="none" w:sz="0" w:space="0" w:color="auto"/>
        <w:left w:val="none" w:sz="0" w:space="0" w:color="auto"/>
        <w:bottom w:val="none" w:sz="0" w:space="0" w:color="auto"/>
        <w:right w:val="none" w:sz="0" w:space="0" w:color="auto"/>
      </w:divBdr>
      <w:divsChild>
        <w:div w:id="685600756">
          <w:marLeft w:val="0"/>
          <w:marRight w:val="0"/>
          <w:marTop w:val="0"/>
          <w:marBottom w:val="0"/>
          <w:divBdr>
            <w:top w:val="none" w:sz="0" w:space="0" w:color="auto"/>
            <w:left w:val="none" w:sz="0" w:space="0" w:color="auto"/>
            <w:bottom w:val="none" w:sz="0" w:space="0" w:color="auto"/>
            <w:right w:val="none" w:sz="0" w:space="0" w:color="auto"/>
          </w:divBdr>
          <w:divsChild>
            <w:div w:id="7335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ticle19.org/resources/bangladesh-digital-laws-must-be-transparent-and-protect-free-expression"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itsight.com/blog/7-cybersecurity-frameworks-to-reduce-cyber-risk"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ur-lex.europa.eu/legal-content/EN/TXT/?uri=CELEX%3A52021PC0206" TargetMode="External"/><Relationship Id="rId4" Type="http://schemas.openxmlformats.org/officeDocument/2006/relationships/webSettings" Target="webSettings.xml"/><Relationship Id="rId9" Type="http://schemas.openxmlformats.org/officeDocument/2006/relationships/hyperlink" Target="https://www.thedailystar.net/tech-startup/news/cyber-security-ordinance-2024-progress-or-pitfall-378511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9</Pages>
  <Words>1872</Words>
  <Characters>12786</Characters>
  <Application>Microsoft Office Word</Application>
  <DocSecurity>0</DocSecurity>
  <Lines>387</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Arjon Talukder</dc:creator>
  <cp:keywords/>
  <dc:description/>
  <cp:lastModifiedBy>Arjon Talukder</cp:lastModifiedBy>
  <cp:revision>2</cp:revision>
  <dcterms:created xsi:type="dcterms:W3CDTF">2025-05-23T16:15:00Z</dcterms:created>
  <dcterms:modified xsi:type="dcterms:W3CDTF">2025-05-23T16:36:00Z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8e5e1136-ac15-4e7f-9887-e6feb8420fb5</vt:lpwstr>
  </property>
</Properties>
</file>