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8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ARJUN NITIN BARGE</w:t>
      </w:r>
    </w:p>
    <w:p>
      <w:pPr>
        <w:spacing w:after="20" w:before="0" w:line="228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Evanston, IL | +1 8723255075 | arjun.barge@kellogg.northwestern.edu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EDUCATION</w:t>
      </w:r>
    </w:p>
    <w:tbl>
      <w:tblPr>
        <w:tblW w:type="dxa" w:w="107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224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2024 - Present</w:t>
            </w:r>
          </w:p>
        </w:tc>
        <w:tc>
          <w:tcPr>
            <w:tcW w:type="dxa" w:w="9224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tabs>
                <w:tab w:val="right" w:pos="9144"/>
              </w:tabs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KELLOGG SCHOOL OF MANAGEMENT | MCCORMICK SCHOOL OF ENGINEERING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Evanston, IL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NORTHWESTERN UNIVERSITY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Candidate for Joint Degree: MBA, Artificial Intelligence,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Awards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Recipient of Kellogg MBA Scholarship (Merit based) | GMAT 760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Mentorship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Full Time Admissions - Prospective Student Interviewer, Student mentor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Entrepreneurship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Founding member of Core Vector, an AI startup in data center workforce development; led MVP development, shaped product strategy, and conducted early user research to validate market 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Relevant Coursework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Industry Applications of AI, AI Capstone Project, Applied AI for Business, Data Visualization</w:t>
            </w:r>
          </w:p>
        </w:tc>
      </w:tr>
    </w:tbl>
    <w:tbl>
      <w:tblPr>
        <w:tblW w:type="dxa" w:w="107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224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2017 - 2021</w:t>
            </w:r>
          </w:p>
        </w:tc>
        <w:tc>
          <w:tcPr>
            <w:tcW w:type="dxa" w:w="9224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tabs>
                <w:tab w:val="right" w:pos="9144"/>
              </w:tabs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PUNE UNIVERSITY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Pune, India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Bachelor of Computer Engineering</w:t>
            </w:r>
          </w:p>
        </w:tc>
      </w:tr>
    </w:tbl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EXPERIENCE</w:t>
      </w:r>
    </w:p>
    <w:tbl>
      <w:tblPr>
        <w:tblW w:type="dxa" w:w="107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224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2025</w:t>
            </w:r>
          </w:p>
        </w:tc>
        <w:tc>
          <w:tcPr>
            <w:tcW w:type="dxa" w:w="9224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tabs>
                <w:tab w:val="right" w:pos="9144"/>
              </w:tabs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ZEALSTRAT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(Strategic Advisory Firm That Helps Organizations Scale Responsibly Using Ethical AI Solutions)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Chicago, IL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9"/>
                <w:szCs w:val="19"/>
              </w:rPr>
              <w:t xml:space="preserve">Product Management Intern, June 2025 – August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Served as a strategic advisor to enterprise clients on AI agent adoption, defining and executing the go-to-market strategy for RESA, an AI-driven risk and ethics supervising agent; crafted targeted value propositions and outbound campaigns that generated a $500K+ qualified enterprise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data-driven strategic insights through product-market fit analysis across 20+ stakeholder interviews; identified critical customer pain points around audit compliance, leading to roadmap reprioritization and alignment with high-value customer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Developed client-facing pitch decks and demo assets, communicating complex AI agent capabilities to both technical and non-technical stakeholders across 10+ executive-level engagements; contributed to securing two signed pilot agreements valued at $75K</w:t>
            </w:r>
          </w:p>
        </w:tc>
      </w:tr>
    </w:tbl>
    <w:tbl>
      <w:tblPr>
        <w:tblW w:type="dxa" w:w="107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224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2021 - 2024</w:t>
            </w:r>
          </w:p>
        </w:tc>
        <w:tc>
          <w:tcPr>
            <w:tcW w:type="dxa" w:w="9224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tabs>
                <w:tab w:val="right" w:pos="9144"/>
              </w:tabs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TATA CONSULTANCY SERVICES (TCS)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Pune, India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9"/>
                <w:szCs w:val="19"/>
              </w:rPr>
              <w:t xml:space="preserve">Tata Administrative Services In-House Candidate, February 2024 – May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 among top performers for TATA’s prestigious Leadership Development Program, a fast-track pipeline for future organizational leaders; partnered with CXO-level stakeholders to diagnose a $5M+ cost overrun in cloud infrastructure, proposed scalable solutions resulting in a 34% reduction in operational expenses, demonstrating strategic problem-solving and executive stakeholder management</w:t>
            </w:r>
          </w:p>
          <w:p>
            <w:pPr>
              <w:spacing w:after="0" w:before="15"/>
            </w:pP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9"/>
                <w:szCs w:val="19"/>
              </w:rPr>
              <w:t xml:space="preserve">Full Stack Developer, August 2022 – January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Spearheaded end-to-end delivery of a Generative AI agent platform for a manufacturing client as part of a $2M strategic contract; coordinated across cross-functional technical and non-technical stakeholders through the full development lifecycle, earning the STAR Team Award for exceeding delivery and customer success benchmarks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 a cross-functional team to design, build, and deploy MiNE, a Generative AI platform for enterprise manufacturing clients; optimized production environment performance reducing monthly cloud costs by $22,000 and increased sales-qualified leads by 24%, contributing to $1.2M in additional pipeline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Drove KPI setup and adoption tracking for MiNE’s Generative AI platform across client accounts; leveraged usage data to deliver data-driven strategic insights that guided sprint planning, enabled iterative improvement, and optimized key platform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Translated customer insights into product improvements for MiNE’s GenAI platform by collaborating with internal stakeholders to incorporate user feedback, increasing data processing capacity by 46% and accelerating lead conversion through improved response speed and user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and deployed new AI agent functionality for a client’s equipment procurement platform; gathered and incorporated customer feedback to refine the user experience, driving 68% increase in feature adoption in the first quarter, and ensured operational continuity by training a 5-member support team</w:t>
            </w:r>
          </w:p>
          <w:p>
            <w:pPr>
              <w:spacing w:after="0" w:before="15"/>
            </w:pP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9"/>
                <w:szCs w:val="19"/>
              </w:rPr>
              <w:t xml:space="preserve">Associate Software Developer, July 2021 – July 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Optimized core data ingestion workflows for a machine learning platform, reducing parsing time by 56% to accelerate customer insights; improvements led to $8,000 reduction in monthly cloud costs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 a scalable architecture for LiDAR data workflows within the machine learning platform; proactively initiated Intellectual Property (IP) filing via TCS’s internal patenting process to protect proprietary innovation</w:t>
            </w:r>
          </w:p>
        </w:tc>
      </w:tr>
    </w:tbl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ADDITIONAL DATA</w:t>
      </w:r>
    </w:p>
    <w:p>
      <w:pPr>
        <w:pStyle w:val="ListParagraph"/>
        <w:numPr>
          <w:ilvl w:val="0"/>
          <w:numId w:val="2"/>
        </w:numPr>
        <w:spacing w:after="8" w:before="8" w:line="22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Skills</w:t>
      </w:r>
      <w:r>
        <w:rPr>
          <w:rFonts w:ascii="Calibri" w:cs="Calibri" w:eastAsia="Calibri" w:hAnsi="Calibri"/>
          <w:sz w:val="19"/>
          <w:szCs w:val="19"/>
        </w:rPr>
        <w:t xml:space="preserve">: AI/ML, Conversational AI, Product Strategy | Azure, AWS | R, Python, JS, MEAN Stack, SQL | JIRA | Wireframing</w:t>
      </w:r>
    </w:p>
    <w:p>
      <w:pPr>
        <w:pStyle w:val="ListParagraph"/>
        <w:numPr>
          <w:ilvl w:val="0"/>
          <w:numId w:val="2"/>
        </w:numPr>
        <w:spacing w:after="8" w:before="8" w:line="22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Pro-Bono Consulting</w:t>
      </w:r>
      <w:r>
        <w:rPr>
          <w:rFonts w:ascii="Calibri" w:cs="Calibri" w:eastAsia="Calibri" w:hAnsi="Calibri"/>
          <w:sz w:val="19"/>
          <w:szCs w:val="19"/>
        </w:rPr>
        <w:t xml:space="preserve">: Built structured volunteer management system for Blind Relief Association Delhi; defined team tiers, recruited leadership roles, and improved program execution through defined processes</w:t>
      </w:r>
    </w:p>
    <w:p>
      <w:pPr>
        <w:pStyle w:val="ListParagraph"/>
        <w:numPr>
          <w:ilvl w:val="0"/>
          <w:numId w:val="2"/>
        </w:numPr>
        <w:spacing w:after="8" w:before="8" w:line="22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Pro-Bono Consulting</w:t>
      </w:r>
      <w:r>
        <w:rPr>
          <w:rFonts w:ascii="Calibri" w:cs="Calibri" w:eastAsia="Calibri" w:hAnsi="Calibri"/>
          <w:sz w:val="19"/>
          <w:szCs w:val="19"/>
        </w:rPr>
        <w:t xml:space="preserve">: Designed end-to-end tech enablement roadmap for a non-profit pharmacy college</w:t>
      </w:r>
    </w:p>
    <w:p>
      <w:pPr>
        <w:pStyle w:val="ListParagraph"/>
        <w:numPr>
          <w:ilvl w:val="0"/>
          <w:numId w:val="2"/>
        </w:numPr>
        <w:spacing w:after="8" w:before="8" w:line="22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Interests</w:t>
      </w:r>
      <w:r>
        <w:rPr>
          <w:rFonts w:ascii="Calibri" w:cs="Calibri" w:eastAsia="Calibri" w:hAnsi="Calibri"/>
          <w:sz w:val="19"/>
          <w:szCs w:val="19"/>
        </w:rPr>
        <w:t xml:space="preserve">: Reading, Cricket, Skydiving, Running, Adventure sports and Hiking</w:t>
      </w:r>
    </w:p>
    <w:sectPr>
      <w:pgSz w:w="12240" w:h="15840" w:orient="portrait"/>
      <w:pgMar w:top="440" w:right="756" w:bottom="400" w:left="7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2026-03-13T17:35:17.914Z</dcterms:created>
  <dcterms:modified xsi:type="dcterms:W3CDTF">2026-03-13T17:35:17.914Z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